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Direção visual — Labela Sports</w:t>
      </w:r>
    </w:p>
    <w:p>
      <w:pPr>
        <w:pStyle w:val="Heading2"/>
        <w:pStyle w:val="MdHeading2"/>
      </w:pPr>
      <w:r>
        <w:t xml:space="preserve">Direção escolhida</w:t>
      </w:r>
    </w:p>
    <w:p>
      <w:pPr>
        <w:pStyle w:val="MdParagraph"/>
      </w:pPr>
      <w:r>
        <w:rPr>
          <w:rStyle w:val="MdStrong"/>
          <w:b/>
          <w:bCs/>
        </w:rPr>
        <w:t xml:space="preserve">Catálogo esportivo editorial de alto contraste.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identidade combina a força de um uniforme de jogo com a clareza de um showroom premium. O resultado deve ser direto, seguro e comercial: grandes áreas de respiro em branco, superfícies pretas de impacto e vermelho </w:t>
      </w:r>
      <w:r>
        <w:rPr>
          <w:rStyle w:val="MdCode"/>
          <w:u w:val="single"/>
        </w:rPr>
        <w:t xml:space="preserve">#CC0014</w:t>
      </w:r>
      <w:r>
        <w:t xml:space="preserve"> reservado para ação, ênfase e detalhes de composição.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Movimento de design</w:t>
      </w:r>
    </w:p>
    <w:p>
      <w:pPr>
        <w:pStyle w:val="MdParagraph"/>
      </w:pPr>
      <w:r>
        <w:t xml:space="preserve">Editorial esportivo contemporâneo, com linguagem de catálogo e precisão de ficha técnica. Nada de estética futurista, neon, 3D ou efeitos decorativos que não agregam à escolha do produto.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Princípios centrais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Clareza de escolha:</w:t>
      </w:r>
      <w:r>
        <w:t xml:space="preserve"> modelos, tamanhos, preço e próxima ação aparecem sem concorrência visual.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Força contida:</w:t>
      </w:r>
      <w:r>
        <w:t xml:space="preserve"> tipografia de peso alto, barras de seção, linhas vermelhas e blocos pretos criam ritmo.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Credibilidade por conteúdo:</w:t>
      </w:r>
      <w:r>
        <w:t xml:space="preserve"> dados reais do catálogo em primeiro plano; nenhuma métrica, depoimento ou selo inventado.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Conversão elegante:</w:t>
      </w:r>
      <w:r>
        <w:t xml:space="preserve"> CTAs vermelhos, mensagem contextualizada e acesso fácil ao orçamento.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Filosofia de cor</w:t>
      </w:r>
    </w:p>
    <w:p>
      <w:pPr>
        <w:pStyle w:val="MdListItem"/>
        <w:numPr>
          <w:ilvl w:val="0"/>
          <w:numId w:val="2"/>
        </w:numPr>
      </w:pPr>
      <w:r>
        <w:t xml:space="preserve">Preto </w:t>
      </w:r>
      <w:r>
        <w:rPr>
          <w:rStyle w:val="MdCode"/>
          <w:u w:val="single"/>
        </w:rPr>
        <w:t xml:space="preserve">#000000</w:t>
      </w:r>
      <w:r>
        <w:t xml:space="preserve">: peso institucional, navegação, seções de impacto e superfícies técnicas.</w:t>
      </w:r>
    </w:p>
    <w:p>
      <w:pPr>
        <w:pStyle w:val="MdListItem"/>
        <w:numPr>
          <w:ilvl w:val="0"/>
          <w:numId w:val="2"/>
        </w:numPr>
      </w:pPr>
      <w:r>
        <w:t xml:space="preserve">Branco </w:t>
      </w:r>
      <w:r>
        <w:rPr>
          <w:rStyle w:val="MdCode"/>
          <w:u w:val="single"/>
        </w:rPr>
        <w:t xml:space="preserve">#FFFFFF</w:t>
      </w:r>
      <w:r>
        <w:t xml:space="preserve">: leitura, catálogo, organização e sofisticação.</w:t>
      </w:r>
    </w:p>
    <w:p>
      <w:pPr>
        <w:pStyle w:val="MdListItem"/>
        <w:numPr>
          <w:ilvl w:val="0"/>
          <w:numId w:val="2"/>
        </w:numPr>
      </w:pPr>
      <w:r>
        <w:t xml:space="preserve">Vermelho </w:t>
      </w:r>
      <w:r>
        <w:rPr>
          <w:rStyle w:val="MdCode"/>
          <w:u w:val="single"/>
        </w:rPr>
        <w:t xml:space="preserve">#CC0014</w:t>
      </w:r>
      <w:r>
        <w:t xml:space="preserve">: ação, seleção, numeração, sublinhados e pequenos acentos.</w:t>
      </w:r>
    </w:p>
    <w:p>
      <w:pPr>
        <w:pStyle w:val="MdListItem"/>
        <w:numPr>
          <w:ilvl w:val="0"/>
          <w:numId w:val="2"/>
        </w:numPr>
      </w:pPr>
      <w:r>
        <w:t xml:space="preserve">Cinzas neutros: apenas para bordas, texto secundário e fundos de apoio.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Layout e assinatura</w:t>
      </w:r>
    </w:p>
    <w:p>
      <w:pPr>
        <w:pStyle w:val="MdListItem"/>
        <w:numPr>
          <w:ilvl w:val="0"/>
          <w:numId w:val="2"/>
        </w:numPr>
      </w:pPr>
      <w:r>
        <w:t xml:space="preserve">Grid generoso, com uma coluna de leitura e cards organizados em mosaico responsivo.</w:t>
      </w:r>
    </w:p>
    <w:p>
      <w:pPr>
        <w:pStyle w:val="MdListItem"/>
        <w:numPr>
          <w:ilvl w:val="0"/>
          <w:numId w:val="2"/>
        </w:numPr>
      </w:pPr>
      <w:r>
        <w:t xml:space="preserve">Linhas curtas em vermelho e números grandes para orientar a jornada.</w:t>
      </w:r>
    </w:p>
    <w:p>
      <w:pPr>
        <w:pStyle w:val="MdListItem"/>
        <w:numPr>
          <w:ilvl w:val="0"/>
          <w:numId w:val="2"/>
        </w:numPr>
      </w:pPr>
      <w:r>
        <w:t xml:space="preserve">Cartões de produto limpos, com reserva para foto real, etiqueta de categoria e preço em destaque.</w:t>
      </w:r>
    </w:p>
    <w:p>
      <w:pPr>
        <w:pStyle w:val="MdListItem"/>
        <w:numPr>
          <w:ilvl w:val="0"/>
          <w:numId w:val="2"/>
        </w:numPr>
      </w:pPr>
      <w:r>
        <w:t xml:space="preserve">Área hero preta com composição tipográfica, um painel explícito para fotografia oficial e detalhes gráficos lineares.</w:t>
      </w:r>
    </w:p>
    <w:p>
      <w:pPr>
        <w:pStyle w:val="MdListItem"/>
        <w:numPr>
          <w:ilvl w:val="0"/>
          <w:numId w:val="2"/>
        </w:numPr>
      </w:pPr>
      <w:r>
        <w:t xml:space="preserve">Galeria com layout assimétrico e estado de disponibilidade honesto até a chegada das imagens reais.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Interação e movimento</w:t>
      </w:r>
    </w:p>
    <w:p>
      <w:pPr>
        <w:pStyle w:val="MdParagraph"/>
      </w:pPr>
      <w:r>
        <w:t xml:space="preserve">Interações leves: filtros, modal de detalhes, escolhas de uniforme e realce de CTA. Transições curtas e discretas; </w:t>
      </w:r>
      <w:r>
        <w:rPr>
          <w:rStyle w:val="MdCode"/>
          <w:u w:val="single"/>
        </w:rPr>
        <w:t xml:space="preserve">prefers-reduced-motion</w:t>
      </w:r>
      <w:r>
        <w:t xml:space="preserve"> elimina movimentos não essenciais.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Tipografia</w:t>
      </w:r>
    </w:p>
    <w:p>
      <w:pPr>
        <w:pStyle w:val="MdParagraph"/>
      </w:pPr>
      <w:r>
        <w:t xml:space="preserve">Usar uma família sans-serif de forte presença para títulos (Barlow Condensed) e uma sans-serif de alta legibilidade para leitura e interface (Manrope). Letras em caixa alta serão usadas apenas para rótulos, navegação e títulos de impacto, sem comprometer acessibilidade.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Essência e voz de marca</w:t>
      </w:r>
    </w:p>
    <w:p>
      <w:pPr>
        <w:pStyle w:val="MdParagraph"/>
      </w:pPr>
      <w:r>
        <w:t xml:space="preserve">Profissional, objetiva, esportiva e próxima. A marca fala de identidade, equipe, escolha e apresentação, sem promessas absolutas ou linguagem artificialmente grandiosa.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Marca e ativos</w:t>
      </w:r>
    </w:p>
    <w:p>
      <w:pPr>
        <w:pStyle w:val="MdParagraph"/>
      </w:pPr>
      <w:r>
        <w:t xml:space="preserve">A logomarca original Labela Sports não está presente nos arquivos recebidos nesta sessão. O site deve receber a arte fornecida sem redesenho, ajuste cromático ou distorção. Enquanto isso, a interface utilizará um bloqueio textual neutro de nome de marca, explicitamente preparado para substituição, e não uma recriação do logotipo. Fotos de produtos, medidas oficiais, WhatsApp e canais de contato também serão integrados apenas quando os ativos/dados oficiais forem disponibilizados.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2026-10-05T17:43:39.770Z</dcterms:created>
  <dcterms:modified xsi:type="dcterms:W3CDTF">2026-10-05T17:43:39.770Z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