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/>
        <w:jc w:val="center"/>
      </w:pPr>
      <w:r>
        <w:rPr>
          <w:rFonts w:ascii="微软雅黑" w:hAnsi="微软雅黑" w:eastAsia="微软雅黑"/>
          <w:b/>
          <w:color w:val="183A43"/>
          <w:sz w:val="64"/>
        </w:rPr>
        <w:t>忆路银龄</w:t>
      </w:r>
    </w:p>
    <w:p>
      <w:pPr>
        <w:spacing w:before="240"/>
        <w:jc w:val="center"/>
      </w:pPr>
      <w:r>
        <w:rPr>
          <w:rFonts w:ascii="微软雅黑" w:hAnsi="微软雅黑" w:eastAsia="微软雅黑"/>
          <w:b/>
          <w:color w:val="1F6B62"/>
          <w:sz w:val="36"/>
        </w:rPr>
        <w:t>基于多智能体协同与RAG知识增强的银龄养老金融陪伴与风险防护平台</w:t>
      </w:r>
    </w:p>
    <w:p>
      <w:pPr>
        <w:spacing w:before="600"/>
        <w:jc w:val="center"/>
      </w:pPr>
      <w:r>
        <w:rPr>
          <w:rFonts w:ascii="宋体" w:hAnsi="宋体" w:eastAsia="宋体"/>
          <w:b/>
          <w:color w:val="4B555A"/>
          <w:sz w:val="26"/>
        </w:rPr>
        <w:t>第十七届“工行杯”全国大学生金融科技创新大赛</w:t>
      </w:r>
    </w:p>
    <w:p>
      <w:pPr>
        <w:jc w:val="center"/>
      </w:pPr>
      <w:r>
        <w:rPr>
          <w:rFonts w:ascii="微软雅黑" w:hAnsi="微软雅黑" w:eastAsia="微软雅黑"/>
          <w:b/>
          <w:color w:val="C17C38"/>
          <w:sz w:val="24"/>
        </w:rPr>
        <w:t>参赛方向：养老金融</w:t>
      </w:r>
    </w:p>
    <w:p>
      <w:r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F6B62"/>
                <w:sz w:val="22"/>
              </w:rPr>
              <w:t>AI理解需求｜规则守住边界｜知识库提供依据｜银行完成合规服务</w:t>
            </w:r>
          </w:p>
        </w:tc>
      </w:tr>
    </w:tbl>
    <w:p>
      <w:pPr>
        <w:spacing w:before="2200"/>
        <w:jc w:val="center"/>
      </w:pPr>
      <w:r>
        <w:rPr>
          <w:rFonts w:ascii="宋体" w:hAnsi="宋体" w:eastAsia="宋体"/>
          <w:b w:val="0"/>
          <w:color w:val="646464"/>
          <w:sz w:val="20"/>
        </w:rPr>
        <w:t>项目书 V1.0  ·  2026年9月</w:t>
      </w:r>
    </w:p>
    <w:p>
      <w:r>
        <w:br w:type="page"/>
      </w:r>
    </w:p>
    <w:p>
      <w:pPr>
        <w:pStyle w:val="Heading1"/>
        <w:keepNext/>
      </w:pPr>
      <w:r>
        <w:t>项目声明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本项目为金融科技竞赛演示原型，聚焦养老金融知识服务、辅助规划、风险提示与适老化交互。系统不接入真实账户、不执行转账或投资交易；演示中的金融产品为模拟知识条目，资金比例、风险评分和健康指数为可解释的比赛演示规则，不构成个人投资、保险或购买建议，不承诺任何收益。正式落地必须在持牌金融机构的产品适当性、数据授权、合规审核和人工复核框架内运行。</w:t>
      </w:r>
    </w:p>
    <w:p>
      <w:pPr>
        <w:pStyle w:val="Heading1"/>
        <w:keepNext/>
      </w:pPr>
      <w:r>
        <w:t>执行摘要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随着养老金融和数字金融服务深入发展，银龄客户的需求已从存取款和人工咨询，延伸到养老资金安排、金融知识理解、风险识别、持续陪伴与家庭协同。传统数字渠道多以产品和功能为中心，难以连续理解用户的年龄、退休收入、资产规模、风险态度和养老目标；通用大模型虽然能够对话，但在金融场景中仍存在依据不透明、关键判断不可控和输出边界不清等问题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忆路银龄定位为面向银龄客户的养老金融智能决策辅助平台。平台以用户画像为起点，以多Agent编排为技术中枢，以RAG为可信知识底座，以规则化风险评分和养老资金用途规划为决策层，形成“需求识别—画像分析—风险评估—资金规划—知识检索—产品类别匹配—报告生成—诈骗防护—家庭协同”的服务闭环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技术上，项目采用“确定性规则 + 多Agent编排 + RAG知识增强 + LLM适老化生成”的分层架构。风险等级、资金用途和健康评分由独立规则模块计算，大模型主要负责知识整合和易懂表达；检索模块返回标题、内容与相似度，并在前端展示参考来源。DeepSeek、Qwen与Mock客户端均通过统一接口接入，外部服务异常时可降级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工程上，平台已实现Java 21与Spring Boot 3后端、Vue 3与TypeScript前端、JWT认证、用户画像、金融规划、六节点Agent、RAG/pgvector、诈骗文本与OCR检测、金融健康指数、家庭摘要、管理统计，以及dev/demo双环境。Demo模式无需数据库、Docker或外部API，可在比赛电脑离线启动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项目不以销售高收益产品为目标，而以降低银龄客户理解门槛、提升服务连续性、强化风险提醒和辅助客户经理沟通为价值。未来可作为手机银行适老版、养老金融专区、远程银行或网点客户经理工作台中的能力组件，通过银行授权数据、合规产品目录、审核知识库和人工复核机制实现进一步落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70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项目要素</w:t>
            </w:r>
          </w:p>
        </w:tc>
        <w:tc>
          <w:tcPr>
            <w:tcW w:type="dxa" w:w="6803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目标用户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银龄客户及其家庭；银行养老金融服务人员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核心问题</w:t>
            </w:r>
          </w:p>
        </w:tc>
        <w:tc>
          <w:tcPr>
            <w:tcW w:type="dxa" w:w="6803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金融信息难理解、养老需求难结构化、风险难判断、服务不连续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核心方案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多Agent决策链、RAG来源、规则风控、适老化报告、诈骗防护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已实现形态</w:t>
            </w:r>
          </w:p>
        </w:tc>
        <w:tc>
          <w:tcPr>
            <w:tcW w:type="dxa" w:w="6803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可运行Web Demo；dev/demo双环境；Swagger与一键启动交付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明确边界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无真实交易、无收益承诺、模拟产品、辅助决策而非替代专业人员</w:t>
            </w:r>
          </w:p>
        </w:tc>
      </w:tr>
    </w:tbl>
    <w:p/>
    <w:p>
      <w:pPr>
        <w:pStyle w:val="Heading1"/>
        <w:keepNext/>
      </w:pPr>
      <w:r>
        <w:t>1 项目背景与问题定义</w:t>
      </w:r>
    </w:p>
    <w:p>
      <w:pPr>
        <w:pStyle w:val="Heading2"/>
        <w:keepNext/>
      </w:pPr>
      <w:r>
        <w:t>1.1 赛道与场景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第十七届“工行杯”全国大学生金融科技创新大赛将养老金融列为创新方向，并强调从真实金融产品与服务场景中发现需求、体现新技术应用和银行业务模式创新。忆路银龄选择养老金融作为唯一主赛道，以数字金融能力和金融安全能力作为两条支撑线，不将项目泛化为通用聊天软件。</w:t>
      </w:r>
    </w:p>
    <w:p>
      <w:pPr>
        <w:pStyle w:val="Heading2"/>
        <w:keepNext/>
      </w:pPr>
      <w:r>
        <w:t>1.2 银龄客户旅程中的四类断点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36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断点</w:t>
            </w:r>
          </w:p>
        </w:tc>
        <w:tc>
          <w:tcPr>
            <w:tcW w:type="dxa" w:w="351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典型表现</w:t>
            </w:r>
          </w:p>
        </w:tc>
        <w:tc>
          <w:tcPr>
            <w:tcW w:type="dxa" w:w="351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平台回应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理解断点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术语复杂、规则分散，难以判断信息是否适合自己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适老化解释、分步骤回答、RAG来源展示</w:t>
            </w:r>
          </w:p>
        </w:tc>
      </w:tr>
      <w:tr>
        <w:tc>
          <w:tcPr>
            <w:tcW w:type="dxa" w:w="13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规划断点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收入、资产、医疗和旅行需求未形成统一视图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画像结构化、养老阶段识别、三类资金用途规划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风险断点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高收益、验证码、点击链接等诱导信息难辨真伪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规则评分、AI辅助解释、文本与OCR检测</w:t>
            </w:r>
          </w:p>
        </w:tc>
      </w:tr>
      <w:tr>
        <w:tc>
          <w:tcPr>
            <w:tcW w:type="dxa" w:w="13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陪伴断点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一次问答后缺少持续记录，家庭成员难以共同关注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规划留痕、健康指数、家庭协同摘要</w:t>
            </w:r>
          </w:p>
        </w:tc>
      </w:tr>
    </w:tbl>
    <w:p/>
    <w:p>
      <w:pPr>
        <w:pStyle w:val="Heading2"/>
        <w:keepNext/>
      </w:pPr>
      <w:r>
        <w:t>1.3 问题边界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项目解决“理解、规划、风险提示与陪伴”问题，不处理资金清算、账户控制或真实产品申购。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系统的金融产品匹配是模拟类别匹配，用于解释适配逻辑，不替代银行适当性评估。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真实需求验证尚需补充银龄用户和金融从业者访谈；项目书不虚构问卷数量或合作机构。</w:t>
      </w:r>
    </w:p>
    <w:p>
      <w:pPr>
        <w:pStyle w:val="Heading1"/>
        <w:keepNext/>
      </w:pPr>
      <w:r>
        <w:t>2 用户、场景与价值主张</w:t>
      </w:r>
    </w:p>
    <w:p>
      <w:pPr>
        <w:pStyle w:val="Heading2"/>
        <w:keepNext/>
      </w:pPr>
      <w:r>
        <w:t>2.1 三类目标用户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</w:t>
            </w:r>
          </w:p>
        </w:tc>
        <w:tc>
          <w:tcPr>
            <w:tcW w:type="dxa" w:w="328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核心诉求</w:t>
            </w:r>
          </w:p>
        </w:tc>
        <w:tc>
          <w:tcPr>
            <w:tcW w:type="dxa" w:w="3402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平台价值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银龄客户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听得懂、看得清、知道下一步该做什么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把复杂信息转为结构化、适老化建议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家庭成员</w:t>
            </w:r>
          </w:p>
        </w:tc>
        <w:tc>
          <w:tcPr>
            <w:tcW w:type="dxa" w:w="328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了解长辈状态，及时发现异常和风险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家庭摘要与风险提醒，促进共同核对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银行服务人员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快速掌握客户需求并保持合规边界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画像、规划、来源和风险摘要辅助沟通</w:t>
            </w:r>
          </w:p>
        </w:tc>
      </w:tr>
    </w:tbl>
    <w:p/>
    <w:p>
      <w:pPr>
        <w:pStyle w:val="Heading2"/>
        <w:keepNext/>
      </w:pPr>
      <w:r>
        <w:t>2.2 典型场景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养老规划：68岁、每月退休收入6000元、50万元资产，希望兼顾医疗和旅行。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知识咨询：询问个人养老金、银行养老服务或手机银行安全使用方法。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风险防护：收到“养老金账户异常，请点击链接认证”的短信或截图。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家庭协同：家人希望定期查看风险提醒，但不直接控制老人的金融决策。</w:t>
      </w:r>
    </w:p>
    <w:p>
      <w:pPr>
        <w:pStyle w:val="Heading2"/>
        <w:keepNext/>
      </w:pPr>
      <w:r>
        <w:t>2.3 一句话价值主张</w:t>
      </w:r>
    </w:p>
    <w:p>
      <w:pPr>
        <w:jc w:val="center"/>
      </w:pPr>
      <w:r>
        <w:rPr>
          <w:rFonts w:ascii="微软雅黑" w:hAnsi="微软雅黑" w:eastAsia="微软雅黑"/>
          <w:b/>
          <w:color w:val="1F6B62"/>
          <w:sz w:val="28"/>
        </w:rPr>
        <w:t>不是给老年人增加一个聊天入口，而是把分散的养老金融服务连接成一条可解释、可追踪、可降级的决策辅助链。</w:t>
      </w:r>
    </w:p>
    <w:p>
      <w:pPr>
        <w:pStyle w:val="Heading1"/>
        <w:keepNext/>
      </w:pPr>
      <w:r>
        <w:t>3 总体解决方案</w:t>
      </w:r>
    </w:p>
    <w:p>
      <w:r>
        <w:drawing>
          <wp:inline xmlns:a="http://schemas.openxmlformats.org/drawingml/2006/main" xmlns:pic="http://schemas.openxmlformats.org/drawingml/2006/picture">
            <wp:extent cx="5832000" cy="230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0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18"/>
        </w:rPr>
        <w:t>图3-1 养老金融智能决策与陪伴闭环</w:t>
      </w:r>
    </w:p>
    <w:p>
      <w:pPr>
        <w:pStyle w:val="Heading2"/>
        <w:keepNext/>
      </w:pPr>
      <w:r>
        <w:t>3.1 服务闭环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用户以自然语言或表单描述年龄、收入、资产、风险态度和养老目标。系统先识别意图并补齐画像，再用独立规则计算风险与资金用途；RAG检索受控知识片段，产品匹配服务依据年龄与风险偏好返回模拟类别；最后由LLM或本地模板生成适老化报告。诈骗检测、健康指数和家庭摘要作为跨阶段能力，分别覆盖守钱、持续观察和共同陪伴。</w:t>
      </w:r>
    </w:p>
    <w:p>
      <w:pPr>
        <w:pStyle w:val="Heading2"/>
        <w:keepNext/>
      </w:pPr>
      <w:r>
        <w:t>3.2 核心功能矩阵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功能域</w:t>
            </w:r>
          </w:p>
        </w:tc>
        <w:tc>
          <w:tcPr>
            <w:tcW w:type="dxa" w:w="4139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已实现能力</w:t>
            </w:r>
          </w:p>
        </w:tc>
        <w:tc>
          <w:tcPr>
            <w:tcW w:type="dxa" w:w="283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展示重点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身份与画像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注册登录、JWT、个人信息、银龄画像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同一问题因画像不同而调整表达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AI养老助手</w:t>
            </w:r>
          </w:p>
        </w:tc>
        <w:tc>
          <w:tcPr>
            <w:tcW w:type="dxa" w:w="4139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对话、Prompt、RAG、来源、可信度</w:t>
            </w:r>
          </w:p>
        </w:tc>
        <w:tc>
          <w:tcPr>
            <w:tcW w:type="dxa" w:w="283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回答依据可见，模型可替换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养老金融规划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阶段判断、风险等级、三类用途、模拟产品、六段报告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金融链不是一次聊天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金融智能体</w:t>
            </w:r>
          </w:p>
        </w:tc>
        <w:tc>
          <w:tcPr>
            <w:tcW w:type="dxa" w:w="4139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意图、画像、风险、规划、匹配、报告六节点</w:t>
            </w:r>
          </w:p>
        </w:tc>
        <w:tc>
          <w:tcPr>
            <w:tcW w:type="dxa" w:w="283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执行状态和中间结果可观测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风险防护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文本规则、AI辅助分析、OCR图片检测、记录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规则评分与解释分离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健康与家庭</w:t>
            </w:r>
          </w:p>
        </w:tc>
        <w:tc>
          <w:tcPr>
            <w:tcW w:type="dxa" w:w="4139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四维健康分、风险提醒、家庭摘要</w:t>
            </w:r>
          </w:p>
        </w:tc>
        <w:tc>
          <w:tcPr>
            <w:tcW w:type="dxa" w:w="283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持续陪伴而非一次问答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管理与工程</w:t>
            </w:r>
          </w:p>
        </w:tc>
        <w:tc>
          <w:tcPr>
            <w:tcW w:type="dxa" w:w="4139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统计、趋势、Swagger、Docker、Demo一键启动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现场稳定与后续扩展</w:t>
            </w:r>
          </w:p>
        </w:tc>
      </w:tr>
    </w:tbl>
    <w:p/>
    <w:p>
      <w:pPr>
        <w:pStyle w:val="Heading1"/>
        <w:keepNext/>
      </w:pPr>
      <w:r>
        <w:t>4 AI金融智能体设计</w:t>
      </w:r>
    </w:p>
    <w:p>
      <w:r>
        <w:drawing>
          <wp:inline xmlns:a="http://schemas.openxmlformats.org/drawingml/2006/main" xmlns:pic="http://schemas.openxmlformats.org/drawingml/2006/picture">
            <wp:extent cx="5832000" cy="23043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0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18"/>
        </w:rPr>
        <w:t>图4-1 六节点金融智能体编排</w:t>
      </w:r>
    </w:p>
    <w:p>
      <w:pPr>
        <w:pStyle w:val="Heading2"/>
        <w:keepNext/>
      </w:pPr>
      <w:r>
        <w:t>4.1 为什么不是一个Prompt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养老金融任务同时包含意图分类、信息补齐、风险边界、数值规划、知识检索和自然语言表达。若全部交给一次大模型调用，错误难定位、结果难测试、规则难审计。项目通过FinancialAgentOrchestrator把任务拆为专业节点，每次请求使用独立AgentContext保存中间结果，产品匹配和LLM各调用至多一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53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81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94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结构化输出</w:t>
            </w:r>
          </w:p>
        </w:tc>
        <w:tc>
          <w:tcPr>
            <w:tcW w:type="dxa" w:w="226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可验证性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意图识别Agent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用户自然语言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意图类型、置信度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关键词与分类单测</w:t>
            </w:r>
          </w:p>
        </w:tc>
      </w:tr>
      <w:tr>
        <w:tc>
          <w:tcPr>
            <w:tcW w:type="dxa" w:w="153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用户画像Agent</w:t>
            </w:r>
          </w:p>
        </w:tc>
        <w:tc>
          <w:tcPr>
            <w:tcW w:type="dxa" w:w="181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消息、画像、历史规划</w:t>
            </w:r>
          </w:p>
        </w:tc>
        <w:tc>
          <w:tcPr>
            <w:tcW w:type="dxa" w:w="294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年龄阶段、能力、标签、假设</w:t>
            </w:r>
          </w:p>
        </w:tc>
        <w:tc>
          <w:tcPr>
            <w:tcW w:type="dxa" w:w="226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字段来源可追踪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风险评估Agent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年龄、资产、收入、偏好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0—100分、等级、警告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阈值与边界单测</w:t>
            </w:r>
          </w:p>
        </w:tc>
      </w:tr>
      <w:tr>
        <w:tc>
          <w:tcPr>
            <w:tcW w:type="dxa" w:w="153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资金规划Agent</w:t>
            </w:r>
          </w:p>
        </w:tc>
        <w:tc>
          <w:tcPr>
            <w:tcW w:type="dxa" w:w="181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结构化请求</w:t>
            </w:r>
          </w:p>
        </w:tc>
        <w:tc>
          <w:tcPr>
            <w:tcW w:type="dxa" w:w="294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三类资金用途与比例</w:t>
            </w:r>
          </w:p>
        </w:tc>
        <w:tc>
          <w:tcPr>
            <w:tcW w:type="dxa" w:w="226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确定性规则测试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产品匹配Agent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年龄、风险、目标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模拟产品类别及理由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数据库/内存双实现</w:t>
            </w:r>
          </w:p>
        </w:tc>
      </w:tr>
      <w:tr>
        <w:tc>
          <w:tcPr>
            <w:tcW w:type="dxa" w:w="153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报告生成Agent</w:t>
            </w:r>
          </w:p>
        </w:tc>
        <w:tc>
          <w:tcPr>
            <w:tcW w:type="dxa" w:w="181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画像、规划、知识、产品</w:t>
            </w:r>
          </w:p>
        </w:tc>
        <w:tc>
          <w:tcPr>
            <w:tcW w:type="dxa" w:w="294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固定六段式报告</w:t>
            </w:r>
          </w:p>
        </w:tc>
        <w:tc>
          <w:tcPr>
            <w:tcW w:type="dxa" w:w="226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LLM异常模板降级</w:t>
            </w:r>
          </w:p>
        </w:tc>
      </w:tr>
    </w:tbl>
    <w:p/>
    <w:p>
      <w:pPr>
        <w:pStyle w:val="Heading2"/>
        <w:keepNext/>
      </w:pPr>
      <w:r>
        <w:t>4.2 风险评分模型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RiskScoreCalculator综合年龄、资产、月收入和风险偏好形成0—100演示分。0—30为低风险、31—60为稳健风险、61—100为较高风险。该分数用于风险教育和流程展示，不是金融机构客户风险承受能力测评，也不用于真实产品准入。</w:t>
      </w:r>
    </w:p>
    <w:p>
      <w:pPr>
        <w:pStyle w:val="Heading1"/>
        <w:keepNext/>
      </w:pPr>
      <w:r>
        <w:t>5 RAG可信知识与大模型边界</w:t>
      </w:r>
    </w:p>
    <w:p>
      <w:pPr>
        <w:pStyle w:val="Heading2"/>
        <w:keepNext/>
      </w:pPr>
      <w:r>
        <w:t>5.1 知识处理链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知识库支持PDF、TXT与Markdown文档，经MinIO保存、文档解析、文本切片、Embedding向量化后写入PostgreSQL/pgvector。查询时，问题向量与知识块执行相似度检索，返回TopK标题、分类、内容和相似度，随后注入Prompt并随答案展示来源。复杂向量基础设施不可用时，VectorStore可降级到Mock实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17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62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实现</w:t>
            </w:r>
          </w:p>
        </w:tc>
        <w:tc>
          <w:tcPr>
            <w:tcW w:type="dxa" w:w="3572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风险控制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采集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管理员上传PDF/TXT/Markdown</w:t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文件类型与大小校验；来源需审核</w:t>
            </w:r>
          </w:p>
        </w:tc>
      </w:tr>
      <w:tr>
        <w:tc>
          <w:tcPr>
            <w:tcW w:type="dxa" w:w="141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解析切片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Parser + TextSplitter</w:t>
            </w:r>
          </w:p>
        </w:tc>
        <w:tc>
          <w:tcPr>
            <w:tcW w:type="dxa" w:w="357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保留标题和文档关联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向量化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OpenAI/Qwen/Mock Embedding抽象</w:t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维度检查；无Key降级</w:t>
            </w:r>
          </w:p>
        </w:tc>
      </w:tr>
      <w:tr>
        <w:tc>
          <w:tcPr>
            <w:tcW w:type="dxa" w:w="141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检索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PgVectorStore / MockVectorStore</w:t>
            </w:r>
          </w:p>
        </w:tc>
        <w:tc>
          <w:tcPr>
            <w:tcW w:type="dxa" w:w="357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TopK、相似度与来源字段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DeepSeek/Qwen/Mock LlmClient</w:t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超时与异常降级；不打印密钥</w:t>
            </w:r>
          </w:p>
        </w:tc>
      </w:tr>
      <w:tr>
        <w:tc>
          <w:tcPr>
            <w:tcW w:type="dxa" w:w="141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呈现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答案、可信度、来源与风险提示</w:t>
            </w:r>
          </w:p>
        </w:tc>
        <w:tc>
          <w:tcPr>
            <w:tcW w:type="dxa" w:w="357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用户可判断依据，不声称消除幻觉</w:t>
            </w:r>
          </w:p>
        </w:tc>
      </w:tr>
    </w:tbl>
    <w:p/>
    <w:p>
      <w:pPr>
        <w:pStyle w:val="Heading2"/>
        <w:keepNext/>
      </w:pPr>
      <w:r>
        <w:t>5.2 Prompt工程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养老助手Prompt固定角色为“面向银龄用户的金融陪伴助手”，要求优先引用知识库、使用老人容易理解的语言、避免专业术语、分步骤解释、主动提示风险、不提供买卖建议、不承诺收益，并采用“简单解释—具体建议—风险提醒—参考依据”的格式。金融规划报告采用“用户情况—养老需求分析—资金规划建议—金融产品建议—风险提醒—温馨提示”六段式结构。</w:t>
      </w:r>
    </w:p>
    <w:p>
      <w:pPr>
        <w:pStyle w:val="Heading2"/>
        <w:keepNext/>
      </w:pPr>
      <w:r>
        <w:t>5.3 可信度机制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ConfidenceService根据检索数量、是否命中知识、相似度和回答长度计算0—1展示分。分数用于提示“回答依据充足程度”，不是事实真伪概率。当前30题质量评估问题集已完成，真实DeepSeek和pgvector批量评估指标仍待在可控环境中联调，项目不编造知识命中率或平均可信度。</w:t>
      </w:r>
    </w:p>
    <w:p>
      <w:pPr>
        <w:pStyle w:val="Heading1"/>
        <w:keepNext/>
      </w:pPr>
      <w:r>
        <w:t>6 养老金融规划与产品类别匹配</w:t>
      </w:r>
    </w:p>
    <w:p>
      <w:pPr>
        <w:pStyle w:val="Heading2"/>
        <w:keepNext/>
      </w:pPr>
      <w:r>
        <w:t>6.1 规划输入与阶段识别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规划接口接收年龄、退休月收入、资产规模、风险偏好、养老目标，以及可选的医疗需求和旅行需求。60岁以下定义为退休准备阶段，60—69岁定义为退休初期，70岁及以上定义为养老保障阶段。缺少可选需求时使用明确默认描述，不阻断流程。</w:t>
      </w:r>
    </w:p>
    <w:p>
      <w:pPr>
        <w:pStyle w:val="Heading2"/>
        <w:keepNext/>
      </w:pPr>
      <w:r>
        <w:t>6.2 三类资金用途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26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70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演示比例</w:t>
            </w:r>
          </w:p>
        </w:tc>
        <w:tc>
          <w:tcPr>
            <w:tcW w:type="dxa" w:w="453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生活备用资金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20%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日常生活与突发支出，强调可用性</w:t>
            </w:r>
          </w:p>
        </w:tc>
      </w:tr>
      <w:tr>
        <w:tc>
          <w:tcPr>
            <w:tcW w:type="dxa" w:w="226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养老保障资金</w:t>
            </w:r>
          </w:p>
        </w:tc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60%</w:t>
            </w:r>
          </w:p>
        </w:tc>
        <w:tc>
          <w:tcPr>
            <w:tcW w:type="dxa" w:w="453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长期养老和医疗保障，强调安全与稳定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灵活消费资金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20%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旅行、兴趣和家庭陪伴等弹性需求</w:t>
            </w:r>
          </w:p>
        </w:tc>
      </w:tr>
    </w:tbl>
    <w:p/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以50万元资产为例，系统演示分配10万元生活备用、30万元养老保障和10万元灵活消费。该比例为竞赛原型中的可解释默认规则，实际银行服务必须结合客户负债、现金流、医疗保障、家庭责任、产品适当性和监管要求重新评估。</w:t>
      </w:r>
    </w:p>
    <w:p>
      <w:pPr>
        <w:pStyle w:val="Heading2"/>
        <w:keepNext/>
      </w:pPr>
      <w:r>
        <w:t>6.3 模拟产品知识库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financial_product表初始化10条模拟条目，包括个人养老金、养老储蓄、养老保险、长期护理保障、家庭应急储备和数字金融安全服务等。每条包含产品类型、风险等级、适龄范围、流动性描述、知识性介绍和适合标签；所有收益字段均明确“不展示或承诺收益，以正式规则为准”。</w:t>
      </w:r>
    </w:p>
    <w:p>
      <w:pPr>
        <w:pStyle w:val="Heading2"/>
        <w:keepNext/>
      </w:pPr>
      <w:r>
        <w:t>6.4 产品匹配原则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低风险与稳健银龄客户优先显示养老储蓄、个人养老金、保障和应急类知识条目。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只有在年龄、偏好和目标满足演示规则时，才增加稳健型养老理财知识条目。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高风险偏好不会导致系统主动鼓励高风险产品，反而强化风险提示。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每项推荐均返回推荐原因和风险提示，且明确为模拟类别信息。</w:t>
      </w:r>
    </w:p>
    <w:p>
      <w:pPr>
        <w:pStyle w:val="Heading1"/>
        <w:keepNext/>
      </w:pPr>
      <w:r>
        <w:t>7 金融安全、健康指数与家庭协同</w:t>
      </w:r>
    </w:p>
    <w:p>
      <w:pPr>
        <w:pStyle w:val="Heading2"/>
        <w:keepNext/>
      </w:pPr>
      <w:r>
        <w:t>7.1 诈骗风险检测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诈骗模块复用同一FraudDetectionService链路。文本或OCR识别内容先进入RuleEngine，验证码、转账、点击链接、高收益、养老补贴、中奖等关键词按权重计分；FraudAiAnalyzer用于提供诈骗类型和解释。最终融合为LOW、MEDIUM、HIGH或CRITICAL等级并保存记录。规则决定底线分值，AI不直接替代风险规则。</w:t>
      </w:r>
    </w:p>
    <w:p>
      <w:pPr>
        <w:pStyle w:val="Heading2"/>
        <w:keepNext/>
      </w:pPr>
      <w:r>
        <w:t>7.2 OCR与对象存储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图片检测流程为“上传—文件校验—MinIO保存—OCR识别—文本风险检测—记录保存”。OcrClient抽象支持Mock与真实厂商适配，缺少密钥时自动降级。Demo模式不依赖MinIO或OCR外部服务，使用本地模拟结果保证现场流程完整。</w:t>
      </w:r>
    </w:p>
    <w:p>
      <w:pPr>
        <w:pStyle w:val="Heading2"/>
        <w:keepNext/>
      </w:pPr>
      <w:r>
        <w:t>7.3 银龄金融健康指数</w:t>
      </w:r>
    </w:p>
    <w:p>
      <w:r>
        <w:drawing>
          <wp:inline xmlns:a="http://schemas.openxmlformats.org/drawingml/2006/main" xmlns:pic="http://schemas.openxmlformats.org/drawingml/2006/picture">
            <wp:extent cx="4860000" cy="25115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-sc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1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18"/>
        </w:rPr>
        <w:t>图7-1 金融健康指数演示样例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指数由资产安全、养老准备、风险控制和医疗保障四个维度等权汇总，Demo样例总分78分。每项均限制在0—100，并返回风险提醒与免责声明。该指数不是产品评级、征信评分或投资能力测评，而是帮助用户理解“哪些方面需要进一步准备”的沟通工具。</w:t>
      </w:r>
    </w:p>
    <w:p>
      <w:pPr>
        <w:pStyle w:val="Heading2"/>
        <w:keepNext/>
      </w:pPr>
      <w:r>
        <w:t>7.4 家庭协同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家庭摘要展示老人姓名、年龄、养老状态和风险提醒，例如每月共同核对养老资金安排、收到转账或补贴链接时先联系家人核实。设计遵循“陪伴而非代替”：家庭成员获得必要摘要，但不默认获得账户操作权；正式产品需进一步建立老人授权、权限分级与撤回机制。</w:t>
      </w:r>
    </w:p>
    <w:p>
      <w:pPr>
        <w:pStyle w:val="Heading1"/>
        <w:keepNext/>
      </w:pPr>
      <w:r>
        <w:t>8 技术架构与数据设计</w:t>
      </w:r>
    </w:p>
    <w:p>
      <w:r>
        <w:drawing>
          <wp:inline xmlns:a="http://schemas.openxmlformats.org/drawingml/2006/main" xmlns:pic="http://schemas.openxmlformats.org/drawingml/2006/picture">
            <wp:extent cx="5832000" cy="36935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93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18"/>
        </w:rPr>
        <w:t>图8-1 分层技术架构</w:t>
      </w:r>
    </w:p>
    <w:p>
      <w:pPr>
        <w:pStyle w:val="Heading2"/>
        <w:keepNext/>
      </w:pPr>
      <w:r>
        <w:t>8.1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36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362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</w:t>
            </w:r>
          </w:p>
        </w:tc>
        <w:tc>
          <w:tcPr>
            <w:tcW w:type="dxa" w:w="362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 3、TypeScript、Vite、Element Plus、ECharts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适老化交互、Agent动画、规划与统计图表</w:t>
            </w:r>
          </w:p>
        </w:tc>
      </w:tr>
      <w:tr>
        <w:tc>
          <w:tcPr>
            <w:tcW w:type="dxa" w:w="13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后端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Java 21、Spring Boot 3、Spring MVC、Spring Security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REST接口、认证、业务编排、异常治理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持久化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MyBatis Plus、MySQL 8、Redis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用户、画像、消息、规划、风险记录与缓存</w:t>
            </w:r>
          </w:p>
        </w:tc>
      </w:tr>
      <w:tr>
        <w:tc>
          <w:tcPr>
            <w:tcW w:type="dxa" w:w="13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AI与知识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DeepSeek/Qwen、Embedding、pgvector、Prompt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生成、向量检索、知识增强与来源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文件与部署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MinIO、Docker Compose、Demo Jar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文档/图片存储、开发编排、离线演示</w:t>
            </w:r>
          </w:p>
        </w:tc>
      </w:tr>
    </w:tbl>
    <w:p/>
    <w:p>
      <w:pPr>
        <w:pStyle w:val="Heading2"/>
        <w:keepNext/>
      </w:pPr>
      <w:r>
        <w:t>8.2 核心数据实体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15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实体</w:t>
            </w:r>
          </w:p>
        </w:tc>
        <w:tc>
          <w:tcPr>
            <w:tcW w:type="dxa" w:w="3402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306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sys_user / role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账号、密码摘要、状态、角色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认证与权限</w:t>
            </w:r>
          </w:p>
        </w:tc>
      </w:tr>
      <w:tr>
        <w:tc>
          <w:tcPr>
            <w:tcW w:type="dxa" w:w="215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elderly_profile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年龄、收入、风险、数字能力、需求、标签</w:t>
            </w:r>
          </w:p>
        </w:tc>
        <w:tc>
          <w:tcPr>
            <w:tcW w:type="dxa" w:w="30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个性化画像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ai_conversation / message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用户、会话、角色、内容、时间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对话留痕</w:t>
            </w:r>
          </w:p>
        </w:tc>
      </w:tr>
      <w:tr>
        <w:tc>
          <w:tcPr>
            <w:tcW w:type="dxa" w:w="215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knowledge_chunk_vector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chunk、内容、embedding</w:t>
            </w:r>
          </w:p>
        </w:tc>
        <w:tc>
          <w:tcPr>
            <w:tcW w:type="dxa" w:w="30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RAG向量检索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fraud_detection_record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输入、OCR、风险分、标签、解释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诈骗检测记录</w:t>
            </w:r>
          </w:p>
        </w:tc>
      </w:tr>
      <w:tr>
        <w:tc>
          <w:tcPr>
            <w:tcW w:type="dxa" w:w="215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financial_product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类型、风险、适龄、流动性、标签</w:t>
            </w:r>
          </w:p>
        </w:tc>
        <w:tc>
          <w:tcPr>
            <w:tcW w:type="dxa" w:w="30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模拟产品知识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elderly_financial_plan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输入快照、规划结果、时间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养老规划留痕</w:t>
            </w:r>
          </w:p>
        </w:tc>
      </w:tr>
    </w:tbl>
    <w:p/>
    <w:p>
      <w:pPr>
        <w:pStyle w:val="Heading2"/>
        <w:keepNext/>
      </w:pPr>
      <w:r>
        <w:t>8.3 API与安全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接口统一使用/api/v1前缀和Result&lt;T&gt;响应结构。Spring Security与JWT保护用户、画像、规划、Agent、健康评分和管理接口；ADMIN权限用于知识上传与管理统计。Swagger提供接口演示。密码使用BCrypt摘要，API Key通过环境变量注入且禁止写入日志或仓库。</w:t>
      </w:r>
    </w:p>
    <w:p>
      <w:pPr>
        <w:pStyle w:val="Heading1"/>
        <w:keepNext/>
      </w:pPr>
      <w:r>
        <w:t>9 工程实现与稳定性</w:t>
      </w:r>
    </w:p>
    <w:p>
      <w:pPr>
        <w:pStyle w:val="Heading2"/>
        <w:keepNext/>
      </w:pPr>
      <w:r>
        <w:t>9.1 dev/demo双环境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351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dev模式</w:t>
            </w:r>
          </w:p>
        </w:tc>
        <w:tc>
          <w:tcPr>
            <w:tcW w:type="dxa" w:w="3402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demo模式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MySQL + Redis + PostgreSQL/pgvector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不连接外部数据库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对象存储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MinIO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不连接MinIO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大模型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DeepSeek/Qwen，失败可Mock降级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不调用外部API，固定模板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产品与规划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数据库读写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内存模拟数据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数据库账号与JWT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 / 123456，Demo JWT流程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健康检查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探测真实依赖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全部返回MOCK</w:t>
            </w:r>
          </w:p>
        </w:tc>
      </w:tr>
    </w:tbl>
    <w:p/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比赛现场可通过java -jar yinling-backend.jar --spring.profiles.active=demo启动。Demo交付目录包含Jar、start-demo.bat、账号说明与README；启动脚本检查Java版本、端口占用和Jar启动结果，并输出Swagger与健康检查地址。</w:t>
      </w:r>
    </w:p>
    <w:p>
      <w:pPr>
        <w:pStyle w:val="Heading2"/>
        <w:keepNext/>
      </w:pPr>
      <w:r>
        <w:t>9.2 异常与降级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LLM调用记录provider、model、耗时、成功与fallback，不记录完整API Key。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LLM失败返回本地模板；RAG不可用返回空知识或Mock检索；核心规则结果仍可生成。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OCR缺少厂商密钥自动使用Mock；对象存储禁用时返回稳定演示URL。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统一异常处理覆盖参数校验、业务异常、认证异常和系统异常，并返回traceId。</w:t>
      </w:r>
    </w:p>
    <w:p>
      <w:pPr>
        <w:pStyle w:val="Heading2"/>
        <w:keepNext/>
      </w:pPr>
      <w:r>
        <w:t>9.3 验证策略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后端测试覆盖认证、画像、对话、诈骗检测、OCR、对象存储、统计趋势、金融规划、Agent编排、健康评分和权限；外部DeepSeek与pgvector集成测试通过环境变量条件启用。前端使用npm run build验证类型与生产构建。最终提交前应保留测试日志、构建产物哈希和Demo录屏，作为可运行性证据。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36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测试层</w:t>
            </w:r>
          </w:p>
        </w:tc>
        <w:tc>
          <w:tcPr>
            <w:tcW w:type="dxa" w:w="4082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重点</w:t>
            </w:r>
          </w:p>
        </w:tc>
        <w:tc>
          <w:tcPr>
            <w:tcW w:type="dxa" w:w="317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完成标准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单元测试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规则阈值、意图、资金比例、置信度、健康分</w:t>
            </w:r>
          </w:p>
        </w:tc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边界值可重复</w:t>
            </w:r>
          </w:p>
        </w:tc>
      </w:tr>
      <w:tr>
        <w:tc>
          <w:tcPr>
            <w:tcW w:type="dxa" w:w="13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接口测试</w:t>
            </w:r>
          </w:p>
        </w:tc>
        <w:tc>
          <w:tcPr>
            <w:tcW w:type="dxa" w:w="408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JWT、403/401、响应结构、记录保存</w:t>
            </w:r>
          </w:p>
        </w:tc>
        <w:tc>
          <w:tcPr>
            <w:tcW w:type="dxa" w:w="317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核心接口闭环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集成测试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真实LLM、pgvector、文档上传</w:t>
            </w:r>
          </w:p>
        </w:tc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有配置执行，无配置明确跳过</w:t>
            </w:r>
          </w:p>
        </w:tc>
      </w:tr>
      <w:tr>
        <w:tc>
          <w:tcPr>
            <w:tcW w:type="dxa" w:w="13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前端构建</w:t>
            </w:r>
          </w:p>
        </w:tc>
        <w:tc>
          <w:tcPr>
            <w:tcW w:type="dxa" w:w="408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TypeScript与Vite生产构建</w:t>
            </w:r>
          </w:p>
        </w:tc>
        <w:tc>
          <w:tcPr>
            <w:tcW w:type="dxa" w:w="317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无编译错误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现场演练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无Docker、无网络启动与核心流程</w:t>
            </w:r>
          </w:p>
        </w:tc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一键启动，录屏备份</w:t>
            </w:r>
          </w:p>
        </w:tc>
      </w:tr>
    </w:tbl>
    <w:p/>
    <w:p>
      <w:pPr>
        <w:pStyle w:val="Heading1"/>
        <w:keepNext/>
      </w:pPr>
      <w:r>
        <w:t>10 核心创新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36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创新点</w:t>
            </w:r>
          </w:p>
        </w:tc>
        <w:tc>
          <w:tcPr>
            <w:tcW w:type="dxa" w:w="198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常见做法</w:t>
            </w:r>
          </w:p>
        </w:tc>
        <w:tc>
          <w:tcPr>
            <w:tcW w:type="dxa" w:w="323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忆路银龄方案</w:t>
            </w:r>
          </w:p>
        </w:tc>
        <w:tc>
          <w:tcPr>
            <w:tcW w:type="dxa" w:w="238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可验证证据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任务化多Agent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一次Prompt直接生成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拆为意图、画像、风险、规划、匹配、报告节点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AgentChain状态、耗时与中间结果</w:t>
            </w:r>
          </w:p>
        </w:tc>
      </w:tr>
      <w:tr>
        <w:tc>
          <w:tcPr>
            <w:tcW w:type="dxa" w:w="13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规则与生成解耦</w:t>
            </w:r>
          </w:p>
        </w:tc>
        <w:tc>
          <w:tcPr>
            <w:tcW w:type="dxa" w:w="198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让LLM直接判断金融风险</w:t>
            </w:r>
          </w:p>
        </w:tc>
        <w:tc>
          <w:tcPr>
            <w:tcW w:type="dxa" w:w="323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规则计算关键分值，LLM负责解释</w:t>
            </w:r>
          </w:p>
        </w:tc>
        <w:tc>
          <w:tcPr>
            <w:tcW w:type="dxa" w:w="238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RiskScoreCalculator与单测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可信RAG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只依赖模型记忆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检索受控知识并展示标题、内容、相似度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VectorStore、来源卡片</w:t>
            </w:r>
          </w:p>
        </w:tc>
      </w:tr>
      <w:tr>
        <w:tc>
          <w:tcPr>
            <w:tcW w:type="dxa" w:w="136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银龄服务闭环</w:t>
            </w:r>
          </w:p>
        </w:tc>
        <w:tc>
          <w:tcPr>
            <w:tcW w:type="dxa" w:w="198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单一问答或单点防骗</w:t>
            </w:r>
          </w:p>
        </w:tc>
        <w:tc>
          <w:tcPr>
            <w:tcW w:type="dxa" w:w="323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规划、知识、安全、健康、家庭协同联动</w:t>
            </w:r>
          </w:p>
        </w:tc>
        <w:tc>
          <w:tcPr>
            <w:tcW w:type="dxa" w:w="238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多页面可运行Demo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双环境工程化</w:t>
            </w:r>
          </w:p>
        </w:tc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现场依赖云端服务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dev真实能力 + demo全本地降级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application-demo与一键脚本</w:t>
            </w:r>
          </w:p>
        </w:tc>
      </w:tr>
    </w:tbl>
    <w:p/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项目壁垒不在某个大模型品牌，而在养老金融任务拆解、业务规则、知识治理、风险边界、适老化交互和银行服务流程的组合。模型、OCR和向量库均可替换，场景方法论与可验证的业务链是平台核心。</w:t>
      </w:r>
    </w:p>
    <w:p>
      <w:pPr>
        <w:pStyle w:val="Heading1"/>
        <w:keepNext/>
      </w:pPr>
      <w:r>
        <w:t>11 数据安全、合规与伦理</w:t>
      </w:r>
    </w:p>
    <w:p>
      <w:pPr>
        <w:pStyle w:val="Heading2"/>
        <w:keepNext/>
      </w:pPr>
      <w:r>
        <w:t>11.1 四类风险分层治理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17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742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当前控制</w:t>
            </w:r>
          </w:p>
        </w:tc>
        <w:tc>
          <w:tcPr>
            <w:tcW w:type="dxa" w:w="362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正式落地需补充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金融业务风险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不交易、不承诺收益、模拟产品、免责声明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持牌机构适当性、产品目录与人工复核</w:t>
            </w:r>
          </w:p>
        </w:tc>
      </w:tr>
      <w:tr>
        <w:tc>
          <w:tcPr>
            <w:tcW w:type="dxa" w:w="141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模型风险</w:t>
            </w:r>
          </w:p>
        </w:tc>
        <w:tc>
          <w:tcPr>
            <w:tcW w:type="dxa" w:w="374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规则与LLM解耦、RAG来源、模板降级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模型评测、红队测试、提示词与知识版本审计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数据风险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JWT/RBAC、BCrypt、密钥环境变量、最小字段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授权撤回、数据删除、加密、访问审计、分级分类</w:t>
            </w:r>
          </w:p>
        </w:tc>
      </w:tr>
      <w:tr>
        <w:tc>
          <w:tcPr>
            <w:tcW w:type="dxa" w:w="141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运行风险</w:t>
            </w:r>
          </w:p>
        </w:tc>
        <w:tc>
          <w:tcPr>
            <w:tcW w:type="dxa" w:w="374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健康检查、外部服务降级、Demo离线模式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高可用、限流、监控告警、灾备与应急预案</w:t>
            </w:r>
          </w:p>
        </w:tc>
      </w:tr>
    </w:tbl>
    <w:p/>
    <w:p>
      <w:pPr>
        <w:pStyle w:val="Heading2"/>
        <w:keepNext/>
      </w:pPr>
      <w:r>
        <w:t>11.2 人机边界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系统输出必须被理解为辅助信息。对高风险诈骗、异常账户、真实产品选择、保险条款、税务规则和资金操作，应主动引导用户联系银行官方渠道或专业人员。正式落地可为高风险节点设置强制人工复核，并保留输入、规则版本、知识来源和输出日志，支持追溯。</w:t>
      </w:r>
    </w:p>
    <w:p>
      <w:pPr>
        <w:pStyle w:val="Heading2"/>
        <w:keepNext/>
      </w:pPr>
      <w:r>
        <w:t>11.3 适老化伦理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不以年龄推定能力，不将“老年”标签等同于低认知或低风险承受能力。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用简明语言解释专业概念，但不隐去关键风险、费用、期限和限制条件。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家庭协同基于本人授权，避免以关怀名义剥夺用户自主决策权。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高对比、大字号、清晰按钮和有限步骤降低操作负担，同时保留返回与纠错路径。</w:t>
      </w:r>
    </w:p>
    <w:p>
      <w:pPr>
        <w:pStyle w:val="Heading1"/>
        <w:keepNext/>
      </w:pPr>
      <w:r>
        <w:t>12 银行落地与商业模式</w:t>
      </w:r>
    </w:p>
    <w:p>
      <w:pPr>
        <w:pStyle w:val="Heading2"/>
        <w:keepNext/>
      </w:pPr>
      <w:r>
        <w:t>12.1 B2B2C能力组件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忆路银龄不以独立销售金融产品为目标，而以能力组件嵌入银行养老金融服务体系。客户侧获得易懂的规划和风险提醒；客户经理侧获得结构化画像、沟通摘要与知识依据；管理侧可在匿名化和聚合化前提下观察需求类型、风险事件和服务效果。</w:t>
      </w:r>
    </w:p>
    <w:p>
      <w:pPr>
        <w:pStyle w:val="Heading2"/>
        <w:keepNext/>
      </w:pPr>
      <w:r>
        <w:t>12.2 可嵌入触点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1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触点</w:t>
            </w:r>
          </w:p>
        </w:tc>
        <w:tc>
          <w:tcPr>
            <w:tcW w:type="dxa" w:w="362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使用方式</w:t>
            </w:r>
          </w:p>
        </w:tc>
        <w:tc>
          <w:tcPr>
            <w:tcW w:type="dxa" w:w="3402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价值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手机银行适老版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AI助手、规划中心、诈骗检测、健康指数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提升自助服务完成率与安全感</w:t>
            </w:r>
          </w:p>
        </w:tc>
      </w:tr>
      <w:tr>
        <w:tc>
          <w:tcPr>
            <w:tcW w:type="dxa" w:w="181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养老金融专区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基于授权画像解释制度与产品类别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形成连续养老服务入口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远程银行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会前收集需求、会中展示依据、会后生成摘要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减少重复沟通</w:t>
            </w:r>
          </w:p>
        </w:tc>
      </w:tr>
      <w:tr>
        <w:tc>
          <w:tcPr>
            <w:tcW w:type="dxa" w:w="181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网点客户经理工作台</w:t>
            </w:r>
          </w:p>
        </w:tc>
        <w:tc>
          <w:tcPr>
            <w:tcW w:type="dxa" w:w="362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查看画像、规划、风险与知识来源</w:t>
            </w:r>
          </w:p>
        </w:tc>
        <w:tc>
          <w:tcPr>
            <w:tcW w:type="dxa" w:w="340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辅助标准化服务，不替代合规判断</w:t>
            </w:r>
          </w:p>
        </w:tc>
      </w:tr>
    </w:tbl>
    <w:p/>
    <w:p>
      <w:pPr>
        <w:pStyle w:val="Heading2"/>
        <w:keepNext/>
      </w:pPr>
      <w:r>
        <w:t>12.3 价值指标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咨询完成率、平均规划生成时间、知识来源展示率；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高风险提醒触达率、人工转接率、诈骗线索复核率；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银龄客户满意度、适老化任务完成率、家庭协同授权率；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客户经理沟通准备时间、重复问题减少量和合规复核覆盖率。</w:t>
      </w:r>
    </w:p>
    <w:p>
      <w:pPr>
        <w:pStyle w:val="Heading2"/>
        <w:keepNext/>
      </w:pPr>
      <w:r>
        <w:t>12.4 推广路线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247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7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572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主要工作</w:t>
            </w:r>
          </w:p>
        </w:tc>
        <w:tc>
          <w:tcPr>
            <w:tcW w:type="dxa" w:w="215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退出条件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竞赛PoC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本地Demo</w:t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证明链路、交互、降级与安全边界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核心流程稳定可演示</w:t>
            </w:r>
          </w:p>
        </w:tc>
      </w:tr>
      <w:tr>
        <w:tc>
          <w:tcPr>
            <w:tcW w:type="dxa" w:w="124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受控试点</w:t>
            </w:r>
          </w:p>
        </w:tc>
        <w:tc>
          <w:tcPr>
            <w:tcW w:type="dxa" w:w="187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单一触点、小规模志愿用户</w:t>
            </w:r>
          </w:p>
        </w:tc>
        <w:tc>
          <w:tcPr>
            <w:tcW w:type="dxa" w:w="357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访谈、可用性测试、知识审核</w:t>
            </w:r>
          </w:p>
        </w:tc>
        <w:tc>
          <w:tcPr>
            <w:tcW w:type="dxa" w:w="215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关键指标达标且无重大风险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银行内测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沙箱环境、客户经理辅助</w:t>
            </w:r>
          </w:p>
        </w:tc>
        <w:tc>
          <w:tcPr>
            <w:tcW w:type="dxa" w:w="357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接入授权数据与合规目录、人工复核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安全与合规验收</w:t>
            </w:r>
          </w:p>
        </w:tc>
      </w:tr>
      <w:tr>
        <w:tc>
          <w:tcPr>
            <w:tcW w:type="dxa" w:w="124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分阶段推广</w:t>
            </w:r>
          </w:p>
        </w:tc>
        <w:tc>
          <w:tcPr>
            <w:tcW w:type="dxa" w:w="187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适老版/养老专区/远程银行</w:t>
            </w:r>
          </w:p>
        </w:tc>
        <w:tc>
          <w:tcPr>
            <w:tcW w:type="dxa" w:w="3572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监控、审计、模型治理与持续优化</w:t>
            </w:r>
          </w:p>
        </w:tc>
        <w:tc>
          <w:tcPr>
            <w:tcW w:type="dxa" w:w="215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运营指标持续改善</w:t>
            </w:r>
          </w:p>
        </w:tc>
      </w:tr>
    </w:tbl>
    <w:p/>
    <w:p>
      <w:pPr>
        <w:pStyle w:val="Heading1"/>
        <w:keepNext/>
      </w:pPr>
      <w:r>
        <w:t>13 竞争分析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232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优势</w:t>
            </w:r>
          </w:p>
        </w:tc>
        <w:tc>
          <w:tcPr>
            <w:tcW w:type="dxa" w:w="232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局限</w:t>
            </w:r>
          </w:p>
        </w:tc>
        <w:tc>
          <w:tcPr>
            <w:tcW w:type="dxa" w:w="272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本项目差异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传统智能客服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稳定、规则明确、业务入口成熟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以问答和导航为主，连续画像与规划有限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连接画像、规则规划、风险与家庭协同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通用大模型助手</w:t>
            </w:r>
          </w:p>
        </w:tc>
        <w:tc>
          <w:tcPr>
            <w:tcW w:type="dxa" w:w="232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语言自然、知识覆盖广</w:t>
            </w:r>
          </w:p>
        </w:tc>
        <w:tc>
          <w:tcPr>
            <w:tcW w:type="dxa" w:w="232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金融依据、合规边界和数据治理不足</w:t>
            </w:r>
          </w:p>
        </w:tc>
        <w:tc>
          <w:tcPr>
            <w:tcW w:type="dxa" w:w="272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受控RAG、规则计算、来源与降级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单点防诈工具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风险识别聚焦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无法覆盖养老规划和持续陪伴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防诈作为养老金融闭环的一环</w:t>
            </w:r>
          </w:p>
        </w:tc>
      </w:tr>
      <w:tr>
        <w:tc>
          <w:tcPr>
            <w:tcW w:type="dxa" w:w="170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传统财富规划工具</w:t>
            </w:r>
          </w:p>
        </w:tc>
        <w:tc>
          <w:tcPr>
            <w:tcW w:type="dxa" w:w="232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结构化、规则明确</w:t>
            </w:r>
          </w:p>
        </w:tc>
        <w:tc>
          <w:tcPr>
            <w:tcW w:type="dxa" w:w="232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交互门槛较高、适老化和知识解释有限</w:t>
            </w:r>
          </w:p>
        </w:tc>
        <w:tc>
          <w:tcPr>
            <w:tcW w:type="dxa" w:w="272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自然语言入口、多Agent与适老化报告</w:t>
            </w:r>
          </w:p>
        </w:tc>
      </w:tr>
    </w:tbl>
    <w:p/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忆路银龄不宣称在模型参数或单一算法上形成绝对领先，其竞争力来自场景整合与工程落地：养老金融主线、金融安全支撑、规则边界、知识来源、适老化体验和无外部依赖Demo共同构成完整方案。</w:t>
      </w:r>
    </w:p>
    <w:p>
      <w:pPr>
        <w:pStyle w:val="Heading1"/>
        <w:keepNext/>
      </w:pPr>
      <w:r>
        <w:t>14 实施进度、团队与资源</w:t>
      </w:r>
    </w:p>
    <w:p>
      <w:pPr>
        <w:pStyle w:val="Heading2"/>
        <w:keepNext/>
      </w:pPr>
      <w:r>
        <w:t>14.1 已完成里程碑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98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6633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成果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Sprint 1—3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工程基础、JWT认证、用户信息与银龄画像、Prompt个性化</w:t>
            </w:r>
          </w:p>
        </w:tc>
      </w:tr>
      <w:tr>
        <w:tc>
          <w:tcPr>
            <w:tcW w:type="dxa" w:w="198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Sprint 4—6</w:t>
            </w:r>
          </w:p>
        </w:tc>
        <w:tc>
          <w:tcPr>
            <w:tcW w:type="dxa" w:w="6633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文本诈骗、OCR、对象存储、管理统计与风险趋势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Sprint 7—9.1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LLM/Embedding抽象、pgvector、知识上传、可信度与健康探测</w:t>
            </w:r>
          </w:p>
        </w:tc>
      </w:tr>
      <w:tr>
        <w:tc>
          <w:tcPr>
            <w:tcW w:type="dxa" w:w="198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Sprint 10</w:t>
            </w:r>
          </w:p>
        </w:tc>
        <w:tc>
          <w:tcPr>
            <w:tcW w:type="dxa" w:w="6633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养老金融规划、模拟产品匹配、六段式AI报告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Sprint 11</w:t>
            </w:r>
          </w:p>
        </w:tc>
        <w:tc>
          <w:tcPr>
            <w:tcW w:type="dxa" w:w="663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六节点金融智能体、RAG来源、风险评分与执行链</w:t>
            </w:r>
          </w:p>
        </w:tc>
      </w:tr>
      <w:tr>
        <w:tc>
          <w:tcPr>
            <w:tcW w:type="dxa" w:w="198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Sprint 12</w:t>
            </w:r>
          </w:p>
        </w:tc>
        <w:tc>
          <w:tcPr>
            <w:tcW w:type="dxa" w:w="6633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Agent动画、金融健康指数、家庭协同与比赛Demo增强</w:t>
            </w:r>
          </w:p>
        </w:tc>
      </w:tr>
    </w:tbl>
    <w:p/>
    <w:p>
      <w:pPr>
        <w:pStyle w:val="Heading2"/>
        <w:keepNext/>
      </w:pPr>
      <w:r>
        <w:t>14.2 赛前工作重点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补充5—10位银龄用户和1—3位金融服务人员的真实访谈，保留匿名记录；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整理知识库权威来源、发布日期、版本和审核人，完成知识治理清单；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在可控环境完成30题DeepSeek + pgvector真实评估，不足项明确标记；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完成项目书、架构图、测试报告、Demo录屏、五分钟答辩和无网络演练；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冻结比赛版本并生成Git标签、构建哈希和交付备份。</w:t>
      </w:r>
    </w:p>
    <w:p>
      <w:pPr>
        <w:pStyle w:val="Heading2"/>
        <w:keepNext/>
      </w:pPr>
      <w:r>
        <w:t>14.3 团队分工建议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在不虚构成员信息的前提下，建议按三类职责组织：项目与金融负责人负责需求、业务规则、合规和答辩；AI与后端负责人负责Agent、RAG、LLM、数据与部署；前端与产品负责人负责适老化交互、可视化、用户测试和演示材料。最终报名版应替换为真实成员姓名、专业与贡献。</w:t>
      </w:r>
    </w:p>
    <w:p>
      <w:pPr>
        <w:pStyle w:val="Heading2"/>
        <w:keepNext/>
      </w:pPr>
      <w:r>
        <w:t>14.4 PoC资源预算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83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8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估算范围</w:t>
            </w:r>
          </w:p>
        </w:tc>
        <w:tc>
          <w:tcPr>
            <w:tcW w:type="dxa" w:w="351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模型与Embedding测试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100—800元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按真实联调调用量控制，Demo不产生调用</w:t>
            </w:r>
          </w:p>
        </w:tc>
      </w:tr>
      <w:tr>
        <w:tc>
          <w:tcPr>
            <w:tcW w:type="dxa" w:w="283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云主机/对象存储（可选）</w:t>
            </w:r>
          </w:p>
        </w:tc>
        <w:tc>
          <w:tcPr>
            <w:tcW w:type="dxa" w:w="226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100—500元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比赛前短期沙箱，非现场必需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调研与打印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100—400元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访谈交通、材料与展示备份</w:t>
            </w:r>
          </w:p>
        </w:tc>
      </w:tr>
      <w:tr>
        <w:tc>
          <w:tcPr>
            <w:tcW w:type="dxa" w:w="283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合计</w:t>
            </w:r>
          </w:p>
        </w:tc>
        <w:tc>
          <w:tcPr>
            <w:tcW w:type="dxa" w:w="2268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约300—1700元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内部PoC估算，不含差旅，不是官方预算</w:t>
            </w:r>
          </w:p>
        </w:tc>
      </w:tr>
    </w:tbl>
    <w:p/>
    <w:p>
      <w:pPr>
        <w:pStyle w:val="Heading1"/>
        <w:keepNext/>
      </w:pPr>
      <w:r>
        <w:t>15 风险与应对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7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55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可能影响</w:t>
            </w:r>
          </w:p>
        </w:tc>
        <w:tc>
          <w:tcPr>
            <w:tcW w:type="dxa" w:w="419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应对措施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真实需求证据不足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被认为技术先行、场景后补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开展小规模访谈和可用性测试，不补造数据</w:t>
            </w:r>
          </w:p>
        </w:tc>
      </w:tr>
      <w:tr>
        <w:tc>
          <w:tcPr>
            <w:tcW w:type="dxa" w:w="187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大模型幻觉</w:t>
            </w:r>
          </w:p>
        </w:tc>
        <w:tc>
          <w:tcPr>
            <w:tcW w:type="dxa" w:w="255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错误解释金融规则</w:t>
            </w:r>
          </w:p>
        </w:tc>
        <w:tc>
          <w:tcPr>
            <w:tcW w:type="dxa" w:w="419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RAG来源、规则校验、风险提示、人工复核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知识过期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回答依据失效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来源登记、版本控制、定期审核与下架机制</w:t>
            </w:r>
          </w:p>
        </w:tc>
      </w:tr>
      <w:tr>
        <w:tc>
          <w:tcPr>
            <w:tcW w:type="dxa" w:w="187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外部服务故障</w:t>
            </w:r>
          </w:p>
        </w:tc>
        <w:tc>
          <w:tcPr>
            <w:tcW w:type="dxa" w:w="255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现场演示中断</w:t>
            </w:r>
          </w:p>
        </w:tc>
        <w:tc>
          <w:tcPr>
            <w:tcW w:type="dxa" w:w="419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Demo全本地、模板降级、录屏与静态截图备份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规划规则过简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被误解为真实建议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明确演示边界，增加规则说明与银行适当性接口</w:t>
            </w:r>
          </w:p>
        </w:tc>
      </w:tr>
      <w:tr>
        <w:tc>
          <w:tcPr>
            <w:tcW w:type="dxa" w:w="187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敏感数据泄露</w:t>
            </w:r>
          </w:p>
        </w:tc>
        <w:tc>
          <w:tcPr>
            <w:tcW w:type="dxa" w:w="255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隐私与合规风险</w:t>
            </w:r>
          </w:p>
        </w:tc>
        <w:tc>
          <w:tcPr>
            <w:tcW w:type="dxa" w:w="419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最小化、授权、加密、RBAC、审计与删除机制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家庭协同越权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损害老人自主权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本人授权、最小摘要、权限分级与可撤回</w:t>
            </w:r>
          </w:p>
        </w:tc>
      </w:tr>
    </w:tbl>
    <w:p/>
    <w:p>
      <w:pPr>
        <w:pStyle w:val="Heading1"/>
        <w:keepNext/>
      </w:pPr>
      <w:r>
        <w:t>16 比赛Demo演示方案</w:t>
      </w:r>
    </w:p>
    <w:p>
      <w:pPr>
        <w:pStyle w:val="Heading2"/>
        <w:keepNext/>
      </w:pPr>
      <w:r>
        <w:t>16.1 五分钟核心流程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247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351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85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评委看到的结论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0:00—0:30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一句话痛点与业务闭环图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项目解决养老金融服务连续性，不是普通聊天</w:t>
            </w:r>
          </w:p>
        </w:tc>
      </w:tr>
      <w:tr>
        <w:tc>
          <w:tcPr>
            <w:tcW w:type="dxa" w:w="124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0:30—1:40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输入“68岁、50万元、6000元退休金”运行Agent</w:t>
            </w:r>
          </w:p>
        </w:tc>
        <w:tc>
          <w:tcPr>
            <w:tcW w:type="dxa" w:w="385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六节点依次执行，规则与AI分工可见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1:40—2:30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展示规划、模拟产品理由和RAG来源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金融决策链有依据、有边界</w:t>
            </w:r>
          </w:p>
        </w:tc>
      </w:tr>
      <w:tr>
        <w:tc>
          <w:tcPr>
            <w:tcW w:type="dxa" w:w="124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2:30—3:20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输入养老金异常点击链接或上传截图</w:t>
            </w:r>
          </w:p>
        </w:tc>
        <w:tc>
          <w:tcPr>
            <w:tcW w:type="dxa" w:w="385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养老规划之外还能守护资金安全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3:20—4:10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展示健康指数与家庭摘要</w:t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从一次问答扩展到持续陪伴</w:t>
            </w:r>
          </w:p>
        </w:tc>
      </w:tr>
      <w:tr>
        <w:tc>
          <w:tcPr>
            <w:tcW w:type="dxa" w:w="1247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4:10—5:00</w:t>
            </w:r>
          </w:p>
        </w:tc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架构、Demo降级、银行落地与免责声明</w:t>
            </w:r>
          </w:p>
        </w:tc>
        <w:tc>
          <w:tcPr>
            <w:tcW w:type="dxa" w:w="385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做得出来、能稳定演示、知道如何合规落地</w:t>
            </w:r>
          </w:p>
        </w:tc>
      </w:tr>
    </w:tbl>
    <w:p/>
    <w:p>
      <w:pPr>
        <w:pStyle w:val="Heading2"/>
        <w:keepNext/>
      </w:pPr>
      <w:r>
        <w:t>16.2 演示保障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主方案：本机Demo profile；备用方案：预构建Jar + start-demo.bat。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二级备份：90秒核心录屏、关键页面高清截图和接口响应JSON。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演示前检查Java版本、8080/5173端口、浏览器缓存、账号和投屏比例。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不在答辩现场临时切换真实API Key，不展示任何密钥或真实个人数据。</w:t>
      </w:r>
    </w:p>
    <w:p>
      <w:pPr>
        <w:pStyle w:val="Heading1"/>
        <w:keepNext/>
      </w:pPr>
      <w:r>
        <w:t>17 社会价值与预期成果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忆路银龄的社会价值在于提升银龄群体对养老金融信息的理解能力、风险意识和自主决策支持，而不是追求更多交易。通过把复杂概念转为简明步骤、把风险依据显式展示、把诈骗防护嵌入规划旅程、把家庭陪伴建立在授权基础上，平台有望降低数字金融使用门槛，促进养老金融教育与适老服务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项目当前预期成果包括可运行Web原型、完整前后端代码、数据库脚本、API文档、Demo一键启动包、30题评估问题集及比赛项目书。未来成果目标为经过真实用户验证的适老交互规范、经过审核的养老金融知识清单、可复现的模型质量报告和银行沙箱试点方案。所有未来目标均需以实际验证为准。</w:t>
      </w:r>
    </w:p>
    <w:p>
      <w:pPr>
        <w:pStyle w:val="Heading1"/>
        <w:keepNext/>
      </w:pPr>
      <w:r>
        <w:t>18 结论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忆路银龄围绕养老金融真实服务链，将用户画像、风险评估、资金用途规划、知识检索、产品类别匹配、报告生成、诈骗防护、健康观察和家庭协同连接为完整闭环。系统不把关键金融判断完全交给大模型，而以业务规则守住底线、RAG提供依据、Agent完成编排、LLM完成适老化表达；同时通过dev/demo隔离和多级降级保证工程可运行性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项目的下一步不是继续堆叠功能，而是补强真实需求证据、知识治理、模型评估和银行合规落地。其核心价值在于证明：面向银龄客户的AI金融服务可以既易懂，也可解释；既体现技术创新，也尊重金融边界。</w:t>
      </w:r>
    </w:p>
    <w:p>
      <w:pPr>
        <w:pStyle w:val="Heading1"/>
        <w:keepNext/>
      </w:pPr>
      <w:r>
        <w:t>参考资料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[1] 第十七届“工行杯”全国大学生金融科技创新大赛公开赛事资料与赛事指引，检索日期：2026-09-20。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[2] 中国工商银行“工行杯”往期优秀作品公开页面：AI绿鉴、e企融、青葵宝、智盾链等，检索日期：2026-09-20。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[3] 忆路银龄项目仓库README、Sprint 1—12 API文档、数据库脚本与测试代码，版本：Git commit 8b7294b。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[4] 《个人养老金实施办法》及个人养老金制度相关公开政策资料。正式知识库接入时应记录具体发布机关、文号、日期与版本。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[5] 《中华人民共和国个人信息保护法》《中华人民共和国数据安全法》《中华人民共和国网络安全法》。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[6] DeepSeek与通义千问OpenAI兼容接口公开技术文档；PostgreSQL pgvector技术文档。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[7] 项目研究材料：《“忆路银龄”工行杯项目书、PPT与五分钟答辩全套规划》，2026-09-20。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说明：研究材料未保留部分赛事网页的完整URL。正式提交前，应由团队依据报名页面和官方通知补齐可访问链接、发布日期与访问日期；如学校或赛区下发统一项目书模板，以该模板为准。</w:t>
      </w:r>
    </w:p>
    <w:p>
      <w:pPr>
        <w:pStyle w:val="Heading1"/>
        <w:keepNext/>
      </w:pPr>
      <w:r>
        <w:t>附录A 主要接口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351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191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005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134"/>
            <w:shd w:fill="1F4E5F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权限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/api/v1/auth/login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登录并返回JWT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公开</w:t>
            </w:r>
          </w:p>
        </w:tc>
      </w:tr>
      <w:tr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/api/v1/profile/me</w:t>
            </w:r>
          </w:p>
        </w:tc>
        <w:tc>
          <w:tcPr>
            <w:tcW w:type="dxa" w:w="119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GET/PUT</w:t>
            </w:r>
          </w:p>
        </w:tc>
        <w:tc>
          <w:tcPr>
            <w:tcW w:type="dxa" w:w="300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查询与更新银龄画像</w:t>
            </w:r>
          </w:p>
        </w:tc>
        <w:tc>
          <w:tcPr>
            <w:tcW w:type="dxa" w:w="113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/api/v1/assistant/chat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AI养老金融问答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</w:t>
            </w:r>
          </w:p>
        </w:tc>
      </w:tr>
      <w:tr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/api/v1/financial/plan</w:t>
            </w:r>
          </w:p>
        </w:tc>
        <w:tc>
          <w:tcPr>
            <w:tcW w:type="dxa" w:w="119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300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生成养老金融规划</w:t>
            </w:r>
          </w:p>
        </w:tc>
        <w:tc>
          <w:tcPr>
            <w:tcW w:type="dxa" w:w="113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/api/v1/financial/agent/chat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运行六节点金融智能体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</w:t>
            </w:r>
          </w:p>
        </w:tc>
      </w:tr>
      <w:tr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/api/v1/financial/health-score</w:t>
            </w:r>
          </w:p>
        </w:tc>
        <w:tc>
          <w:tcPr>
            <w:tcW w:type="dxa" w:w="119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300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金融健康指数</w:t>
            </w:r>
          </w:p>
        </w:tc>
        <w:tc>
          <w:tcPr>
            <w:tcW w:type="dxa" w:w="113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/api/v1/financial/family-summary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家庭协同摘要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</w:t>
            </w:r>
          </w:p>
        </w:tc>
      </w:tr>
      <w:tr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/api/v1/fraud/detect/text</w:t>
            </w:r>
          </w:p>
        </w:tc>
        <w:tc>
          <w:tcPr>
            <w:tcW w:type="dxa" w:w="119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300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文本诈骗检测</w:t>
            </w:r>
          </w:p>
        </w:tc>
        <w:tc>
          <w:tcPr>
            <w:tcW w:type="dxa" w:w="113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/api/v1/fraud/detect/image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OCR图片诈骗检测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JWT</w:t>
            </w:r>
          </w:p>
        </w:tc>
      </w:tr>
      <w:tr>
        <w:tc>
          <w:tcPr>
            <w:tcW w:type="dxa" w:w="351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/api/v1/admin/knowledge/upload</w:t>
            </w:r>
          </w:p>
        </w:tc>
        <w:tc>
          <w:tcPr>
            <w:tcW w:type="dxa" w:w="1191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type="dxa" w:w="3005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知识文档处理入库</w:t>
            </w:r>
          </w:p>
        </w:tc>
        <w:tc>
          <w:tcPr>
            <w:tcW w:type="dxa" w:w="1134"/>
            <w:shd w:fill="EEF5F3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ADMIN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/api/v1/system/health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系统依赖健康状态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公开</w:t>
            </w:r>
          </w:p>
        </w:tc>
      </w:tr>
    </w:tbl>
    <w:p/>
    <w:p>
      <w:pPr>
        <w:pStyle w:val="Heading1"/>
        <w:keepNext/>
      </w:pPr>
      <w:r>
        <w:t>附录B Demo启动</w:t>
      </w:r>
    </w:p>
    <w:p>
      <w:pPr>
        <w:spacing w:line="348" w:lineRule="auto" w:after="120"/>
        <w:ind w:firstLine="420"/>
      </w:pPr>
      <w:r>
        <w:rPr>
          <w:rFonts w:ascii="宋体" w:hAnsi="宋体" w:eastAsia="宋体"/>
          <w:b w:val="0"/>
          <w:sz w:val="22"/>
        </w:rPr>
        <w:t>比赛电脑需安装Java 21。进入交付目录，双击start-demo.bat，或执行：</w:t>
      </w:r>
    </w:p>
    <w:p>
      <w:r>
        <w:rPr>
          <w:rFonts w:ascii="Consolas" w:hAnsi="Consolas" w:eastAsia="Consolas"/>
          <w:b w:val="0"/>
          <w:color w:val="1F6B62"/>
          <w:sz w:val="20"/>
        </w:rPr>
        <w:t>java -jar yinling-backend.jar --spring.profiles.active=demo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账号：admin；密码：123456。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Swagger：http://localhost:8080/swagger-ui/index.html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健康检查：http://localhost:8080/api/v1/system/health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Demo模式不连接MySQL、Redis、PostgreSQL、MinIO或DeepSeek。</w:t>
      </w:r>
    </w:p>
    <w:p>
      <w:pPr>
        <w:pStyle w:val="Heading1"/>
        <w:keepNext/>
      </w:pPr>
      <w:r>
        <w:t>附录C 提交前证据清单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补齐真实团队、学校、指导教师与联系方式，仅使用报名系统一致信息。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保留mvn test与npm run build完整日志，并记录测试通过/跳过数量。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在配置真实服务的环境中运行30题评估，禁止以Mock结果冒充真实指标。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整理每条知识的来源、发布日期、版本、审核状态和下架机制。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完成银龄用户访谈、银行服务人员访谈和可用性测试，匿名归档原始证据。</w:t>
      </w:r>
    </w:p>
    <w:p>
      <w:pPr>
        <w:pStyle w:val="ListBullet"/>
        <w:spacing w:after="60"/>
        <w:ind w:left="454"/>
      </w:pPr>
      <w:r>
        <w:rPr>
          <w:rFonts w:ascii="宋体" w:hAnsi="宋体" w:eastAsia="宋体"/>
          <w:b w:val="0"/>
          <w:sz w:val="21"/>
        </w:rPr>
        <w:t>导出PDF后检查目录、页码、图表、字体、链接与文件大小，再于官方截止前上传。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464"/>
        <w:sz w:val="16"/>
      </w:rPr>
      <w:t xml:space="preserve">本项目不执行真实交易，不构成投资建议，不承诺收益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b w:val="0"/>
        <w:color w:val="5A6E73"/>
        <w:sz w:val="16"/>
      </w:rPr>
      <w:t>忆路银龄｜养老金融赛道项目书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83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6B6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A66A3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忆路银龄项目书</dc:title>
  <dc:subject>基于多智能体协同与RAG知识增强的银龄养老金融陪伴与风险防护平台</dc:subject>
  <dc:creator>忆路银龄项目团队</dc:creator>
  <cp:keywords>养老金融, 多智能体, RAG, 银龄服务, 金融安全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