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微软雅黑" w:hAnsi="微软雅黑" w:eastAsia="微软雅黑"/>
          <w:b/>
          <w:color w:val="183A43"/>
          <w:sz w:val="64"/>
        </w:rPr>
        <w:t>忆路银龄</w:t>
      </w:r>
    </w:p>
    <w:p>
      <w:pPr>
        <w:spacing w:before="240"/>
        <w:jc w:val="center"/>
      </w:pPr>
      <w:r>
        <w:rPr>
          <w:rFonts w:ascii="微软雅黑" w:hAnsi="微软雅黑" w:eastAsia="微软雅黑"/>
          <w:b/>
          <w:color w:val="1F6B62"/>
          <w:sz w:val="36"/>
        </w:rPr>
        <w:t>面向银行养老金融业务的智能决策与服务增强平台</w:t>
      </w:r>
    </w:p>
    <w:p>
      <w:pPr>
        <w:spacing w:before="600"/>
        <w:jc w:val="center"/>
      </w:pPr>
      <w:r>
        <w:rPr>
          <w:rFonts w:ascii="宋体" w:hAnsi="宋体" w:eastAsia="宋体"/>
          <w:b/>
          <w:color w:val="4B555A"/>
          <w:sz w:val="26"/>
        </w:rPr>
        <w:t>第十七届“工行杯”全国大学生金融科技创新大赛</w:t>
      </w:r>
    </w:p>
    <w:p>
      <w:pPr>
        <w:jc w:val="center"/>
      </w:pPr>
      <w:r>
        <w:rPr>
          <w:rFonts w:ascii="微软雅黑" w:hAnsi="微软雅黑" w:eastAsia="微软雅黑"/>
          <w:b/>
          <w:color w:val="C17C38"/>
          <w:sz w:val="24"/>
        </w:rPr>
        <w:t>参赛方向：养老金融</w:t>
      </w:r>
    </w:p>
    <w:p>
      <w:r>
        <w:br/>
        <w:br/>
      </w:r>
    </w:p>
    <w:tbl>
      <w:tblPr>
        <w:tblW w:type="auto" w:w="0"/>
        <w:jc w:val="center"/>
        <w:tblLook w:firstColumn="1" w:firstRow="1" w:lastColumn="0" w:lastRow="0" w:noHBand="0" w:noVBand="1" w:val="04A0"/>
      </w:tblPr>
      <w:tblGrid>
        <w:gridCol w:w="9632"/>
      </w:tblGrid>
      <w:tr>
        <w:tc>
          <w:tcPr>
            <w:tcW w:type="dxa" w:w="9632"/>
            <w:shd w:fill="EEF5F3"/>
            <w:vAlign w:val="center"/>
          </w:tcPr>
          <w:p>
            <w:pPr>
              <w:spacing w:after="0"/>
            </w:pPr>
            <w:r/>
            <w:r>
              <w:rPr>
                <w:rFonts w:ascii="微软雅黑" w:hAnsi="微软雅黑" w:eastAsia="微软雅黑"/>
                <w:b/>
                <w:color w:val="1F6B62"/>
                <w:sz w:val="22"/>
              </w:rPr>
              <w:t>AI理解需求｜规则守住边界｜知识库提供依据｜银行完成合规服务</w:t>
            </w:r>
          </w:p>
        </w:tc>
      </w:tr>
    </w:tbl>
    <w:p>
      <w:pPr>
        <w:spacing w:before="2200"/>
        <w:jc w:val="center"/>
      </w:pPr>
      <w:r>
        <w:rPr>
          <w:rFonts w:ascii="宋体" w:hAnsi="宋体" w:eastAsia="宋体"/>
          <w:b w:val="0"/>
          <w:color w:val="646464"/>
          <w:sz w:val="20"/>
        </w:rPr>
        <w:t>项目书 V1.0  ·  2026年9月</w:t>
      </w:r>
    </w:p>
    <w:p>
      <w:r>
        <w:br w:type="page"/>
      </w:r>
    </w:p>
    <w:p>
      <w:pPr>
        <w:pStyle w:val="Heading1"/>
        <w:keepNext/>
      </w:pPr>
      <w:r>
        <w:t>第一部分 项目概述</w:t>
      </w:r>
    </w:p>
    <w:p>
      <w:pPr>
        <w:pStyle w:val="Heading2"/>
        <w:keepNext/>
      </w:pPr>
      <w:r>
        <w:t>1.1 项目简介</w:t>
      </w:r>
    </w:p>
    <w:p>
      <w:pPr>
        <w:spacing w:line="348" w:lineRule="auto" w:after="120"/>
        <w:ind w:firstLine="420"/>
      </w:pPr>
      <w:r>
        <w:rPr>
          <w:rFonts w:ascii="宋体" w:hAnsi="宋体" w:eastAsia="宋体"/>
          <w:b w:val="0"/>
          <w:sz w:val="22"/>
        </w:rPr>
        <w:t>忆路银龄是一套面向银行养老金融业务的智能决策与服务增强平台原型。平台服务银龄客户、家庭成员和银行服务人员，将银龄客户的自然语言需求、用户画像、风险评估、养老资金规划、金融知识解释、风险防护和家庭协同连接为一条可观察、可解释、可降级的服务链。项目的主赛道是养老金融，数字金融和金融安全是支撑能力。</w:t>
      </w:r>
    </w:p>
    <w:p>
      <w:pPr>
        <w:spacing w:line="348" w:lineRule="auto" w:after="120"/>
        <w:ind w:firstLine="420"/>
      </w:pPr>
      <w:r>
        <w:rPr>
          <w:rFonts w:ascii="宋体" w:hAnsi="宋体" w:eastAsia="宋体"/>
          <w:b w:val="0"/>
          <w:sz w:val="22"/>
        </w:rPr>
        <w:t>项目当前已经实现可运行的前后端系统，而不是停留在概念设计：后端使用Java 21与Spring Boot 3，前端使用Vue 3与TypeScript；系统包含JWT认证、银龄画像、DeepSeek/Qwen抽象、RAG/pgvector、养老规划、多Agent决策链、诈骗检测、OCR、金融健康评分、家庭协同、管理统计和比赛Demo模式。</w:t>
      </w:r>
    </w:p>
    <w:p>
      <w:pPr>
        <w:pStyle w:val="Heading2"/>
        <w:keepNext/>
      </w:pPr>
      <w:r>
        <w:t>1.2 项目背景</w:t>
      </w:r>
    </w:p>
    <w:p>
      <w:pPr>
        <w:spacing w:line="348" w:lineRule="auto" w:after="120"/>
        <w:ind w:firstLine="420"/>
      </w:pPr>
      <w:r>
        <w:rPr>
          <w:rFonts w:ascii="宋体" w:hAnsi="宋体" w:eastAsia="宋体"/>
          <w:b w:val="0"/>
          <w:sz w:val="22"/>
        </w:rPr>
        <w:t>人口结构变化和养老保障方式多元化，使银龄客户对个人养老金、养老储蓄、医疗保障、长期照护、数字金融安全等信息的理解需求不断增加。银行正在从单一产品销售转向长期客户陪伴和综合养老金融服务，但银龄用户在数字工具使用、金融术语理解、风险识别和长期规划方面仍需要更连续、更易懂、更可信的辅助。</w:t>
      </w:r>
    </w:p>
    <w:p>
      <w:pPr>
        <w:spacing w:line="348" w:lineRule="auto" w:after="120"/>
        <w:ind w:firstLine="420"/>
      </w:pPr>
      <w:r>
        <w:rPr>
          <w:rFonts w:ascii="宋体" w:hAnsi="宋体" w:eastAsia="宋体"/>
          <w:b w:val="0"/>
          <w:sz w:val="22"/>
        </w:rPr>
        <w:t>本项目响应“工行杯”对养老金融真实服务场景、新技术应用、银行业务模式创新和项目可行性的关注，将大模型能力嵌入银行可能的养老金融专区、远程银行和客户经理工作台，而不是将系统包装成独立交易平台。</w:t>
      </w:r>
    </w:p>
    <w:p>
      <w:pPr>
        <w:pStyle w:val="Heading2"/>
        <w:keepNext/>
      </w:pPr>
      <w:r>
        <w:t>1.3 项目核心价值</w:t>
      </w:r>
    </w:p>
    <w:tbl>
      <w:tblPr>
        <w:tblStyle w:val="TableGrid"/>
        <w:tblW w:type="auto" w:w="0"/>
        <w:jc w:val="center"/>
        <w:tblLook w:firstColumn="1" w:firstRow="1" w:lastColumn="0" w:lastRow="0" w:noHBand="0" w:noVBand="1" w:val="04A0"/>
      </w:tblPr>
      <w:tblGrid>
        <w:gridCol w:w="3211"/>
        <w:gridCol w:w="3211"/>
        <w:gridCol w:w="3211"/>
      </w:tblGrid>
      <w:tr>
        <w:tc>
          <w:tcPr>
            <w:tcW w:type="dxa" w:w="1701"/>
            <w:shd w:fill="1F4E5F"/>
            <w:vAlign w:val="center"/>
          </w:tcPr>
          <w:p>
            <w:pPr>
              <w:spacing w:after="0"/>
            </w:pPr>
            <w:r/>
            <w:r>
              <w:rPr>
                <w:rFonts w:ascii="微软雅黑" w:hAnsi="微软雅黑" w:eastAsia="微软雅黑"/>
                <w:b/>
                <w:color w:val="FFFFFF"/>
                <w:sz w:val="18"/>
              </w:rPr>
              <w:t>对象</w:t>
            </w:r>
          </w:p>
        </w:tc>
        <w:tc>
          <w:tcPr>
            <w:tcW w:type="dxa" w:w="3969"/>
            <w:shd w:fill="1F4E5F"/>
            <w:vAlign w:val="center"/>
          </w:tcPr>
          <w:p>
            <w:pPr>
              <w:spacing w:after="0"/>
            </w:pPr>
            <w:r/>
            <w:r>
              <w:rPr>
                <w:rFonts w:ascii="微软雅黑" w:hAnsi="微软雅黑" w:eastAsia="微软雅黑"/>
                <w:b/>
                <w:color w:val="FFFFFF"/>
                <w:sz w:val="18"/>
              </w:rPr>
              <w:t>价值主张</w:t>
            </w:r>
          </w:p>
        </w:tc>
        <w:tc>
          <w:tcPr>
            <w:tcW w:type="dxa" w:w="3402"/>
            <w:shd w:fill="1F4E5F"/>
            <w:vAlign w:val="center"/>
          </w:tcPr>
          <w:p>
            <w:pPr>
              <w:spacing w:after="0"/>
            </w:pPr>
            <w:r/>
            <w:r>
              <w:rPr>
                <w:rFonts w:ascii="微软雅黑" w:hAnsi="微软雅黑" w:eastAsia="微软雅黑"/>
                <w:b/>
                <w:color w:val="FFFFFF"/>
                <w:sz w:val="18"/>
              </w:rPr>
              <w:t>当前系统对应能力</w:t>
            </w:r>
          </w:p>
        </w:tc>
      </w:tr>
      <w:tr>
        <w:tc>
          <w:tcPr>
            <w:tcW w:type="dxa" w:w="1701"/>
            <w:vAlign w:val="center"/>
          </w:tcPr>
          <w:p>
            <w:pPr>
              <w:spacing w:after="0"/>
            </w:pPr>
            <w:r/>
            <w:r>
              <w:rPr>
                <w:rFonts w:ascii="微软雅黑" w:hAnsi="微软雅黑" w:eastAsia="微软雅黑"/>
                <w:b w:val="0"/>
                <w:sz w:val="17"/>
              </w:rPr>
              <w:t>银龄客户</w:t>
            </w:r>
          </w:p>
        </w:tc>
        <w:tc>
          <w:tcPr>
            <w:tcW w:type="dxa" w:w="3969"/>
            <w:vAlign w:val="center"/>
          </w:tcPr>
          <w:p>
            <w:pPr>
              <w:spacing w:after="0"/>
            </w:pPr>
            <w:r/>
            <w:r>
              <w:rPr>
                <w:rFonts w:ascii="微软雅黑" w:hAnsi="微软雅黑" w:eastAsia="微软雅黑"/>
                <w:b w:val="0"/>
                <w:sz w:val="17"/>
              </w:rPr>
              <w:t>降低金融理解门槛，形成可理解的养老规划和风险提醒</w:t>
            </w:r>
          </w:p>
        </w:tc>
        <w:tc>
          <w:tcPr>
            <w:tcW w:type="dxa" w:w="3402"/>
            <w:vAlign w:val="center"/>
          </w:tcPr>
          <w:p>
            <w:pPr>
              <w:spacing w:after="0"/>
            </w:pPr>
            <w:r/>
            <w:r>
              <w:rPr>
                <w:rFonts w:ascii="微软雅黑" w:hAnsi="微软雅黑" w:eastAsia="微软雅黑"/>
                <w:b w:val="0"/>
                <w:sz w:val="17"/>
              </w:rPr>
              <w:t>适老化Prompt、养老规划、RAG来源、健康指数</w:t>
            </w:r>
          </w:p>
        </w:tc>
      </w:tr>
      <w:tr>
        <w:tc>
          <w:tcPr>
            <w:tcW w:type="dxa" w:w="1701"/>
            <w:shd w:fill="EEF5F3"/>
            <w:vAlign w:val="center"/>
          </w:tcPr>
          <w:p>
            <w:pPr>
              <w:spacing w:after="0"/>
            </w:pPr>
            <w:r/>
            <w:r>
              <w:rPr>
                <w:rFonts w:ascii="微软雅黑" w:hAnsi="微软雅黑" w:eastAsia="微软雅黑"/>
                <w:b w:val="0"/>
                <w:sz w:val="17"/>
              </w:rPr>
              <w:t>家庭成员</w:t>
            </w:r>
          </w:p>
        </w:tc>
        <w:tc>
          <w:tcPr>
            <w:tcW w:type="dxa" w:w="3969"/>
            <w:shd w:fill="EEF5F3"/>
            <w:vAlign w:val="center"/>
          </w:tcPr>
          <w:p>
            <w:pPr>
              <w:spacing w:after="0"/>
            </w:pPr>
            <w:r/>
            <w:r>
              <w:rPr>
                <w:rFonts w:ascii="微软雅黑" w:hAnsi="微软雅黑" w:eastAsia="微软雅黑"/>
                <w:b w:val="0"/>
                <w:sz w:val="17"/>
              </w:rPr>
              <w:t>在本人授权前提下参与养老管理，及时关注高风险信息</w:t>
            </w:r>
          </w:p>
        </w:tc>
        <w:tc>
          <w:tcPr>
            <w:tcW w:type="dxa" w:w="3402"/>
            <w:shd w:fill="EEF5F3"/>
            <w:vAlign w:val="center"/>
          </w:tcPr>
          <w:p>
            <w:pPr>
              <w:spacing w:after="0"/>
            </w:pPr>
            <w:r/>
            <w:r>
              <w:rPr>
                <w:rFonts w:ascii="微软雅黑" w:hAnsi="微软雅黑" w:eastAsia="微软雅黑"/>
                <w:b w:val="0"/>
                <w:sz w:val="17"/>
              </w:rPr>
              <w:t>家庭协同摘要、风险提示、最小化展示</w:t>
            </w:r>
          </w:p>
        </w:tc>
      </w:tr>
      <w:tr>
        <w:tc>
          <w:tcPr>
            <w:tcW w:type="dxa" w:w="1701"/>
            <w:vAlign w:val="center"/>
          </w:tcPr>
          <w:p>
            <w:pPr>
              <w:spacing w:after="0"/>
            </w:pPr>
            <w:r/>
            <w:r>
              <w:rPr>
                <w:rFonts w:ascii="微软雅黑" w:hAnsi="微软雅黑" w:eastAsia="微软雅黑"/>
                <w:b w:val="0"/>
                <w:sz w:val="17"/>
              </w:rPr>
              <w:t>银行机构</w:t>
            </w:r>
          </w:p>
        </w:tc>
        <w:tc>
          <w:tcPr>
            <w:tcW w:type="dxa" w:w="3969"/>
            <w:vAlign w:val="center"/>
          </w:tcPr>
          <w:p>
            <w:pPr>
              <w:spacing w:after="0"/>
            </w:pPr>
            <w:r/>
            <w:r>
              <w:rPr>
                <w:rFonts w:ascii="微软雅黑" w:hAnsi="微软雅黑" w:eastAsia="微软雅黑"/>
                <w:b w:val="0"/>
                <w:sz w:val="17"/>
              </w:rPr>
              <w:t>提升养老金融服务效率，辅助客户经理形成结构化沟通材料</w:t>
            </w:r>
          </w:p>
        </w:tc>
        <w:tc>
          <w:tcPr>
            <w:tcW w:type="dxa" w:w="3402"/>
            <w:vAlign w:val="center"/>
          </w:tcPr>
          <w:p>
            <w:pPr>
              <w:spacing w:after="0"/>
            </w:pPr>
            <w:r/>
            <w:r>
              <w:rPr>
                <w:rFonts w:ascii="微软雅黑" w:hAnsi="微软雅黑" w:eastAsia="微软雅黑"/>
                <w:b w:val="0"/>
                <w:sz w:val="17"/>
              </w:rPr>
              <w:t>画像、规划、Agent链、知识来源、服务统计</w:t>
            </w:r>
          </w:p>
        </w:tc>
      </w:tr>
    </w:tbl>
    <w:p/>
    <w:p>
      <w:pPr>
        <w:spacing w:line="348" w:lineRule="auto" w:after="120"/>
        <w:ind w:firstLine="420"/>
      </w:pPr>
      <w:r>
        <w:rPr>
          <w:rFonts w:ascii="宋体" w:hAnsi="宋体" w:eastAsia="宋体"/>
          <w:b w:val="0"/>
          <w:sz w:val="22"/>
        </w:rPr>
        <w:t>一句话定位：忆路银龄不是一个普通AI聊天入口，而是面向银行养老金融业务的智能决策与服务增强平台。</w:t>
      </w:r>
    </w:p>
    <w:p>
      <w:pPr>
        <w:pStyle w:val="Heading1"/>
        <w:keepNext/>
      </w:pPr>
      <w:r>
        <w:t>第二部分 行业背景与市场需求分析</w:t>
      </w:r>
    </w:p>
    <w:p>
      <w:pPr>
        <w:pStyle w:val="Heading2"/>
        <w:keepNext/>
      </w:pPr>
      <w:r>
        <w:t>2.1 养老金融发展趋势</w:t>
      </w:r>
    </w:p>
    <w:p>
      <w:pPr>
        <w:spacing w:line="348" w:lineRule="auto" w:after="120"/>
        <w:ind w:firstLine="420"/>
      </w:pPr>
      <w:r>
        <w:rPr>
          <w:rFonts w:ascii="宋体" w:hAnsi="宋体" w:eastAsia="宋体"/>
          <w:b w:val="0"/>
          <w:sz w:val="22"/>
        </w:rPr>
        <w:t>养老金融服务正在从单一的存款、支付和人工咨询，延伸到养老财富准备、个人养老金制度理解、医疗与长期照护保障、数字金融安全和家庭共同陪伴。对于银行而言，养老金融不仅是产品供给，也包括客户教育、适当性沟通、风险提示、持续服务和运营管理。</w:t>
      </w:r>
    </w:p>
    <w:p>
      <w:pPr>
        <w:pStyle w:val="ListBullet"/>
        <w:spacing w:after="60"/>
        <w:ind w:left="454"/>
      </w:pPr>
      <w:r>
        <w:rPr>
          <w:rFonts w:ascii="宋体" w:hAnsi="宋体" w:eastAsia="宋体"/>
          <w:b w:val="0"/>
          <w:sz w:val="21"/>
        </w:rPr>
        <w:t>制度趋势：个人养老金等制度持续完善，客户需要理解参与条件、缴费方式、领取规则和办理渠道。</w:t>
      </w:r>
    </w:p>
    <w:p>
      <w:pPr>
        <w:pStyle w:val="ListBullet"/>
        <w:spacing w:after="60"/>
        <w:ind w:left="454"/>
      </w:pPr>
      <w:r>
        <w:rPr>
          <w:rFonts w:ascii="宋体" w:hAnsi="宋体" w:eastAsia="宋体"/>
          <w:b w:val="0"/>
          <w:sz w:val="21"/>
        </w:rPr>
        <w:t>服务趋势：银行养老金融布局从单点产品转向专区、远程银行、网点和家庭场景的连续服务。</w:t>
      </w:r>
    </w:p>
    <w:p>
      <w:pPr>
        <w:pStyle w:val="ListBullet"/>
        <w:spacing w:after="60"/>
        <w:ind w:left="454"/>
      </w:pPr>
      <w:r>
        <w:rPr>
          <w:rFonts w:ascii="宋体" w:hAnsi="宋体" w:eastAsia="宋体"/>
          <w:b w:val="0"/>
          <w:sz w:val="21"/>
        </w:rPr>
        <w:t>技术趋势：生成式AI可以降低信息理解成本，但金融场景必须叠加受控知识、规则边界和人工审核。</w:t>
      </w:r>
    </w:p>
    <w:p>
      <w:pPr>
        <w:pStyle w:val="ListBullet"/>
        <w:spacing w:after="60"/>
        <w:ind w:left="454"/>
      </w:pPr>
      <w:r>
        <w:rPr>
          <w:rFonts w:ascii="宋体" w:hAnsi="宋体" w:eastAsia="宋体"/>
          <w:b w:val="0"/>
          <w:sz w:val="21"/>
        </w:rPr>
        <w:t>安全趋势：养老补贴、账户异常、冒充客服和高收益诱导等信息需要更早识别和更清晰解释。</w:t>
      </w:r>
    </w:p>
    <w:p>
      <w:pPr>
        <w:pStyle w:val="Heading2"/>
        <w:keepNext/>
      </w:pPr>
      <w:r>
        <w:t>2.2 银龄客户金融服务痛点</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701"/>
            <w:shd w:fill="1F4E5F"/>
            <w:vAlign w:val="center"/>
          </w:tcPr>
          <w:p>
            <w:pPr>
              <w:spacing w:after="0"/>
            </w:pPr>
            <w:r/>
            <w:r>
              <w:rPr>
                <w:rFonts w:ascii="微软雅黑" w:hAnsi="微软雅黑" w:eastAsia="微软雅黑"/>
                <w:b/>
                <w:color w:val="FFFFFF"/>
                <w:sz w:val="18"/>
              </w:rPr>
              <w:t>痛点</w:t>
            </w:r>
          </w:p>
        </w:tc>
        <w:tc>
          <w:tcPr>
            <w:tcW w:type="dxa" w:w="2835"/>
            <w:shd w:fill="1F4E5F"/>
            <w:vAlign w:val="center"/>
          </w:tcPr>
          <w:p>
            <w:pPr>
              <w:spacing w:after="0"/>
            </w:pPr>
            <w:r/>
            <w:r>
              <w:rPr>
                <w:rFonts w:ascii="微软雅黑" w:hAnsi="微软雅黑" w:eastAsia="微软雅黑"/>
                <w:b/>
                <w:color w:val="FFFFFF"/>
                <w:sz w:val="18"/>
              </w:rPr>
              <w:t>传统方式问题</w:t>
            </w:r>
          </w:p>
        </w:tc>
        <w:tc>
          <w:tcPr>
            <w:tcW w:type="dxa" w:w="2381"/>
            <w:shd w:fill="1F4E5F"/>
            <w:vAlign w:val="center"/>
          </w:tcPr>
          <w:p>
            <w:pPr>
              <w:spacing w:after="0"/>
            </w:pPr>
            <w:r/>
            <w:r>
              <w:rPr>
                <w:rFonts w:ascii="微软雅黑" w:hAnsi="微软雅黑" w:eastAsia="微软雅黑"/>
                <w:b/>
                <w:color w:val="FFFFFF"/>
                <w:sz w:val="18"/>
              </w:rPr>
              <w:t>银行服务影响</w:t>
            </w:r>
          </w:p>
        </w:tc>
        <w:tc>
          <w:tcPr>
            <w:tcW w:type="dxa" w:w="2381"/>
            <w:shd w:fill="1F4E5F"/>
            <w:vAlign w:val="center"/>
          </w:tcPr>
          <w:p>
            <w:pPr>
              <w:spacing w:after="0"/>
            </w:pPr>
            <w:r/>
            <w:r>
              <w:rPr>
                <w:rFonts w:ascii="微软雅黑" w:hAnsi="微软雅黑" w:eastAsia="微软雅黑"/>
                <w:b/>
                <w:color w:val="FFFFFF"/>
                <w:sz w:val="18"/>
              </w:rPr>
              <w:t>平台回应</w:t>
            </w:r>
          </w:p>
        </w:tc>
      </w:tr>
      <w:tr>
        <w:tc>
          <w:tcPr>
            <w:tcW w:type="dxa" w:w="1701"/>
            <w:vAlign w:val="center"/>
          </w:tcPr>
          <w:p>
            <w:pPr>
              <w:spacing w:after="0"/>
            </w:pPr>
            <w:r/>
            <w:r>
              <w:rPr>
                <w:rFonts w:ascii="微软雅黑" w:hAnsi="微软雅黑" w:eastAsia="微软雅黑"/>
                <w:b w:val="0"/>
                <w:sz w:val="17"/>
              </w:rPr>
              <w:t>金融知识复杂</w:t>
            </w:r>
          </w:p>
        </w:tc>
        <w:tc>
          <w:tcPr>
            <w:tcW w:type="dxa" w:w="2835"/>
            <w:vAlign w:val="center"/>
          </w:tcPr>
          <w:p>
            <w:pPr>
              <w:spacing w:after="0"/>
            </w:pPr>
            <w:r/>
            <w:r>
              <w:rPr>
                <w:rFonts w:ascii="微软雅黑" w:hAnsi="微软雅黑" w:eastAsia="微软雅黑"/>
                <w:b w:val="0"/>
                <w:sz w:val="17"/>
              </w:rPr>
              <w:t>人工解释依赖时间，术语和规则难理解</w:t>
            </w:r>
          </w:p>
        </w:tc>
        <w:tc>
          <w:tcPr>
            <w:tcW w:type="dxa" w:w="2381"/>
            <w:vAlign w:val="center"/>
          </w:tcPr>
          <w:p>
            <w:pPr>
              <w:spacing w:after="0"/>
            </w:pPr>
            <w:r/>
            <w:r>
              <w:rPr>
                <w:rFonts w:ascii="微软雅黑" w:hAnsi="微软雅黑" w:eastAsia="微软雅黑"/>
                <w:b w:val="0"/>
                <w:sz w:val="17"/>
              </w:rPr>
              <w:t>咨询重复、客户理解不一致</w:t>
            </w:r>
          </w:p>
        </w:tc>
        <w:tc>
          <w:tcPr>
            <w:tcW w:type="dxa" w:w="2381"/>
            <w:vAlign w:val="center"/>
          </w:tcPr>
          <w:p>
            <w:pPr>
              <w:spacing w:after="0"/>
            </w:pPr>
            <w:r/>
            <w:r>
              <w:rPr>
                <w:rFonts w:ascii="微软雅黑" w:hAnsi="微软雅黑" w:eastAsia="微软雅黑"/>
                <w:b w:val="0"/>
                <w:sz w:val="17"/>
              </w:rPr>
              <w:t>适老化语言、分步骤回答、RAG来源</w:t>
            </w:r>
          </w:p>
        </w:tc>
      </w:tr>
      <w:tr>
        <w:tc>
          <w:tcPr>
            <w:tcW w:type="dxa" w:w="1701"/>
            <w:shd w:fill="EEF5F3"/>
            <w:vAlign w:val="center"/>
          </w:tcPr>
          <w:p>
            <w:pPr>
              <w:spacing w:after="0"/>
            </w:pPr>
            <w:r/>
            <w:r>
              <w:rPr>
                <w:rFonts w:ascii="微软雅黑" w:hAnsi="微软雅黑" w:eastAsia="微软雅黑"/>
                <w:b w:val="0"/>
                <w:sz w:val="17"/>
              </w:rPr>
              <w:t>养老需求复杂</w:t>
            </w:r>
          </w:p>
        </w:tc>
        <w:tc>
          <w:tcPr>
            <w:tcW w:type="dxa" w:w="2835"/>
            <w:shd w:fill="EEF5F3"/>
            <w:vAlign w:val="center"/>
          </w:tcPr>
          <w:p>
            <w:pPr>
              <w:spacing w:after="0"/>
            </w:pPr>
            <w:r/>
            <w:r>
              <w:rPr>
                <w:rFonts w:ascii="微软雅黑" w:hAnsi="微软雅黑" w:eastAsia="微软雅黑"/>
                <w:b w:val="0"/>
                <w:sz w:val="17"/>
              </w:rPr>
              <w:t>收入、资产、医疗、旅行需求分散在不同对话中</w:t>
            </w:r>
          </w:p>
        </w:tc>
        <w:tc>
          <w:tcPr>
            <w:tcW w:type="dxa" w:w="2381"/>
            <w:shd w:fill="EEF5F3"/>
            <w:vAlign w:val="center"/>
          </w:tcPr>
          <w:p>
            <w:pPr>
              <w:spacing w:after="0"/>
            </w:pPr>
            <w:r/>
            <w:r>
              <w:rPr>
                <w:rFonts w:ascii="微软雅黑" w:hAnsi="微软雅黑" w:eastAsia="微软雅黑"/>
                <w:b w:val="0"/>
                <w:sz w:val="17"/>
              </w:rPr>
              <w:t>难形成连续客户视图</w:t>
            </w:r>
          </w:p>
        </w:tc>
        <w:tc>
          <w:tcPr>
            <w:tcW w:type="dxa" w:w="2381"/>
            <w:shd w:fill="EEF5F3"/>
            <w:vAlign w:val="center"/>
          </w:tcPr>
          <w:p>
            <w:pPr>
              <w:spacing w:after="0"/>
            </w:pPr>
            <w:r/>
            <w:r>
              <w:rPr>
                <w:rFonts w:ascii="微软雅黑" w:hAnsi="微软雅黑" w:eastAsia="微软雅黑"/>
                <w:b w:val="0"/>
                <w:sz w:val="17"/>
              </w:rPr>
              <w:t>画像Agent与结构化规划</w:t>
            </w:r>
          </w:p>
        </w:tc>
      </w:tr>
      <w:tr>
        <w:tc>
          <w:tcPr>
            <w:tcW w:type="dxa" w:w="1701"/>
            <w:vAlign w:val="center"/>
          </w:tcPr>
          <w:p>
            <w:pPr>
              <w:spacing w:after="0"/>
            </w:pPr>
            <w:r/>
            <w:r>
              <w:rPr>
                <w:rFonts w:ascii="微软雅黑" w:hAnsi="微软雅黑" w:eastAsia="微软雅黑"/>
                <w:b w:val="0"/>
                <w:sz w:val="17"/>
              </w:rPr>
              <w:t>风险识别不足</w:t>
            </w:r>
          </w:p>
        </w:tc>
        <w:tc>
          <w:tcPr>
            <w:tcW w:type="dxa" w:w="2835"/>
            <w:vAlign w:val="center"/>
          </w:tcPr>
          <w:p>
            <w:pPr>
              <w:spacing w:after="0"/>
            </w:pPr>
            <w:r/>
            <w:r>
              <w:rPr>
                <w:rFonts w:ascii="微软雅黑" w:hAnsi="微软雅黑" w:eastAsia="微软雅黑"/>
                <w:b w:val="0"/>
                <w:sz w:val="17"/>
              </w:rPr>
              <w:t>依赖客户主动求助，事后处理多</w:t>
            </w:r>
          </w:p>
        </w:tc>
        <w:tc>
          <w:tcPr>
            <w:tcW w:type="dxa" w:w="2381"/>
            <w:vAlign w:val="center"/>
          </w:tcPr>
          <w:p>
            <w:pPr>
              <w:spacing w:after="0"/>
            </w:pPr>
            <w:r/>
            <w:r>
              <w:rPr>
                <w:rFonts w:ascii="微软雅黑" w:hAnsi="微软雅黑" w:eastAsia="微软雅黑"/>
                <w:b w:val="0"/>
                <w:sz w:val="17"/>
              </w:rPr>
              <w:t>诈骗损失与信任风险</w:t>
            </w:r>
          </w:p>
        </w:tc>
        <w:tc>
          <w:tcPr>
            <w:tcW w:type="dxa" w:w="2381"/>
            <w:vAlign w:val="center"/>
          </w:tcPr>
          <w:p>
            <w:pPr>
              <w:spacing w:after="0"/>
            </w:pPr>
            <w:r/>
            <w:r>
              <w:rPr>
                <w:rFonts w:ascii="微软雅黑" w:hAnsi="微软雅黑" w:eastAsia="微软雅黑"/>
                <w:b w:val="0"/>
                <w:sz w:val="17"/>
              </w:rPr>
              <w:t>文本/OCR检测、规则分、原因解释</w:t>
            </w:r>
          </w:p>
        </w:tc>
      </w:tr>
      <w:tr>
        <w:tc>
          <w:tcPr>
            <w:tcW w:type="dxa" w:w="1701"/>
            <w:shd w:fill="EEF5F3"/>
            <w:vAlign w:val="center"/>
          </w:tcPr>
          <w:p>
            <w:pPr>
              <w:spacing w:after="0"/>
            </w:pPr>
            <w:r/>
            <w:r>
              <w:rPr>
                <w:rFonts w:ascii="微软雅黑" w:hAnsi="微软雅黑" w:eastAsia="微软雅黑"/>
                <w:b w:val="0"/>
                <w:sz w:val="17"/>
              </w:rPr>
              <w:t>服务断裂</w:t>
            </w:r>
          </w:p>
        </w:tc>
        <w:tc>
          <w:tcPr>
            <w:tcW w:type="dxa" w:w="2835"/>
            <w:shd w:fill="EEF5F3"/>
            <w:vAlign w:val="center"/>
          </w:tcPr>
          <w:p>
            <w:pPr>
              <w:spacing w:after="0"/>
            </w:pPr>
            <w:r/>
            <w:r>
              <w:rPr>
                <w:rFonts w:ascii="微软雅黑" w:hAnsi="微软雅黑" w:eastAsia="微软雅黑"/>
                <w:b w:val="0"/>
                <w:sz w:val="17"/>
              </w:rPr>
              <w:t>一次咨询结束后缺少留痕和家庭协同</w:t>
            </w:r>
          </w:p>
        </w:tc>
        <w:tc>
          <w:tcPr>
            <w:tcW w:type="dxa" w:w="2381"/>
            <w:shd w:fill="EEF5F3"/>
            <w:vAlign w:val="center"/>
          </w:tcPr>
          <w:p>
            <w:pPr>
              <w:spacing w:after="0"/>
            </w:pPr>
            <w:r/>
            <w:r>
              <w:rPr>
                <w:rFonts w:ascii="微软雅黑" w:hAnsi="微软雅黑" w:eastAsia="微软雅黑"/>
                <w:b w:val="0"/>
                <w:sz w:val="17"/>
              </w:rPr>
              <w:t>客户关系难持续</w:t>
            </w:r>
          </w:p>
        </w:tc>
        <w:tc>
          <w:tcPr>
            <w:tcW w:type="dxa" w:w="2381"/>
            <w:shd w:fill="EEF5F3"/>
            <w:vAlign w:val="center"/>
          </w:tcPr>
          <w:p>
            <w:pPr>
              <w:spacing w:after="0"/>
            </w:pPr>
            <w:r/>
            <w:r>
              <w:rPr>
                <w:rFonts w:ascii="微软雅黑" w:hAnsi="微软雅黑" w:eastAsia="微软雅黑"/>
                <w:b w:val="0"/>
                <w:sz w:val="17"/>
              </w:rPr>
              <w:t>规划记录、健康指数、家庭摘要</w:t>
            </w:r>
          </w:p>
        </w:tc>
      </w:tr>
    </w:tbl>
    <w:p/>
    <w:p>
      <w:pPr>
        <w:pStyle w:val="Heading2"/>
        <w:keepNext/>
      </w:pPr>
      <w:r>
        <w:t>2.3 当前解决方案分析</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814"/>
            <w:shd w:fill="1F4E5F"/>
            <w:vAlign w:val="center"/>
          </w:tcPr>
          <w:p>
            <w:pPr>
              <w:spacing w:after="0"/>
            </w:pPr>
            <w:r/>
            <w:r>
              <w:rPr>
                <w:rFonts w:ascii="微软雅黑" w:hAnsi="微软雅黑" w:eastAsia="微软雅黑"/>
                <w:b/>
                <w:color w:val="FFFFFF"/>
                <w:sz w:val="18"/>
              </w:rPr>
              <w:t>方案</w:t>
            </w:r>
          </w:p>
        </w:tc>
        <w:tc>
          <w:tcPr>
            <w:tcW w:type="dxa" w:w="2268"/>
            <w:shd w:fill="1F4E5F"/>
            <w:vAlign w:val="center"/>
          </w:tcPr>
          <w:p>
            <w:pPr>
              <w:spacing w:after="0"/>
            </w:pPr>
            <w:r/>
            <w:r>
              <w:rPr>
                <w:rFonts w:ascii="微软雅黑" w:hAnsi="微软雅黑" w:eastAsia="微软雅黑"/>
                <w:b/>
                <w:color w:val="FFFFFF"/>
                <w:sz w:val="18"/>
              </w:rPr>
              <w:t>优势</w:t>
            </w:r>
          </w:p>
        </w:tc>
        <w:tc>
          <w:tcPr>
            <w:tcW w:type="dxa" w:w="2835"/>
            <w:shd w:fill="1F4E5F"/>
            <w:vAlign w:val="center"/>
          </w:tcPr>
          <w:p>
            <w:pPr>
              <w:spacing w:after="0"/>
            </w:pPr>
            <w:r/>
            <w:r>
              <w:rPr>
                <w:rFonts w:ascii="微软雅黑" w:hAnsi="微软雅黑" w:eastAsia="微软雅黑"/>
                <w:b/>
                <w:color w:val="FFFFFF"/>
                <w:sz w:val="18"/>
              </w:rPr>
              <w:t>不足</w:t>
            </w:r>
          </w:p>
        </w:tc>
        <w:tc>
          <w:tcPr>
            <w:tcW w:type="dxa" w:w="2381"/>
            <w:shd w:fill="1F4E5F"/>
            <w:vAlign w:val="center"/>
          </w:tcPr>
          <w:p>
            <w:pPr>
              <w:spacing w:after="0"/>
            </w:pPr>
            <w:r/>
            <w:r>
              <w:rPr>
                <w:rFonts w:ascii="微软雅黑" w:hAnsi="微软雅黑" w:eastAsia="微软雅黑"/>
                <w:b/>
                <w:color w:val="FFFFFF"/>
                <w:sz w:val="18"/>
              </w:rPr>
              <w:t>忆路银龄的补位</w:t>
            </w:r>
          </w:p>
        </w:tc>
      </w:tr>
      <w:tr>
        <w:tc>
          <w:tcPr>
            <w:tcW w:type="dxa" w:w="1814"/>
            <w:vAlign w:val="center"/>
          </w:tcPr>
          <w:p>
            <w:pPr>
              <w:spacing w:after="0"/>
            </w:pPr>
            <w:r/>
            <w:r>
              <w:rPr>
                <w:rFonts w:ascii="微软雅黑" w:hAnsi="微软雅黑" w:eastAsia="微软雅黑"/>
                <w:b w:val="0"/>
                <w:sz w:val="17"/>
              </w:rPr>
              <w:t>手机银行适老版</w:t>
            </w:r>
          </w:p>
        </w:tc>
        <w:tc>
          <w:tcPr>
            <w:tcW w:type="dxa" w:w="2268"/>
            <w:vAlign w:val="center"/>
          </w:tcPr>
          <w:p>
            <w:pPr>
              <w:spacing w:after="0"/>
            </w:pPr>
            <w:r/>
            <w:r>
              <w:rPr>
                <w:rFonts w:ascii="微软雅黑" w:hAnsi="微软雅黑" w:eastAsia="微软雅黑"/>
                <w:b w:val="0"/>
                <w:sz w:val="17"/>
              </w:rPr>
              <w:t>银行业务成熟、入口稳定</w:t>
            </w:r>
          </w:p>
        </w:tc>
        <w:tc>
          <w:tcPr>
            <w:tcW w:type="dxa" w:w="2835"/>
            <w:vAlign w:val="center"/>
          </w:tcPr>
          <w:p>
            <w:pPr>
              <w:spacing w:after="0"/>
            </w:pPr>
            <w:r/>
            <w:r>
              <w:rPr>
                <w:rFonts w:ascii="微软雅黑" w:hAnsi="微软雅黑" w:eastAsia="微软雅黑"/>
                <w:b w:val="0"/>
                <w:sz w:val="17"/>
              </w:rPr>
              <w:t>功能导航多，智能分析和连续规划有限</w:t>
            </w:r>
          </w:p>
        </w:tc>
        <w:tc>
          <w:tcPr>
            <w:tcW w:type="dxa" w:w="2381"/>
            <w:vAlign w:val="center"/>
          </w:tcPr>
          <w:p>
            <w:pPr>
              <w:spacing w:after="0"/>
            </w:pPr>
            <w:r/>
            <w:r>
              <w:rPr>
                <w:rFonts w:ascii="微软雅黑" w:hAnsi="微软雅黑" w:eastAsia="微软雅黑"/>
                <w:b w:val="0"/>
                <w:sz w:val="17"/>
              </w:rPr>
              <w:t>作为养老专区的智能能力层</w:t>
            </w:r>
          </w:p>
        </w:tc>
      </w:tr>
      <w:tr>
        <w:tc>
          <w:tcPr>
            <w:tcW w:type="dxa" w:w="1814"/>
            <w:shd w:fill="EEF5F3"/>
            <w:vAlign w:val="center"/>
          </w:tcPr>
          <w:p>
            <w:pPr>
              <w:spacing w:after="0"/>
            </w:pPr>
            <w:r/>
            <w:r>
              <w:rPr>
                <w:rFonts w:ascii="微软雅黑" w:hAnsi="微软雅黑" w:eastAsia="微软雅黑"/>
                <w:b w:val="0"/>
                <w:sz w:val="17"/>
              </w:rPr>
              <w:t>普通AI助手</w:t>
            </w:r>
          </w:p>
        </w:tc>
        <w:tc>
          <w:tcPr>
            <w:tcW w:type="dxa" w:w="2268"/>
            <w:shd w:fill="EEF5F3"/>
            <w:vAlign w:val="center"/>
          </w:tcPr>
          <w:p>
            <w:pPr>
              <w:spacing w:after="0"/>
            </w:pPr>
            <w:r/>
            <w:r>
              <w:rPr>
                <w:rFonts w:ascii="微软雅黑" w:hAnsi="微软雅黑" w:eastAsia="微软雅黑"/>
                <w:b w:val="0"/>
                <w:sz w:val="17"/>
              </w:rPr>
              <w:t>交互自然、响应快</w:t>
            </w:r>
          </w:p>
        </w:tc>
        <w:tc>
          <w:tcPr>
            <w:tcW w:type="dxa" w:w="2835"/>
            <w:shd w:fill="EEF5F3"/>
            <w:vAlign w:val="center"/>
          </w:tcPr>
          <w:p>
            <w:pPr>
              <w:spacing w:after="0"/>
            </w:pPr>
            <w:r/>
            <w:r>
              <w:rPr>
                <w:rFonts w:ascii="微软雅黑" w:hAnsi="微软雅黑" w:eastAsia="微软雅黑"/>
                <w:b w:val="0"/>
                <w:sz w:val="17"/>
              </w:rPr>
              <w:t>金融可靠性、来源和边界不足</w:t>
            </w:r>
          </w:p>
        </w:tc>
        <w:tc>
          <w:tcPr>
            <w:tcW w:type="dxa" w:w="2381"/>
            <w:shd w:fill="EEF5F3"/>
            <w:vAlign w:val="center"/>
          </w:tcPr>
          <w:p>
            <w:pPr>
              <w:spacing w:after="0"/>
            </w:pPr>
            <w:r/>
            <w:r>
              <w:rPr>
                <w:rFonts w:ascii="微软雅黑" w:hAnsi="微软雅黑" w:eastAsia="微软雅黑"/>
                <w:b w:val="0"/>
                <w:sz w:val="17"/>
              </w:rPr>
              <w:t>规则、RAG、来源与降级</w:t>
            </w:r>
          </w:p>
        </w:tc>
      </w:tr>
      <w:tr>
        <w:tc>
          <w:tcPr>
            <w:tcW w:type="dxa" w:w="1814"/>
            <w:vAlign w:val="center"/>
          </w:tcPr>
          <w:p>
            <w:pPr>
              <w:spacing w:after="0"/>
            </w:pPr>
            <w:r/>
            <w:r>
              <w:rPr>
                <w:rFonts w:ascii="微软雅黑" w:hAnsi="微软雅黑" w:eastAsia="微软雅黑"/>
                <w:b w:val="0"/>
                <w:sz w:val="17"/>
              </w:rPr>
              <w:t>人工客户经理</w:t>
            </w:r>
          </w:p>
        </w:tc>
        <w:tc>
          <w:tcPr>
            <w:tcW w:type="dxa" w:w="2268"/>
            <w:vAlign w:val="center"/>
          </w:tcPr>
          <w:p>
            <w:pPr>
              <w:spacing w:after="0"/>
            </w:pPr>
            <w:r/>
            <w:r>
              <w:rPr>
                <w:rFonts w:ascii="微软雅黑" w:hAnsi="微软雅黑" w:eastAsia="微软雅黑"/>
                <w:b w:val="0"/>
                <w:sz w:val="17"/>
              </w:rPr>
              <w:t>专业判断和沟通能力强</w:t>
            </w:r>
          </w:p>
        </w:tc>
        <w:tc>
          <w:tcPr>
            <w:tcW w:type="dxa" w:w="2835"/>
            <w:vAlign w:val="center"/>
          </w:tcPr>
          <w:p>
            <w:pPr>
              <w:spacing w:after="0"/>
            </w:pPr>
            <w:r/>
            <w:r>
              <w:rPr>
                <w:rFonts w:ascii="微软雅黑" w:hAnsi="微软雅黑" w:eastAsia="微软雅黑"/>
                <w:b w:val="0"/>
                <w:sz w:val="17"/>
              </w:rPr>
              <w:t>服务成本高、重复整理多</w:t>
            </w:r>
          </w:p>
        </w:tc>
        <w:tc>
          <w:tcPr>
            <w:tcW w:type="dxa" w:w="2381"/>
            <w:vAlign w:val="center"/>
          </w:tcPr>
          <w:p>
            <w:pPr>
              <w:spacing w:after="0"/>
            </w:pPr>
            <w:r/>
            <w:r>
              <w:rPr>
                <w:rFonts w:ascii="微软雅黑" w:hAnsi="微软雅黑" w:eastAsia="微软雅黑"/>
                <w:b w:val="0"/>
                <w:sz w:val="17"/>
              </w:rPr>
              <w:t>会前画像与会后摘要辅助，不替代判断</w:t>
            </w:r>
          </w:p>
        </w:tc>
      </w:tr>
      <w:tr>
        <w:tc>
          <w:tcPr>
            <w:tcW w:type="dxa" w:w="1814"/>
            <w:shd w:fill="EEF5F3"/>
            <w:vAlign w:val="center"/>
          </w:tcPr>
          <w:p>
            <w:pPr>
              <w:spacing w:after="0"/>
            </w:pPr>
            <w:r/>
            <w:r>
              <w:rPr>
                <w:rFonts w:ascii="微软雅黑" w:hAnsi="微软雅黑" w:eastAsia="微软雅黑"/>
                <w:b w:val="0"/>
                <w:sz w:val="17"/>
              </w:rPr>
              <w:t>单点防诈工具</w:t>
            </w:r>
          </w:p>
        </w:tc>
        <w:tc>
          <w:tcPr>
            <w:tcW w:type="dxa" w:w="2268"/>
            <w:shd w:fill="EEF5F3"/>
            <w:vAlign w:val="center"/>
          </w:tcPr>
          <w:p>
            <w:pPr>
              <w:spacing w:after="0"/>
            </w:pPr>
            <w:r/>
            <w:r>
              <w:rPr>
                <w:rFonts w:ascii="微软雅黑" w:hAnsi="微软雅黑" w:eastAsia="微软雅黑"/>
                <w:b w:val="0"/>
                <w:sz w:val="17"/>
              </w:rPr>
              <w:t>风险识别聚焦</w:t>
            </w:r>
          </w:p>
        </w:tc>
        <w:tc>
          <w:tcPr>
            <w:tcW w:type="dxa" w:w="2835"/>
            <w:shd w:fill="EEF5F3"/>
            <w:vAlign w:val="center"/>
          </w:tcPr>
          <w:p>
            <w:pPr>
              <w:spacing w:after="0"/>
            </w:pPr>
            <w:r/>
            <w:r>
              <w:rPr>
                <w:rFonts w:ascii="微软雅黑" w:hAnsi="微软雅黑" w:eastAsia="微软雅黑"/>
                <w:b w:val="0"/>
                <w:sz w:val="17"/>
              </w:rPr>
              <w:t>无法覆盖养老规划与长期陪伴</w:t>
            </w:r>
          </w:p>
        </w:tc>
        <w:tc>
          <w:tcPr>
            <w:tcW w:type="dxa" w:w="2381"/>
            <w:shd w:fill="EEF5F3"/>
            <w:vAlign w:val="center"/>
          </w:tcPr>
          <w:p>
            <w:pPr>
              <w:spacing w:after="0"/>
            </w:pPr>
            <w:r/>
            <w:r>
              <w:rPr>
                <w:rFonts w:ascii="微软雅黑" w:hAnsi="微软雅黑" w:eastAsia="微软雅黑"/>
                <w:b w:val="0"/>
                <w:sz w:val="17"/>
              </w:rPr>
              <w:t>将防诈纳入养老金融闭环</w:t>
            </w:r>
          </w:p>
        </w:tc>
      </w:tr>
    </w:tbl>
    <w:p/>
    <w:p>
      <w:pPr>
        <w:spacing w:line="348" w:lineRule="auto" w:after="120"/>
        <w:ind w:firstLine="420"/>
      </w:pPr>
      <w:r>
        <w:rPr>
          <w:rFonts w:ascii="宋体" w:hAnsi="宋体" w:eastAsia="宋体"/>
          <w:b w:val="0"/>
          <w:sz w:val="22"/>
        </w:rPr>
        <w:t>因此，本项目的机会不在于替代已有银行渠道，而在于为已有渠道增加“理解—规划—风险—陪伴”的智能服务层。</w:t>
      </w:r>
    </w:p>
    <w:p>
      <w:pPr>
        <w:pStyle w:val="Heading1"/>
        <w:keepNext/>
      </w:pPr>
      <w:r>
        <w:t>第三部分 项目总体方案设计</w:t>
      </w:r>
    </w:p>
    <w:p>
      <w:pPr>
        <w:pStyle w:val="Heading2"/>
        <w:keepNext/>
      </w:pPr>
      <w:r>
        <w:t>3.1 总体架构</w:t>
      </w:r>
    </w:p>
    <w:p>
      <w:r>
        <w:drawing>
          <wp:inline xmlns:a="http://schemas.openxmlformats.org/drawingml/2006/main" xmlns:pic="http://schemas.openxmlformats.org/drawingml/2006/picture">
            <wp:extent cx="5832000" cy="369351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32000" cy="3693511"/>
                    </a:xfrm>
                    <a:prstGeom prst="rect"/>
                  </pic:spPr>
                </pic:pic>
              </a:graphicData>
            </a:graphic>
          </wp:inline>
        </w:drawing>
      </w:r>
    </w:p>
    <w:p>
      <w:pPr>
        <w:jc w:val="center"/>
      </w:pPr>
      <w:r>
        <w:rPr>
          <w:rFonts w:ascii="宋体" w:hAnsi="宋体" w:eastAsia="宋体"/>
          <w:b w:val="0"/>
          <w:color w:val="5A5A5A"/>
          <w:sz w:val="18"/>
        </w:rPr>
        <w:t>图3-1 面向银行养老金融业务的分层架构</w:t>
      </w:r>
    </w:p>
    <w:p>
      <w:pPr>
        <w:spacing w:line="348" w:lineRule="auto" w:after="120"/>
        <w:ind w:firstLine="420"/>
      </w:pPr>
      <w:r>
        <w:rPr>
          <w:rFonts w:ascii="宋体" w:hAnsi="宋体" w:eastAsia="宋体"/>
          <w:b w:val="0"/>
          <w:sz w:val="22"/>
        </w:rPr>
        <w:t>平台自上而下分为银龄智能交互层、接口与安全层、业务与智能体层、AI与知识层、数据与基础设施层。业务服务与模型客户端通过接口解耦，便于替换模型、向量库和对象存储；核心规则与生成模型分离，保证关键结果可解释。</w:t>
      </w:r>
    </w:p>
    <w:p>
      <w:pPr>
        <w:pStyle w:val="Heading2"/>
        <w:keepNext/>
      </w:pPr>
      <w:r>
        <w:t>3.2 业务流程设计</w:t>
      </w:r>
    </w:p>
    <w:p>
      <w:r>
        <w:drawing>
          <wp:inline xmlns:a="http://schemas.openxmlformats.org/drawingml/2006/main" xmlns:pic="http://schemas.openxmlformats.org/drawingml/2006/picture">
            <wp:extent cx="5832000" cy="2304363"/>
            <wp:docPr id="2" name="Picture 2"/>
            <wp:cNvGraphicFramePr>
              <a:graphicFrameLocks noChangeAspect="1"/>
            </wp:cNvGraphicFramePr>
            <a:graphic>
              <a:graphicData uri="http://schemas.openxmlformats.org/drawingml/2006/picture">
                <pic:pic>
                  <pic:nvPicPr>
                    <pic:cNvPr id="0" name="business-flow.png"/>
                    <pic:cNvPicPr/>
                  </pic:nvPicPr>
                  <pic:blipFill>
                    <a:blip r:embed="rId12"/>
                    <a:stretch>
                      <a:fillRect/>
                    </a:stretch>
                  </pic:blipFill>
                  <pic:spPr>
                    <a:xfrm>
                      <a:off x="0" y="0"/>
                      <a:ext cx="5832000" cy="2304363"/>
                    </a:xfrm>
                    <a:prstGeom prst="rect"/>
                  </pic:spPr>
                </pic:pic>
              </a:graphicData>
            </a:graphic>
          </wp:inline>
        </w:drawing>
      </w:r>
    </w:p>
    <w:p>
      <w:pPr>
        <w:jc w:val="center"/>
      </w:pPr>
      <w:r>
        <w:rPr>
          <w:rFonts w:ascii="宋体" w:hAnsi="宋体" w:eastAsia="宋体"/>
          <w:b w:val="0"/>
          <w:color w:val="5A5A5A"/>
          <w:sz w:val="18"/>
        </w:rPr>
        <w:t>图3-2 养老金融智能服务业务流程</w:t>
      </w:r>
    </w:p>
    <w:p>
      <w:pPr>
        <w:spacing w:line="348" w:lineRule="auto" w:after="120"/>
        <w:ind w:firstLine="420"/>
      </w:pPr>
      <w:r>
        <w:rPr>
          <w:rFonts w:ascii="宋体" w:hAnsi="宋体" w:eastAsia="宋体"/>
          <w:b w:val="0"/>
          <w:sz w:val="22"/>
        </w:rPr>
        <w:t>老人提出养老需求后，系统识别需求类型，建立或补充用户画像，计算风险等级，生成生活备用、养老保障和灵活消费三类资金用途建议；随后检索养老金融知识，按年龄、目标和风险偏好匹配模拟产品类别，生成含参考依据和风险提示的报告，并将高风险信息连接到诈骗防护、金融健康和家庭协同能力。</w:t>
      </w:r>
    </w:p>
    <w:p>
      <w:pPr>
        <w:pStyle w:val="Heading2"/>
        <w:keepNext/>
      </w:pPr>
      <w:r>
        <w:t>3.3 项目定位与边界</w:t>
      </w:r>
    </w:p>
    <w:p>
      <w:pPr>
        <w:pStyle w:val="ListBullet"/>
        <w:spacing w:after="60"/>
        <w:ind w:left="454"/>
      </w:pPr>
      <w:r>
        <w:rPr>
          <w:rFonts w:ascii="宋体" w:hAnsi="宋体" w:eastAsia="宋体"/>
          <w:b w:val="0"/>
          <w:sz w:val="21"/>
        </w:rPr>
        <w:t>平台是银行养老金融服务的智能辅助层，不是银行核心交易系统。</w:t>
      </w:r>
    </w:p>
    <w:p>
      <w:pPr>
        <w:pStyle w:val="ListBullet"/>
        <w:spacing w:after="60"/>
        <w:ind w:left="454"/>
      </w:pPr>
      <w:r>
        <w:rPr>
          <w:rFonts w:ascii="宋体" w:hAnsi="宋体" w:eastAsia="宋体"/>
          <w:b w:val="0"/>
          <w:sz w:val="21"/>
        </w:rPr>
        <w:t>平台不接入真实账户，不执行转账、申购、赎回或其他资金操作。</w:t>
      </w:r>
    </w:p>
    <w:p>
      <w:pPr>
        <w:pStyle w:val="ListBullet"/>
        <w:spacing w:after="60"/>
        <w:ind w:left="454"/>
      </w:pPr>
      <w:r>
        <w:rPr>
          <w:rFonts w:ascii="宋体" w:hAnsi="宋体" w:eastAsia="宋体"/>
          <w:b w:val="0"/>
          <w:sz w:val="21"/>
        </w:rPr>
        <w:t>产品匹配使用模拟知识条目，不对应真实银行在售产品；不得据此作出购买决定。</w:t>
      </w:r>
    </w:p>
    <w:p>
      <w:pPr>
        <w:pStyle w:val="ListBullet"/>
        <w:spacing w:after="60"/>
        <w:ind w:left="454"/>
      </w:pPr>
      <w:r>
        <w:rPr>
          <w:rFonts w:ascii="宋体" w:hAnsi="宋体" w:eastAsia="宋体"/>
          <w:b w:val="0"/>
          <w:sz w:val="21"/>
        </w:rPr>
        <w:t>正式落地需经银行产品、合规、数据、安全和人工审核体系确认。</w:t>
      </w:r>
    </w:p>
    <w:p>
      <w:pPr>
        <w:pStyle w:val="Heading1"/>
        <w:keepNext/>
      </w:pPr>
      <w:r>
        <w:t>第四部分 核心功能模块设计</w:t>
      </w:r>
    </w:p>
    <w:p>
      <w:pPr>
        <w:pStyle w:val="Heading2"/>
        <w:keepNext/>
      </w:pPr>
      <w:r>
        <w:t>4.1 银龄用户画像系统</w:t>
      </w:r>
    </w:p>
    <w:p>
      <w:pPr>
        <w:spacing w:line="348" w:lineRule="auto" w:after="120"/>
        <w:ind w:firstLine="420"/>
      </w:pPr>
      <w:r>
        <w:rPr>
          <w:rFonts w:ascii="宋体" w:hAnsi="宋体" w:eastAsia="宋体"/>
          <w:b w:val="0"/>
          <w:sz w:val="22"/>
        </w:rPr>
        <w:t>画像模块采集或接收年龄、性别、退休状态、月收入、养老需求、风险偏好、投资经验、数字金融能力、健康状态、家庭结构和标签。UserProfileAgent还会结合当前问题、最近一次规划和Demo默认值补齐信息，并在financialAnalysis中记录假设来源，避免把推测当成用户事实。</w:t>
      </w:r>
    </w:p>
    <w:tbl>
      <w:tblPr>
        <w:tblStyle w:val="TableGrid"/>
        <w:tblW w:type="auto" w:w="0"/>
        <w:jc w:val="center"/>
        <w:tblLook w:firstColumn="1" w:firstRow="1" w:lastColumn="0" w:lastRow="0" w:noHBand="0" w:noVBand="1" w:val="04A0"/>
      </w:tblPr>
      <w:tblGrid>
        <w:gridCol w:w="3211"/>
        <w:gridCol w:w="3211"/>
        <w:gridCol w:w="3211"/>
      </w:tblGrid>
      <w:tr>
        <w:tc>
          <w:tcPr>
            <w:tcW w:type="dxa" w:w="2835"/>
            <w:shd w:fill="1F4E5F"/>
            <w:vAlign w:val="center"/>
          </w:tcPr>
          <w:p>
            <w:pPr>
              <w:spacing w:after="0"/>
            </w:pPr>
            <w:r/>
            <w:r>
              <w:rPr>
                <w:rFonts w:ascii="微软雅黑" w:hAnsi="微软雅黑" w:eastAsia="微软雅黑"/>
                <w:b/>
                <w:color w:val="FFFFFF"/>
                <w:sz w:val="18"/>
              </w:rPr>
              <w:t>输入</w:t>
            </w:r>
          </w:p>
        </w:tc>
        <w:tc>
          <w:tcPr>
            <w:tcW w:type="dxa" w:w="3402"/>
            <w:shd w:fill="1F4E5F"/>
            <w:vAlign w:val="center"/>
          </w:tcPr>
          <w:p>
            <w:pPr>
              <w:spacing w:after="0"/>
            </w:pPr>
            <w:r/>
            <w:r>
              <w:rPr>
                <w:rFonts w:ascii="微软雅黑" w:hAnsi="微软雅黑" w:eastAsia="微软雅黑"/>
                <w:b/>
                <w:color w:val="FFFFFF"/>
                <w:sz w:val="18"/>
              </w:rPr>
              <w:t>处理</w:t>
            </w:r>
          </w:p>
        </w:tc>
        <w:tc>
          <w:tcPr>
            <w:tcW w:type="dxa" w:w="2835"/>
            <w:shd w:fill="1F4E5F"/>
            <w:vAlign w:val="center"/>
          </w:tcPr>
          <w:p>
            <w:pPr>
              <w:spacing w:after="0"/>
            </w:pPr>
            <w:r/>
            <w:r>
              <w:rPr>
                <w:rFonts w:ascii="微软雅黑" w:hAnsi="微软雅黑" w:eastAsia="微软雅黑"/>
                <w:b/>
                <w:color w:val="FFFFFF"/>
                <w:sz w:val="18"/>
              </w:rPr>
              <w:t>输出</w:t>
            </w:r>
          </w:p>
        </w:tc>
      </w:tr>
      <w:tr>
        <w:tc>
          <w:tcPr>
            <w:tcW w:type="dxa" w:w="2835"/>
            <w:vAlign w:val="center"/>
          </w:tcPr>
          <w:p>
            <w:pPr>
              <w:spacing w:after="0"/>
            </w:pPr>
            <w:r/>
            <w:r>
              <w:rPr>
                <w:rFonts w:ascii="微软雅黑" w:hAnsi="微软雅黑" w:eastAsia="微软雅黑"/>
                <w:b w:val="0"/>
                <w:sz w:val="17"/>
              </w:rPr>
              <w:t>年龄、收入、资产、需求、偏好</w:t>
            </w:r>
          </w:p>
        </w:tc>
        <w:tc>
          <w:tcPr>
            <w:tcW w:type="dxa" w:w="3402"/>
            <w:vAlign w:val="center"/>
          </w:tcPr>
          <w:p>
            <w:pPr>
              <w:spacing w:after="0"/>
            </w:pPr>
            <w:r/>
            <w:r>
              <w:rPr>
                <w:rFonts w:ascii="微软雅黑" w:hAnsi="微软雅黑" w:eastAsia="微软雅黑"/>
                <w:b w:val="0"/>
                <w:sz w:val="17"/>
              </w:rPr>
              <w:t>字段校验与缺省值处理</w:t>
            </w:r>
          </w:p>
        </w:tc>
        <w:tc>
          <w:tcPr>
            <w:tcW w:type="dxa" w:w="2835"/>
            <w:vAlign w:val="center"/>
          </w:tcPr>
          <w:p>
            <w:pPr>
              <w:spacing w:after="0"/>
            </w:pPr>
            <w:r/>
            <w:r>
              <w:rPr>
                <w:rFonts w:ascii="微软雅黑" w:hAnsi="微软雅黑" w:eastAsia="微软雅黑"/>
                <w:b w:val="0"/>
                <w:sz w:val="17"/>
              </w:rPr>
              <w:t>年龄阶段、金融能力、服务标签</w:t>
            </w:r>
          </w:p>
        </w:tc>
      </w:tr>
      <w:tr>
        <w:tc>
          <w:tcPr>
            <w:tcW w:type="dxa" w:w="2835"/>
            <w:shd w:fill="EEF5F3"/>
            <w:vAlign w:val="center"/>
          </w:tcPr>
          <w:p>
            <w:pPr>
              <w:spacing w:after="0"/>
            </w:pPr>
            <w:r/>
            <w:r>
              <w:rPr>
                <w:rFonts w:ascii="微软雅黑" w:hAnsi="微软雅黑" w:eastAsia="微软雅黑"/>
                <w:b w:val="0"/>
                <w:sz w:val="17"/>
              </w:rPr>
              <w:t>自然语言描述</w:t>
            </w:r>
          </w:p>
        </w:tc>
        <w:tc>
          <w:tcPr>
            <w:tcW w:type="dxa" w:w="3402"/>
            <w:shd w:fill="EEF5F3"/>
            <w:vAlign w:val="center"/>
          </w:tcPr>
          <w:p>
            <w:pPr>
              <w:spacing w:after="0"/>
            </w:pPr>
            <w:r/>
            <w:r>
              <w:rPr>
                <w:rFonts w:ascii="微软雅黑" w:hAnsi="微软雅黑" w:eastAsia="微软雅黑"/>
                <w:b w:val="0"/>
                <w:sz w:val="17"/>
              </w:rPr>
              <w:t>意图识别与信息抽取</w:t>
            </w:r>
          </w:p>
        </w:tc>
        <w:tc>
          <w:tcPr>
            <w:tcW w:type="dxa" w:w="2835"/>
            <w:shd w:fill="EEF5F3"/>
            <w:vAlign w:val="center"/>
          </w:tcPr>
          <w:p>
            <w:pPr>
              <w:spacing w:after="0"/>
            </w:pPr>
            <w:r/>
            <w:r>
              <w:rPr>
                <w:rFonts w:ascii="微软雅黑" w:hAnsi="微软雅黑" w:eastAsia="微软雅黑"/>
                <w:b w:val="0"/>
                <w:sz w:val="17"/>
              </w:rPr>
              <w:t>RETIREMENT_PLAN等意图和置信度</w:t>
            </w:r>
          </w:p>
        </w:tc>
      </w:tr>
      <w:tr>
        <w:tc>
          <w:tcPr>
            <w:tcW w:type="dxa" w:w="2835"/>
            <w:vAlign w:val="center"/>
          </w:tcPr>
          <w:p>
            <w:pPr>
              <w:spacing w:after="0"/>
            </w:pPr>
            <w:r/>
            <w:r>
              <w:rPr>
                <w:rFonts w:ascii="微软雅黑" w:hAnsi="微软雅黑" w:eastAsia="微软雅黑"/>
                <w:b w:val="0"/>
                <w:sz w:val="17"/>
              </w:rPr>
              <w:t>历史规划与风险记录</w:t>
            </w:r>
          </w:p>
        </w:tc>
        <w:tc>
          <w:tcPr>
            <w:tcW w:type="dxa" w:w="3402"/>
            <w:vAlign w:val="center"/>
          </w:tcPr>
          <w:p>
            <w:pPr>
              <w:spacing w:after="0"/>
            </w:pPr>
            <w:r/>
            <w:r>
              <w:rPr>
                <w:rFonts w:ascii="微软雅黑" w:hAnsi="微软雅黑" w:eastAsia="微软雅黑"/>
                <w:b w:val="0"/>
                <w:sz w:val="17"/>
              </w:rPr>
              <w:t>授权范围内的上下文整合</w:t>
            </w:r>
          </w:p>
        </w:tc>
        <w:tc>
          <w:tcPr>
            <w:tcW w:type="dxa" w:w="2835"/>
            <w:vAlign w:val="center"/>
          </w:tcPr>
          <w:p>
            <w:pPr>
              <w:spacing w:after="0"/>
            </w:pPr>
            <w:r/>
            <w:r>
              <w:rPr>
                <w:rFonts w:ascii="微软雅黑" w:hAnsi="微软雅黑" w:eastAsia="微软雅黑"/>
                <w:b w:val="0"/>
                <w:sz w:val="17"/>
              </w:rPr>
              <w:t>连续服务摘要和风险提醒</w:t>
            </w:r>
          </w:p>
        </w:tc>
      </w:tr>
    </w:tbl>
    <w:p/>
    <w:p>
      <w:pPr>
        <w:pStyle w:val="Heading2"/>
        <w:keepNext/>
      </w:pPr>
      <w:r>
        <w:t>4.2 AI养老金融智能体</w:t>
      </w:r>
    </w:p>
    <w:p>
      <w:r>
        <w:drawing>
          <wp:inline xmlns:a="http://schemas.openxmlformats.org/drawingml/2006/main" xmlns:pic="http://schemas.openxmlformats.org/drawingml/2006/picture">
            <wp:extent cx="5832000" cy="2304363"/>
            <wp:docPr id="3" name="Picture 3"/>
            <wp:cNvGraphicFramePr>
              <a:graphicFrameLocks noChangeAspect="1"/>
            </wp:cNvGraphicFramePr>
            <a:graphic>
              <a:graphicData uri="http://schemas.openxmlformats.org/drawingml/2006/picture">
                <pic:pic>
                  <pic:nvPicPr>
                    <pic:cNvPr id="0" name="agent-flow.png"/>
                    <pic:cNvPicPr/>
                  </pic:nvPicPr>
                  <pic:blipFill>
                    <a:blip r:embed="rId13"/>
                    <a:stretch>
                      <a:fillRect/>
                    </a:stretch>
                  </pic:blipFill>
                  <pic:spPr>
                    <a:xfrm>
                      <a:off x="0" y="0"/>
                      <a:ext cx="5832000" cy="2304363"/>
                    </a:xfrm>
                    <a:prstGeom prst="rect"/>
                  </pic:spPr>
                </pic:pic>
              </a:graphicData>
            </a:graphic>
          </wp:inline>
        </w:drawing>
      </w:r>
    </w:p>
    <w:p>
      <w:pPr>
        <w:jc w:val="center"/>
      </w:pPr>
      <w:r>
        <w:rPr>
          <w:rFonts w:ascii="宋体" w:hAnsi="宋体" w:eastAsia="宋体"/>
          <w:b w:val="0"/>
          <w:color w:val="5A5A5A"/>
          <w:sz w:val="18"/>
        </w:rPr>
        <w:t>图4-1 六节点AI养老金融智能体执行链</w:t>
      </w:r>
    </w:p>
    <w:tbl>
      <w:tblPr>
        <w:tblStyle w:val="TableGrid"/>
        <w:tblW w:type="auto" w:w="0"/>
        <w:jc w:val="center"/>
        <w:tblLook w:firstColumn="1" w:firstRow="1" w:lastColumn="0" w:lastRow="0" w:noHBand="0" w:noVBand="1" w:val="04A0"/>
      </w:tblPr>
      <w:tblGrid>
        <w:gridCol w:w="3211"/>
        <w:gridCol w:w="3211"/>
        <w:gridCol w:w="3211"/>
      </w:tblGrid>
      <w:tr>
        <w:tc>
          <w:tcPr>
            <w:tcW w:type="dxa" w:w="1871"/>
            <w:shd w:fill="1F4E5F"/>
            <w:vAlign w:val="center"/>
          </w:tcPr>
          <w:p>
            <w:pPr>
              <w:spacing w:after="0"/>
            </w:pPr>
            <w:r/>
            <w:r>
              <w:rPr>
                <w:rFonts w:ascii="微软雅黑" w:hAnsi="微软雅黑" w:eastAsia="微软雅黑"/>
                <w:b/>
                <w:color w:val="FFFFFF"/>
                <w:sz w:val="18"/>
              </w:rPr>
              <w:t>Agent</w:t>
            </w:r>
          </w:p>
        </w:tc>
        <w:tc>
          <w:tcPr>
            <w:tcW w:type="dxa" w:w="4139"/>
            <w:shd w:fill="1F4E5F"/>
            <w:vAlign w:val="center"/>
          </w:tcPr>
          <w:p>
            <w:pPr>
              <w:spacing w:after="0"/>
            </w:pPr>
            <w:r/>
            <w:r>
              <w:rPr>
                <w:rFonts w:ascii="微软雅黑" w:hAnsi="微软雅黑" w:eastAsia="微软雅黑"/>
                <w:b/>
                <w:color w:val="FFFFFF"/>
                <w:sz w:val="18"/>
              </w:rPr>
              <w:t>职责</w:t>
            </w:r>
          </w:p>
        </w:tc>
        <w:tc>
          <w:tcPr>
            <w:tcW w:type="dxa" w:w="3061"/>
            <w:shd w:fill="1F4E5F"/>
            <w:vAlign w:val="center"/>
          </w:tcPr>
          <w:p>
            <w:pPr>
              <w:spacing w:after="0"/>
            </w:pPr>
            <w:r/>
            <w:r>
              <w:rPr>
                <w:rFonts w:ascii="微软雅黑" w:hAnsi="微软雅黑" w:eastAsia="微软雅黑"/>
                <w:b/>
                <w:color w:val="FFFFFF"/>
                <w:sz w:val="18"/>
              </w:rPr>
              <w:t>输出</w:t>
            </w:r>
          </w:p>
        </w:tc>
      </w:tr>
      <w:tr>
        <w:tc>
          <w:tcPr>
            <w:tcW w:type="dxa" w:w="1871"/>
            <w:vAlign w:val="center"/>
          </w:tcPr>
          <w:p>
            <w:pPr>
              <w:spacing w:after="0"/>
            </w:pPr>
            <w:r/>
            <w:r>
              <w:rPr>
                <w:rFonts w:ascii="微软雅黑" w:hAnsi="微软雅黑" w:eastAsia="微软雅黑"/>
                <w:b w:val="0"/>
                <w:sz w:val="17"/>
              </w:rPr>
              <w:t>意图识别Agent</w:t>
            </w:r>
          </w:p>
        </w:tc>
        <w:tc>
          <w:tcPr>
            <w:tcW w:type="dxa" w:w="4139"/>
            <w:vAlign w:val="center"/>
          </w:tcPr>
          <w:p>
            <w:pPr>
              <w:spacing w:after="0"/>
            </w:pPr>
            <w:r/>
            <w:r>
              <w:rPr>
                <w:rFonts w:ascii="微软雅黑" w:hAnsi="微软雅黑" w:eastAsia="微软雅黑"/>
                <w:b w:val="0"/>
                <w:sz w:val="17"/>
              </w:rPr>
              <w:t>识别养老规划、金融咨询、风险咨询、诈骗识别、旅游养老</w:t>
            </w:r>
          </w:p>
        </w:tc>
        <w:tc>
          <w:tcPr>
            <w:tcW w:type="dxa" w:w="3061"/>
            <w:vAlign w:val="center"/>
          </w:tcPr>
          <w:p>
            <w:pPr>
              <w:spacing w:after="0"/>
            </w:pPr>
            <w:r/>
            <w:r>
              <w:rPr>
                <w:rFonts w:ascii="微软雅黑" w:hAnsi="微软雅黑" w:eastAsia="微软雅黑"/>
                <w:b w:val="0"/>
                <w:sz w:val="17"/>
              </w:rPr>
              <w:t>intent、confidence</w:t>
            </w:r>
          </w:p>
        </w:tc>
      </w:tr>
      <w:tr>
        <w:tc>
          <w:tcPr>
            <w:tcW w:type="dxa" w:w="1871"/>
            <w:shd w:fill="EEF5F3"/>
            <w:vAlign w:val="center"/>
          </w:tcPr>
          <w:p>
            <w:pPr>
              <w:spacing w:after="0"/>
            </w:pPr>
            <w:r/>
            <w:r>
              <w:rPr>
                <w:rFonts w:ascii="微软雅黑" w:hAnsi="微软雅黑" w:eastAsia="微软雅黑"/>
                <w:b w:val="0"/>
                <w:sz w:val="17"/>
              </w:rPr>
              <w:t>用户画像Agent</w:t>
            </w:r>
          </w:p>
        </w:tc>
        <w:tc>
          <w:tcPr>
            <w:tcW w:type="dxa" w:w="4139"/>
            <w:shd w:fill="EEF5F3"/>
            <w:vAlign w:val="center"/>
          </w:tcPr>
          <w:p>
            <w:pPr>
              <w:spacing w:after="0"/>
            </w:pPr>
            <w:r/>
            <w:r>
              <w:rPr>
                <w:rFonts w:ascii="微软雅黑" w:hAnsi="微软雅黑" w:eastAsia="微软雅黑"/>
                <w:b w:val="0"/>
                <w:sz w:val="17"/>
              </w:rPr>
              <w:t>从消息、画像和历史规划中补齐金融画像</w:t>
            </w:r>
          </w:p>
        </w:tc>
        <w:tc>
          <w:tcPr>
            <w:tcW w:type="dxa" w:w="3061"/>
            <w:shd w:fill="EEF5F3"/>
            <w:vAlign w:val="center"/>
          </w:tcPr>
          <w:p>
            <w:pPr>
              <w:spacing w:after="0"/>
            </w:pPr>
            <w:r/>
            <w:r>
              <w:rPr>
                <w:rFonts w:ascii="微软雅黑" w:hAnsi="微软雅黑" w:eastAsia="微软雅黑"/>
                <w:b w:val="0"/>
                <w:sz w:val="17"/>
              </w:rPr>
              <w:t>年龄阶段、能力、标签、假设</w:t>
            </w:r>
          </w:p>
        </w:tc>
      </w:tr>
      <w:tr>
        <w:tc>
          <w:tcPr>
            <w:tcW w:type="dxa" w:w="1871"/>
            <w:vAlign w:val="center"/>
          </w:tcPr>
          <w:p>
            <w:pPr>
              <w:spacing w:after="0"/>
            </w:pPr>
            <w:r/>
            <w:r>
              <w:rPr>
                <w:rFonts w:ascii="微软雅黑" w:hAnsi="微软雅黑" w:eastAsia="微软雅黑"/>
                <w:b w:val="0"/>
                <w:sz w:val="17"/>
              </w:rPr>
              <w:t>风险评估Agent</w:t>
            </w:r>
          </w:p>
        </w:tc>
        <w:tc>
          <w:tcPr>
            <w:tcW w:type="dxa" w:w="4139"/>
            <w:vAlign w:val="center"/>
          </w:tcPr>
          <w:p>
            <w:pPr>
              <w:spacing w:after="0"/>
            </w:pPr>
            <w:r/>
            <w:r>
              <w:rPr>
                <w:rFonts w:ascii="微软雅黑" w:hAnsi="微软雅黑" w:eastAsia="微软雅黑"/>
                <w:b w:val="0"/>
                <w:sz w:val="17"/>
              </w:rPr>
              <w:t>独立计算0—100演示风险分与警告</w:t>
            </w:r>
          </w:p>
        </w:tc>
        <w:tc>
          <w:tcPr>
            <w:tcW w:type="dxa" w:w="3061"/>
            <w:vAlign w:val="center"/>
          </w:tcPr>
          <w:p>
            <w:pPr>
              <w:spacing w:after="0"/>
            </w:pPr>
            <w:r/>
            <w:r>
              <w:rPr>
                <w:rFonts w:ascii="微软雅黑" w:hAnsi="微软雅黑" w:eastAsia="微软雅黑"/>
                <w:b w:val="0"/>
                <w:sz w:val="17"/>
              </w:rPr>
              <w:t>riskScore、riskLevel、warnings</w:t>
            </w:r>
          </w:p>
        </w:tc>
      </w:tr>
      <w:tr>
        <w:tc>
          <w:tcPr>
            <w:tcW w:type="dxa" w:w="1871"/>
            <w:shd w:fill="EEF5F3"/>
            <w:vAlign w:val="center"/>
          </w:tcPr>
          <w:p>
            <w:pPr>
              <w:spacing w:after="0"/>
            </w:pPr>
            <w:r/>
            <w:r>
              <w:rPr>
                <w:rFonts w:ascii="微软雅黑" w:hAnsi="微软雅黑" w:eastAsia="微软雅黑"/>
                <w:b w:val="0"/>
                <w:sz w:val="17"/>
              </w:rPr>
              <w:t>资金规划Agent</w:t>
            </w:r>
          </w:p>
        </w:tc>
        <w:tc>
          <w:tcPr>
            <w:tcW w:type="dxa" w:w="4139"/>
            <w:shd w:fill="EEF5F3"/>
            <w:vAlign w:val="center"/>
          </w:tcPr>
          <w:p>
            <w:pPr>
              <w:spacing w:after="0"/>
            </w:pPr>
            <w:r/>
            <w:r>
              <w:rPr>
                <w:rFonts w:ascii="微软雅黑" w:hAnsi="微软雅黑" w:eastAsia="微软雅黑"/>
                <w:b w:val="0"/>
                <w:sz w:val="17"/>
              </w:rPr>
              <w:t>复用养老规划规则计算三类资金用途</w:t>
            </w:r>
          </w:p>
        </w:tc>
        <w:tc>
          <w:tcPr>
            <w:tcW w:type="dxa" w:w="3061"/>
            <w:shd w:fill="EEF5F3"/>
            <w:vAlign w:val="center"/>
          </w:tcPr>
          <w:p>
            <w:pPr>
              <w:spacing w:after="0"/>
            </w:pPr>
            <w:r/>
            <w:r>
              <w:rPr>
                <w:rFonts w:ascii="微软雅黑" w:hAnsi="微软雅黑" w:eastAsia="微软雅黑"/>
                <w:b w:val="0"/>
                <w:sz w:val="17"/>
              </w:rPr>
              <w:t>allocation、retirementStage</w:t>
            </w:r>
          </w:p>
        </w:tc>
      </w:tr>
      <w:tr>
        <w:tc>
          <w:tcPr>
            <w:tcW w:type="dxa" w:w="1871"/>
            <w:vAlign w:val="center"/>
          </w:tcPr>
          <w:p>
            <w:pPr>
              <w:spacing w:after="0"/>
            </w:pPr>
            <w:r/>
            <w:r>
              <w:rPr>
                <w:rFonts w:ascii="微软雅黑" w:hAnsi="微软雅黑" w:eastAsia="微软雅黑"/>
                <w:b w:val="0"/>
                <w:sz w:val="17"/>
              </w:rPr>
              <w:t>RAG/产品匹配Agent</w:t>
            </w:r>
          </w:p>
        </w:tc>
        <w:tc>
          <w:tcPr>
            <w:tcW w:type="dxa" w:w="4139"/>
            <w:vAlign w:val="center"/>
          </w:tcPr>
          <w:p>
            <w:pPr>
              <w:spacing w:after="0"/>
            </w:pPr>
            <w:r/>
            <w:r>
              <w:rPr>
                <w:rFonts w:ascii="微软雅黑" w:hAnsi="微软雅黑" w:eastAsia="微软雅黑"/>
                <w:b w:val="0"/>
                <w:sz w:val="17"/>
              </w:rPr>
              <w:t>检索知识并按年龄、偏好、目标匹配模拟类别</w:t>
            </w:r>
          </w:p>
        </w:tc>
        <w:tc>
          <w:tcPr>
            <w:tcW w:type="dxa" w:w="3061"/>
            <w:vAlign w:val="center"/>
          </w:tcPr>
          <w:p>
            <w:pPr>
              <w:spacing w:after="0"/>
            </w:pPr>
            <w:r/>
            <w:r>
              <w:rPr>
                <w:rFonts w:ascii="微软雅黑" w:hAnsi="微软雅黑" w:eastAsia="微软雅黑"/>
                <w:b w:val="0"/>
                <w:sz w:val="17"/>
              </w:rPr>
              <w:t>knowledgeSources、recommendations</w:t>
            </w:r>
          </w:p>
        </w:tc>
      </w:tr>
      <w:tr>
        <w:tc>
          <w:tcPr>
            <w:tcW w:type="dxa" w:w="1871"/>
            <w:shd w:fill="EEF5F3"/>
            <w:vAlign w:val="center"/>
          </w:tcPr>
          <w:p>
            <w:pPr>
              <w:spacing w:after="0"/>
            </w:pPr>
            <w:r/>
            <w:r>
              <w:rPr>
                <w:rFonts w:ascii="微软雅黑" w:hAnsi="微软雅黑" w:eastAsia="微软雅黑"/>
                <w:b w:val="0"/>
                <w:sz w:val="17"/>
              </w:rPr>
              <w:t>报告生成Agent</w:t>
            </w:r>
          </w:p>
        </w:tc>
        <w:tc>
          <w:tcPr>
            <w:tcW w:type="dxa" w:w="4139"/>
            <w:shd w:fill="EEF5F3"/>
            <w:vAlign w:val="center"/>
          </w:tcPr>
          <w:p>
            <w:pPr>
              <w:spacing w:after="0"/>
            </w:pPr>
            <w:r/>
            <w:r>
              <w:rPr>
                <w:rFonts w:ascii="微软雅黑" w:hAnsi="微软雅黑" w:eastAsia="微软雅黑"/>
                <w:b w:val="0"/>
                <w:sz w:val="17"/>
              </w:rPr>
              <w:t>调用LLM或模板，生成固定结构的适老报告</w:t>
            </w:r>
          </w:p>
        </w:tc>
        <w:tc>
          <w:tcPr>
            <w:tcW w:type="dxa" w:w="3061"/>
            <w:shd w:fill="EEF5F3"/>
            <w:vAlign w:val="center"/>
          </w:tcPr>
          <w:p>
            <w:pPr>
              <w:spacing w:after="0"/>
            </w:pPr>
            <w:r/>
            <w:r>
              <w:rPr>
                <w:rFonts w:ascii="微软雅黑" w:hAnsi="微软雅黑" w:eastAsia="微软雅黑"/>
                <w:b w:val="0"/>
                <w:sz w:val="17"/>
              </w:rPr>
              <w:t>answer、agentChain、disclaimer</w:t>
            </w:r>
          </w:p>
        </w:tc>
      </w:tr>
    </w:tbl>
    <w:p/>
    <w:p>
      <w:pPr>
        <w:pStyle w:val="Heading2"/>
        <w:keepNext/>
      </w:pPr>
      <w:r>
        <w:t>4.3 AI养老金融规划中心</w:t>
      </w:r>
    </w:p>
    <w:p>
      <w:pPr>
        <w:spacing w:line="348" w:lineRule="auto" w:after="120"/>
        <w:ind w:firstLine="420"/>
      </w:pPr>
      <w:r>
        <w:rPr>
          <w:rFonts w:ascii="宋体" w:hAnsi="宋体" w:eastAsia="宋体"/>
          <w:b w:val="0"/>
          <w:sz w:val="22"/>
        </w:rPr>
        <w:t>用户输入年龄、退休月收入、资产规模、风险偏好、养老目标，并可选填写医疗需求和旅行需求。系统输出养老阶段、演示风险等级、生活备用资金、养老保障资金、灵活消费资金、模拟产品类别、推荐原因和风险提示。以68岁、退休金6000元、资产50万元的Demo输入为例，系统默认演示20%/60%/20%的三类资金用途，即10万元、30万元和10万元；比例是可解释的原型规则，不是个性化投资指令。</w:t>
      </w:r>
    </w:p>
    <w:p>
      <w:pPr>
        <w:pStyle w:val="Heading2"/>
        <w:keepNext/>
      </w:pPr>
      <w:r>
        <w:t>4.4 金融健康分析中心</w:t>
      </w:r>
    </w:p>
    <w:p>
      <w:r>
        <w:drawing>
          <wp:inline xmlns:a="http://schemas.openxmlformats.org/drawingml/2006/main" xmlns:pic="http://schemas.openxmlformats.org/drawingml/2006/picture">
            <wp:extent cx="4860000" cy="2511564"/>
            <wp:docPr id="4" name="Picture 4"/>
            <wp:cNvGraphicFramePr>
              <a:graphicFrameLocks noChangeAspect="1"/>
            </wp:cNvGraphicFramePr>
            <a:graphic>
              <a:graphicData uri="http://schemas.openxmlformats.org/drawingml/2006/picture">
                <pic:pic>
                  <pic:nvPicPr>
                    <pic:cNvPr id="0" name="health-score.png"/>
                    <pic:cNvPicPr/>
                  </pic:nvPicPr>
                  <pic:blipFill>
                    <a:blip r:embed="rId14"/>
                    <a:stretch>
                      <a:fillRect/>
                    </a:stretch>
                  </pic:blipFill>
                  <pic:spPr>
                    <a:xfrm>
                      <a:off x="0" y="0"/>
                      <a:ext cx="4860000" cy="2511564"/>
                    </a:xfrm>
                    <a:prstGeom prst="rect"/>
                  </pic:spPr>
                </pic:pic>
              </a:graphicData>
            </a:graphic>
          </wp:inline>
        </w:drawing>
      </w:r>
    </w:p>
    <w:p>
      <w:pPr>
        <w:jc w:val="center"/>
      </w:pPr>
      <w:r>
        <w:rPr>
          <w:rFonts w:ascii="宋体" w:hAnsi="宋体" w:eastAsia="宋体"/>
          <w:b w:val="0"/>
          <w:color w:val="5A5A5A"/>
          <w:sz w:val="18"/>
        </w:rPr>
        <w:t>图4-2 金融健康指数Demo样例</w:t>
      </w:r>
    </w:p>
    <w:p>
      <w:pPr>
        <w:spacing w:line="348" w:lineRule="auto" w:after="120"/>
        <w:ind w:firstLine="420"/>
      </w:pPr>
      <w:r>
        <w:rPr>
          <w:rFonts w:ascii="宋体" w:hAnsi="宋体" w:eastAsia="宋体"/>
          <w:b w:val="0"/>
          <w:sz w:val="22"/>
        </w:rPr>
        <w:t>金融健康指数由资产安全、养老准备、风险控制、医疗保障四个维度等权计算，总分限制在0—100。Demo样例为78分，用于引导用户理解需要进一步准备的方面，不是征信评分、产品评级或风险承受能力测评。</w:t>
      </w:r>
    </w:p>
    <w:p>
      <w:pPr>
        <w:pStyle w:val="Heading2"/>
        <w:keepNext/>
      </w:pPr>
      <w:r>
        <w:t>4.5 银龄金融风险防护</w:t>
      </w:r>
    </w:p>
    <w:p>
      <w:pPr>
        <w:spacing w:line="348" w:lineRule="auto" w:after="120"/>
        <w:ind w:firstLine="420"/>
      </w:pPr>
      <w:r>
        <w:rPr>
          <w:rFonts w:ascii="宋体" w:hAnsi="宋体" w:eastAsia="宋体"/>
          <w:b w:val="0"/>
          <w:sz w:val="22"/>
        </w:rPr>
        <w:t>风险模块提供文本检测和OCR图片检测。RuleEngine对转账、验证码、银行卡、密码、点击链接、公检法、养老补贴、高收益、投资返利、中奖等风险词进行可解释计分，FraudAiAnalyzer提供诈骗类型解释，最终输出LOW、MEDIUM、HIGH、CRITICAL等级、分数、风险标签、原因和安全建议。图片流程为上传、校验、对象存储、OCR识别、文本检测和记录保存。</w:t>
      </w:r>
    </w:p>
    <w:p>
      <w:pPr>
        <w:pStyle w:val="Heading1"/>
        <w:keepNext/>
      </w:pPr>
      <w:r>
        <w:t>第五部分 技术创新</w:t>
      </w:r>
    </w:p>
    <w:p>
      <w:pPr>
        <w:pStyle w:val="Heading2"/>
        <w:keepNext/>
      </w:pPr>
      <w:r>
        <w:t>5.1 多Agent金融服务架构创新</w:t>
      </w:r>
    </w:p>
    <w:p>
      <w:pPr>
        <w:spacing w:line="348" w:lineRule="auto" w:after="120"/>
        <w:ind w:firstLine="420"/>
      </w:pPr>
      <w:r>
        <w:rPr>
          <w:rFonts w:ascii="宋体" w:hAnsi="宋体" w:eastAsia="宋体"/>
          <w:b w:val="0"/>
          <w:sz w:val="22"/>
        </w:rPr>
        <w:t>传统链路是“用户—大模型—答案”，复杂养老金融任务容易出现错误难定位、规则难审计、输出难追踪的问题。忆路银龄通过FinancialAgentOrchestrator把意图、画像、风险、规划、知识、匹配和报告拆成独立节点。每个节点有明确输入、结构化输出、状态和可测试边界；模型可以替换，业务链不被绑定。</w:t>
      </w:r>
    </w:p>
    <w:p>
      <w:pPr>
        <w:pStyle w:val="Heading2"/>
        <w:keepNext/>
      </w:pPr>
      <w:r>
        <w:t>5.2 RAG可信金融知识增强</w:t>
      </w:r>
    </w:p>
    <w:p>
      <w:pPr>
        <w:spacing w:line="348" w:lineRule="auto" w:after="120"/>
        <w:ind w:firstLine="420"/>
      </w:pPr>
      <w:r>
        <w:rPr>
          <w:rFonts w:ascii="宋体" w:hAnsi="宋体" w:eastAsia="宋体"/>
          <w:b w:val="0"/>
          <w:sz w:val="22"/>
        </w:rPr>
        <w:t>平台支持PDF、TXT、Markdown知识文档上传，依次进行解析、切片、Embedding和pgvector保存；查询时返回TopK标题、内容、分类和相似度，注入Prompt并作为参考来源展示。RAG的目标是降低无依据生成、提高回答可追溯性，而不是宣称完全消除模型幻觉。</w:t>
      </w:r>
    </w:p>
    <w:p>
      <w:pPr>
        <w:pStyle w:val="Heading2"/>
        <w:keepNext/>
      </w:pPr>
      <w:r>
        <w:t>5.3 大模型与金融规则融合</w:t>
      </w:r>
    </w:p>
    <w:tbl>
      <w:tblPr>
        <w:tblStyle w:val="TableGrid"/>
        <w:tblW w:type="auto" w:w="0"/>
        <w:jc w:val="center"/>
        <w:tblLook w:firstColumn="1" w:firstRow="1" w:lastColumn="0" w:lastRow="0" w:noHBand="0" w:noVBand="1" w:val="04A0"/>
      </w:tblPr>
      <w:tblGrid>
        <w:gridCol w:w="3211"/>
        <w:gridCol w:w="3211"/>
        <w:gridCol w:w="3211"/>
      </w:tblGrid>
      <w:tr>
        <w:tc>
          <w:tcPr>
            <w:tcW w:type="dxa" w:w="1928"/>
            <w:shd w:fill="1F4E5F"/>
            <w:vAlign w:val="center"/>
          </w:tcPr>
          <w:p>
            <w:pPr>
              <w:spacing w:after="0"/>
            </w:pPr>
            <w:r/>
            <w:r>
              <w:rPr>
                <w:rFonts w:ascii="微软雅黑" w:hAnsi="微软雅黑" w:eastAsia="微软雅黑"/>
                <w:b/>
                <w:color w:val="FFFFFF"/>
                <w:sz w:val="18"/>
              </w:rPr>
              <w:t>能力</w:t>
            </w:r>
          </w:p>
        </w:tc>
        <w:tc>
          <w:tcPr>
            <w:tcW w:type="dxa" w:w="3458"/>
            <w:shd w:fill="1F4E5F"/>
            <w:vAlign w:val="center"/>
          </w:tcPr>
          <w:p>
            <w:pPr>
              <w:spacing w:after="0"/>
            </w:pPr>
            <w:r/>
            <w:r>
              <w:rPr>
                <w:rFonts w:ascii="微软雅黑" w:hAnsi="微软雅黑" w:eastAsia="微软雅黑"/>
                <w:b/>
                <w:color w:val="FFFFFF"/>
                <w:sz w:val="18"/>
              </w:rPr>
              <w:t>由规则负责</w:t>
            </w:r>
          </w:p>
        </w:tc>
        <w:tc>
          <w:tcPr>
            <w:tcW w:type="dxa" w:w="3458"/>
            <w:shd w:fill="1F4E5F"/>
            <w:vAlign w:val="center"/>
          </w:tcPr>
          <w:p>
            <w:pPr>
              <w:spacing w:after="0"/>
            </w:pPr>
            <w:r/>
            <w:r>
              <w:rPr>
                <w:rFonts w:ascii="微软雅黑" w:hAnsi="微软雅黑" w:eastAsia="微软雅黑"/>
                <w:b/>
                <w:color w:val="FFFFFF"/>
                <w:sz w:val="18"/>
              </w:rPr>
              <w:t>由AI负责</w:t>
            </w:r>
          </w:p>
        </w:tc>
      </w:tr>
      <w:tr>
        <w:tc>
          <w:tcPr>
            <w:tcW w:type="dxa" w:w="1928"/>
            <w:vAlign w:val="center"/>
          </w:tcPr>
          <w:p>
            <w:pPr>
              <w:spacing w:after="0"/>
            </w:pPr>
            <w:r/>
            <w:r>
              <w:rPr>
                <w:rFonts w:ascii="微软雅黑" w:hAnsi="微软雅黑" w:eastAsia="微软雅黑"/>
                <w:b w:val="0"/>
                <w:sz w:val="17"/>
              </w:rPr>
              <w:t>风险判断</w:t>
            </w:r>
          </w:p>
        </w:tc>
        <w:tc>
          <w:tcPr>
            <w:tcW w:type="dxa" w:w="3458"/>
            <w:vAlign w:val="center"/>
          </w:tcPr>
          <w:p>
            <w:pPr>
              <w:spacing w:after="0"/>
            </w:pPr>
            <w:r/>
            <w:r>
              <w:rPr>
                <w:rFonts w:ascii="微软雅黑" w:hAnsi="微软雅黑" w:eastAsia="微软雅黑"/>
                <w:b w:val="0"/>
                <w:sz w:val="17"/>
              </w:rPr>
              <w:t>关键词权重、阈值、等级边界</w:t>
            </w:r>
          </w:p>
        </w:tc>
        <w:tc>
          <w:tcPr>
            <w:tcW w:type="dxa" w:w="3458"/>
            <w:vAlign w:val="center"/>
          </w:tcPr>
          <w:p>
            <w:pPr>
              <w:spacing w:after="0"/>
            </w:pPr>
            <w:r/>
            <w:r>
              <w:rPr>
                <w:rFonts w:ascii="微软雅黑" w:hAnsi="微软雅黑" w:eastAsia="微软雅黑"/>
                <w:b w:val="0"/>
                <w:sz w:val="17"/>
              </w:rPr>
              <w:t>诈骗类型解释与自然语言提醒</w:t>
            </w:r>
          </w:p>
        </w:tc>
      </w:tr>
      <w:tr>
        <w:tc>
          <w:tcPr>
            <w:tcW w:type="dxa" w:w="1928"/>
            <w:shd w:fill="EEF5F3"/>
            <w:vAlign w:val="center"/>
          </w:tcPr>
          <w:p>
            <w:pPr>
              <w:spacing w:after="0"/>
            </w:pPr>
            <w:r/>
            <w:r>
              <w:rPr>
                <w:rFonts w:ascii="微软雅黑" w:hAnsi="微软雅黑" w:eastAsia="微软雅黑"/>
                <w:b w:val="0"/>
                <w:sz w:val="17"/>
              </w:rPr>
              <w:t>资金规划</w:t>
            </w:r>
          </w:p>
        </w:tc>
        <w:tc>
          <w:tcPr>
            <w:tcW w:type="dxa" w:w="3458"/>
            <w:shd w:fill="EEF5F3"/>
            <w:vAlign w:val="center"/>
          </w:tcPr>
          <w:p>
            <w:pPr>
              <w:spacing w:after="0"/>
            </w:pPr>
            <w:r/>
            <w:r>
              <w:rPr>
                <w:rFonts w:ascii="微软雅黑" w:hAnsi="微软雅黑" w:eastAsia="微软雅黑"/>
                <w:b w:val="0"/>
                <w:sz w:val="17"/>
              </w:rPr>
              <w:t>养老阶段、20/60/20演示比例、数值计算</w:t>
            </w:r>
          </w:p>
        </w:tc>
        <w:tc>
          <w:tcPr>
            <w:tcW w:type="dxa" w:w="3458"/>
            <w:shd w:fill="EEF5F3"/>
            <w:vAlign w:val="center"/>
          </w:tcPr>
          <w:p>
            <w:pPr>
              <w:spacing w:after="0"/>
            </w:pPr>
            <w:r/>
            <w:r>
              <w:rPr>
                <w:rFonts w:ascii="微软雅黑" w:hAnsi="微软雅黑" w:eastAsia="微软雅黑"/>
                <w:b w:val="0"/>
                <w:sz w:val="17"/>
              </w:rPr>
              <w:t>把数字转成老人易懂的步骤说明</w:t>
            </w:r>
          </w:p>
        </w:tc>
      </w:tr>
      <w:tr>
        <w:tc>
          <w:tcPr>
            <w:tcW w:type="dxa" w:w="1928"/>
            <w:vAlign w:val="center"/>
          </w:tcPr>
          <w:p>
            <w:pPr>
              <w:spacing w:after="0"/>
            </w:pPr>
            <w:r/>
            <w:r>
              <w:rPr>
                <w:rFonts w:ascii="微软雅黑" w:hAnsi="微软雅黑" w:eastAsia="微软雅黑"/>
                <w:b w:val="0"/>
                <w:sz w:val="17"/>
              </w:rPr>
              <w:t>产品匹配</w:t>
            </w:r>
          </w:p>
        </w:tc>
        <w:tc>
          <w:tcPr>
            <w:tcW w:type="dxa" w:w="3458"/>
            <w:vAlign w:val="center"/>
          </w:tcPr>
          <w:p>
            <w:pPr>
              <w:spacing w:after="0"/>
            </w:pPr>
            <w:r/>
            <w:r>
              <w:rPr>
                <w:rFonts w:ascii="微软雅黑" w:hAnsi="微软雅黑" w:eastAsia="微软雅黑"/>
                <w:b w:val="0"/>
                <w:sz w:val="17"/>
              </w:rPr>
              <w:t>年龄、风险、目标过滤模拟类别</w:t>
            </w:r>
          </w:p>
        </w:tc>
        <w:tc>
          <w:tcPr>
            <w:tcW w:type="dxa" w:w="3458"/>
            <w:vAlign w:val="center"/>
          </w:tcPr>
          <w:p>
            <w:pPr>
              <w:spacing w:after="0"/>
            </w:pPr>
            <w:r/>
            <w:r>
              <w:rPr>
                <w:rFonts w:ascii="微软雅黑" w:hAnsi="微软雅黑" w:eastAsia="微软雅黑"/>
                <w:b w:val="0"/>
                <w:sz w:val="17"/>
              </w:rPr>
              <w:t>解释推荐原因和风险注意事项</w:t>
            </w:r>
          </w:p>
        </w:tc>
      </w:tr>
      <w:tr>
        <w:tc>
          <w:tcPr>
            <w:tcW w:type="dxa" w:w="1928"/>
            <w:shd w:fill="EEF5F3"/>
            <w:vAlign w:val="center"/>
          </w:tcPr>
          <w:p>
            <w:pPr>
              <w:spacing w:after="0"/>
            </w:pPr>
            <w:r/>
            <w:r>
              <w:rPr>
                <w:rFonts w:ascii="微软雅黑" w:hAnsi="微软雅黑" w:eastAsia="微软雅黑"/>
                <w:b w:val="0"/>
                <w:sz w:val="17"/>
              </w:rPr>
              <w:t>知识问答</w:t>
            </w:r>
          </w:p>
        </w:tc>
        <w:tc>
          <w:tcPr>
            <w:tcW w:type="dxa" w:w="3458"/>
            <w:shd w:fill="EEF5F3"/>
            <w:vAlign w:val="center"/>
          </w:tcPr>
          <w:p>
            <w:pPr>
              <w:spacing w:after="0"/>
            </w:pPr>
            <w:r/>
            <w:r>
              <w:rPr>
                <w:rFonts w:ascii="微软雅黑" w:hAnsi="微软雅黑" w:eastAsia="微软雅黑"/>
                <w:b w:val="0"/>
                <w:sz w:val="17"/>
              </w:rPr>
              <w:t>来源、相似度、引用片段</w:t>
            </w:r>
          </w:p>
        </w:tc>
        <w:tc>
          <w:tcPr>
            <w:tcW w:type="dxa" w:w="3458"/>
            <w:shd w:fill="EEF5F3"/>
            <w:vAlign w:val="center"/>
          </w:tcPr>
          <w:p>
            <w:pPr>
              <w:spacing w:after="0"/>
            </w:pPr>
            <w:r/>
            <w:r>
              <w:rPr>
                <w:rFonts w:ascii="微软雅黑" w:hAnsi="微软雅黑" w:eastAsia="微软雅黑"/>
                <w:b w:val="0"/>
                <w:sz w:val="17"/>
              </w:rPr>
              <w:t>归纳、分步骤表达与对话交互</w:t>
            </w:r>
          </w:p>
        </w:tc>
      </w:tr>
    </w:tbl>
    <w:p/>
    <w:p>
      <w:pPr>
        <w:pStyle w:val="Heading2"/>
        <w:keepNext/>
      </w:pPr>
      <w:r>
        <w:t>5.4 双环境部署架构</w:t>
      </w:r>
    </w:p>
    <w:tbl>
      <w:tblPr>
        <w:tblStyle w:val="TableGrid"/>
        <w:tblW w:type="auto" w:w="0"/>
        <w:jc w:val="center"/>
        <w:tblLook w:firstColumn="1" w:firstRow="1" w:lastColumn="0" w:lastRow="0" w:noHBand="0" w:noVBand="1" w:val="04A0"/>
      </w:tblPr>
      <w:tblGrid>
        <w:gridCol w:w="3211"/>
        <w:gridCol w:w="3211"/>
        <w:gridCol w:w="3211"/>
      </w:tblGrid>
      <w:tr>
        <w:tc>
          <w:tcPr>
            <w:tcW w:type="dxa" w:w="1701"/>
            <w:shd w:fill="1F4E5F"/>
            <w:vAlign w:val="center"/>
          </w:tcPr>
          <w:p>
            <w:pPr>
              <w:spacing w:after="0"/>
            </w:pPr>
            <w:r/>
            <w:r>
              <w:rPr>
                <w:rFonts w:ascii="微软雅黑" w:hAnsi="微软雅黑" w:eastAsia="微软雅黑"/>
                <w:b/>
                <w:color w:val="FFFFFF"/>
                <w:sz w:val="18"/>
              </w:rPr>
              <w:t>环境</w:t>
            </w:r>
          </w:p>
        </w:tc>
        <w:tc>
          <w:tcPr>
            <w:tcW w:type="dxa" w:w="5102"/>
            <w:shd w:fill="1F4E5F"/>
            <w:vAlign w:val="center"/>
          </w:tcPr>
          <w:p>
            <w:pPr>
              <w:spacing w:after="0"/>
            </w:pPr>
            <w:r/>
            <w:r>
              <w:rPr>
                <w:rFonts w:ascii="微软雅黑" w:hAnsi="微软雅黑" w:eastAsia="微软雅黑"/>
                <w:b/>
                <w:color w:val="FFFFFF"/>
                <w:sz w:val="18"/>
              </w:rPr>
              <w:t>基础设施</w:t>
            </w:r>
          </w:p>
        </w:tc>
        <w:tc>
          <w:tcPr>
            <w:tcW w:type="dxa" w:w="2608"/>
            <w:shd w:fill="1F4E5F"/>
            <w:vAlign w:val="center"/>
          </w:tcPr>
          <w:p>
            <w:pPr>
              <w:spacing w:after="0"/>
            </w:pPr>
            <w:r/>
            <w:r>
              <w:rPr>
                <w:rFonts w:ascii="微软雅黑" w:hAnsi="微软雅黑" w:eastAsia="微软雅黑"/>
                <w:b/>
                <w:color w:val="FFFFFF"/>
                <w:sz w:val="18"/>
              </w:rPr>
              <w:t>用途</w:t>
            </w:r>
          </w:p>
        </w:tc>
      </w:tr>
      <w:tr>
        <w:tc>
          <w:tcPr>
            <w:tcW w:type="dxa" w:w="1701"/>
            <w:vAlign w:val="center"/>
          </w:tcPr>
          <w:p>
            <w:pPr>
              <w:spacing w:after="0"/>
            </w:pPr>
            <w:r/>
            <w:r>
              <w:rPr>
                <w:rFonts w:ascii="微软雅黑" w:hAnsi="微软雅黑" w:eastAsia="微软雅黑"/>
                <w:b w:val="0"/>
                <w:sz w:val="17"/>
              </w:rPr>
              <w:t>dev</w:t>
            </w:r>
          </w:p>
        </w:tc>
        <w:tc>
          <w:tcPr>
            <w:tcW w:type="dxa" w:w="5102"/>
            <w:vAlign w:val="center"/>
          </w:tcPr>
          <w:p>
            <w:pPr>
              <w:spacing w:after="0"/>
            </w:pPr>
            <w:r/>
            <w:r>
              <w:rPr>
                <w:rFonts w:ascii="微软雅黑" w:hAnsi="微软雅黑" w:eastAsia="微软雅黑"/>
                <w:b w:val="0"/>
                <w:sz w:val="17"/>
              </w:rPr>
              <w:t>MySQL、Redis、PostgreSQL/pgvector、MinIO、DeepSeek/Qwen</w:t>
            </w:r>
          </w:p>
        </w:tc>
        <w:tc>
          <w:tcPr>
            <w:tcW w:type="dxa" w:w="2608"/>
            <w:vAlign w:val="center"/>
          </w:tcPr>
          <w:p>
            <w:pPr>
              <w:spacing w:after="0"/>
            </w:pPr>
            <w:r/>
            <w:r>
              <w:rPr>
                <w:rFonts w:ascii="微软雅黑" w:hAnsi="微软雅黑" w:eastAsia="微软雅黑"/>
                <w:b w:val="0"/>
                <w:sz w:val="17"/>
              </w:rPr>
              <w:t>真实链路开发与联调</w:t>
            </w:r>
          </w:p>
        </w:tc>
      </w:tr>
      <w:tr>
        <w:tc>
          <w:tcPr>
            <w:tcW w:type="dxa" w:w="1701"/>
            <w:shd w:fill="EEF5F3"/>
            <w:vAlign w:val="center"/>
          </w:tcPr>
          <w:p>
            <w:pPr>
              <w:spacing w:after="0"/>
            </w:pPr>
            <w:r/>
            <w:r>
              <w:rPr>
                <w:rFonts w:ascii="微软雅黑" w:hAnsi="微软雅黑" w:eastAsia="微软雅黑"/>
                <w:b w:val="0"/>
                <w:sz w:val="17"/>
              </w:rPr>
              <w:t>demo</w:t>
            </w:r>
          </w:p>
        </w:tc>
        <w:tc>
          <w:tcPr>
            <w:tcW w:type="dxa" w:w="5102"/>
            <w:shd w:fill="EEF5F3"/>
            <w:vAlign w:val="center"/>
          </w:tcPr>
          <w:p>
            <w:pPr>
              <w:spacing w:after="0"/>
            </w:pPr>
            <w:r/>
            <w:r>
              <w:rPr>
                <w:rFonts w:ascii="微软雅黑" w:hAnsi="微软雅黑" w:eastAsia="微软雅黑"/>
                <w:b w:val="0"/>
                <w:sz w:val="17"/>
              </w:rPr>
              <w:t>本地内存数据、Mock RAG、模板LLM、Demo JWT</w:t>
            </w:r>
          </w:p>
        </w:tc>
        <w:tc>
          <w:tcPr>
            <w:tcW w:type="dxa" w:w="2608"/>
            <w:shd w:fill="EEF5F3"/>
            <w:vAlign w:val="center"/>
          </w:tcPr>
          <w:p>
            <w:pPr>
              <w:spacing w:after="0"/>
            </w:pPr>
            <w:r/>
            <w:r>
              <w:rPr>
                <w:rFonts w:ascii="微软雅黑" w:hAnsi="微软雅黑" w:eastAsia="微软雅黑"/>
                <w:b w:val="0"/>
                <w:sz w:val="17"/>
              </w:rPr>
              <w:t>无Docker、无数据库、无网络比赛演示</w:t>
            </w:r>
          </w:p>
        </w:tc>
      </w:tr>
    </w:tbl>
    <w:p/>
    <w:p>
      <w:pPr>
        <w:spacing w:line="348" w:lineRule="auto" w:after="120"/>
        <w:ind w:firstLine="420"/>
      </w:pPr>
      <w:r>
        <w:rPr>
          <w:rFonts w:ascii="宋体" w:hAnsi="宋体" w:eastAsia="宋体"/>
          <w:b w:val="0"/>
          <w:sz w:val="22"/>
        </w:rPr>
        <w:t>这一设计让项目既能体现真实AI架构，又不把现场演示稳定性建立在网络、数据库或第三方API可用之上。</w:t>
      </w:r>
    </w:p>
    <w:p>
      <w:pPr>
        <w:pStyle w:val="Heading1"/>
        <w:keepNext/>
      </w:pPr>
      <w:r>
        <w:t>第六部分 系统实现与技术架构</w:t>
      </w:r>
    </w:p>
    <w:p>
      <w:pPr>
        <w:pStyle w:val="Heading2"/>
        <w:keepNext/>
      </w:pPr>
      <w:r>
        <w:t>6.1 软件架构</w:t>
      </w:r>
    </w:p>
    <w:tbl>
      <w:tblPr>
        <w:tblStyle w:val="TableGrid"/>
        <w:tblW w:type="auto" w:w="0"/>
        <w:jc w:val="center"/>
        <w:tblLook w:firstColumn="1" w:firstRow="1" w:lastColumn="0" w:lastRow="0" w:noHBand="0" w:noVBand="1" w:val="04A0"/>
      </w:tblPr>
      <w:tblGrid>
        <w:gridCol w:w="3211"/>
        <w:gridCol w:w="3211"/>
        <w:gridCol w:w="3211"/>
      </w:tblGrid>
      <w:tr>
        <w:tc>
          <w:tcPr>
            <w:tcW w:type="dxa" w:w="1417"/>
            <w:shd w:fill="1F4E5F"/>
            <w:vAlign w:val="center"/>
          </w:tcPr>
          <w:p>
            <w:pPr>
              <w:spacing w:after="0"/>
            </w:pPr>
            <w:r/>
            <w:r>
              <w:rPr>
                <w:rFonts w:ascii="微软雅黑" w:hAnsi="微软雅黑" w:eastAsia="微软雅黑"/>
                <w:b/>
                <w:color w:val="FFFFFF"/>
                <w:sz w:val="18"/>
              </w:rPr>
              <w:t>层次</w:t>
            </w:r>
          </w:p>
        </w:tc>
        <w:tc>
          <w:tcPr>
            <w:tcW w:type="dxa" w:w="4082"/>
            <w:shd w:fill="1F4E5F"/>
            <w:vAlign w:val="center"/>
          </w:tcPr>
          <w:p>
            <w:pPr>
              <w:spacing w:after="0"/>
            </w:pPr>
            <w:r/>
            <w:r>
              <w:rPr>
                <w:rFonts w:ascii="微软雅黑" w:hAnsi="微软雅黑" w:eastAsia="微软雅黑"/>
                <w:b/>
                <w:color w:val="FFFFFF"/>
                <w:sz w:val="18"/>
              </w:rPr>
              <w:t>技术实现</w:t>
            </w:r>
          </w:p>
        </w:tc>
        <w:tc>
          <w:tcPr>
            <w:tcW w:type="dxa" w:w="3005"/>
            <w:shd w:fill="1F4E5F"/>
            <w:vAlign w:val="center"/>
          </w:tcPr>
          <w:p>
            <w:pPr>
              <w:spacing w:after="0"/>
            </w:pPr>
            <w:r/>
            <w:r>
              <w:rPr>
                <w:rFonts w:ascii="微软雅黑" w:hAnsi="微软雅黑" w:eastAsia="微软雅黑"/>
                <w:b/>
                <w:color w:val="FFFFFF"/>
                <w:sz w:val="18"/>
              </w:rPr>
              <w:t>主要职责</w:t>
            </w:r>
          </w:p>
        </w:tc>
      </w:tr>
      <w:tr>
        <w:tc>
          <w:tcPr>
            <w:tcW w:type="dxa" w:w="1417"/>
            <w:vAlign w:val="center"/>
          </w:tcPr>
          <w:p>
            <w:pPr>
              <w:spacing w:after="0"/>
            </w:pPr>
            <w:r/>
            <w:r>
              <w:rPr>
                <w:rFonts w:ascii="微软雅黑" w:hAnsi="微软雅黑" w:eastAsia="微软雅黑"/>
                <w:b w:val="0"/>
                <w:sz w:val="17"/>
              </w:rPr>
              <w:t>前端</w:t>
            </w:r>
          </w:p>
        </w:tc>
        <w:tc>
          <w:tcPr>
            <w:tcW w:type="dxa" w:w="4082"/>
            <w:vAlign w:val="center"/>
          </w:tcPr>
          <w:p>
            <w:pPr>
              <w:spacing w:after="0"/>
            </w:pPr>
            <w:r/>
            <w:r>
              <w:rPr>
                <w:rFonts w:ascii="微软雅黑" w:hAnsi="微软雅黑" w:eastAsia="微软雅黑"/>
                <w:b w:val="0"/>
                <w:sz w:val="17"/>
              </w:rPr>
              <w:t>Vue 3、TypeScript、Vite、Element Plus、ECharts</w:t>
            </w:r>
          </w:p>
        </w:tc>
        <w:tc>
          <w:tcPr>
            <w:tcW w:type="dxa" w:w="3005"/>
            <w:vAlign w:val="center"/>
          </w:tcPr>
          <w:p>
            <w:pPr>
              <w:spacing w:after="0"/>
            </w:pPr>
            <w:r/>
            <w:r>
              <w:rPr>
                <w:rFonts w:ascii="微软雅黑" w:hAnsi="微软雅黑" w:eastAsia="微软雅黑"/>
                <w:b w:val="0"/>
                <w:sz w:val="17"/>
              </w:rPr>
              <w:t>适老化页面、Agent动画、规划和统计图表</w:t>
            </w:r>
          </w:p>
        </w:tc>
      </w:tr>
      <w:tr>
        <w:tc>
          <w:tcPr>
            <w:tcW w:type="dxa" w:w="1417"/>
            <w:shd w:fill="EEF5F3"/>
            <w:vAlign w:val="center"/>
          </w:tcPr>
          <w:p>
            <w:pPr>
              <w:spacing w:after="0"/>
            </w:pPr>
            <w:r/>
            <w:r>
              <w:rPr>
                <w:rFonts w:ascii="微软雅黑" w:hAnsi="微软雅黑" w:eastAsia="微软雅黑"/>
                <w:b w:val="0"/>
                <w:sz w:val="17"/>
              </w:rPr>
              <w:t>后端</w:t>
            </w:r>
          </w:p>
        </w:tc>
        <w:tc>
          <w:tcPr>
            <w:tcW w:type="dxa" w:w="4082"/>
            <w:shd w:fill="EEF5F3"/>
            <w:vAlign w:val="center"/>
          </w:tcPr>
          <w:p>
            <w:pPr>
              <w:spacing w:after="0"/>
            </w:pPr>
            <w:r/>
            <w:r>
              <w:rPr>
                <w:rFonts w:ascii="微软雅黑" w:hAnsi="微软雅黑" w:eastAsia="微软雅黑"/>
                <w:b w:val="0"/>
                <w:sz w:val="17"/>
              </w:rPr>
              <w:t>Java 21、Spring Boot 3、Spring MVC</w:t>
            </w:r>
          </w:p>
        </w:tc>
        <w:tc>
          <w:tcPr>
            <w:tcW w:type="dxa" w:w="3005"/>
            <w:shd w:fill="EEF5F3"/>
            <w:vAlign w:val="center"/>
          </w:tcPr>
          <w:p>
            <w:pPr>
              <w:spacing w:after="0"/>
            </w:pPr>
            <w:r/>
            <w:r>
              <w:rPr>
                <w:rFonts w:ascii="微软雅黑" w:hAnsi="微软雅黑" w:eastAsia="微软雅黑"/>
                <w:b w:val="0"/>
                <w:sz w:val="17"/>
              </w:rPr>
              <w:t>REST接口、业务编排、统一响应和异常治理</w:t>
            </w:r>
          </w:p>
        </w:tc>
      </w:tr>
      <w:tr>
        <w:tc>
          <w:tcPr>
            <w:tcW w:type="dxa" w:w="1417"/>
            <w:vAlign w:val="center"/>
          </w:tcPr>
          <w:p>
            <w:pPr>
              <w:spacing w:after="0"/>
            </w:pPr>
            <w:r/>
            <w:r>
              <w:rPr>
                <w:rFonts w:ascii="微软雅黑" w:hAnsi="微软雅黑" w:eastAsia="微软雅黑"/>
                <w:b w:val="0"/>
                <w:sz w:val="17"/>
              </w:rPr>
              <w:t>安全</w:t>
            </w:r>
          </w:p>
        </w:tc>
        <w:tc>
          <w:tcPr>
            <w:tcW w:type="dxa" w:w="4082"/>
            <w:vAlign w:val="center"/>
          </w:tcPr>
          <w:p>
            <w:pPr>
              <w:spacing w:after="0"/>
            </w:pPr>
            <w:r/>
            <w:r>
              <w:rPr>
                <w:rFonts w:ascii="微软雅黑" w:hAnsi="微软雅黑" w:eastAsia="微软雅黑"/>
                <w:b w:val="0"/>
                <w:sz w:val="17"/>
              </w:rPr>
              <w:t>Spring Security、JWT、BCrypt、RBAC</w:t>
            </w:r>
          </w:p>
        </w:tc>
        <w:tc>
          <w:tcPr>
            <w:tcW w:type="dxa" w:w="3005"/>
            <w:vAlign w:val="center"/>
          </w:tcPr>
          <w:p>
            <w:pPr>
              <w:spacing w:after="0"/>
            </w:pPr>
            <w:r/>
            <w:r>
              <w:rPr>
                <w:rFonts w:ascii="微软雅黑" w:hAnsi="微软雅黑" w:eastAsia="微软雅黑"/>
                <w:b w:val="0"/>
                <w:sz w:val="17"/>
              </w:rPr>
              <w:t>身份认证、权限控制、密码摘要</w:t>
            </w:r>
          </w:p>
        </w:tc>
      </w:tr>
      <w:tr>
        <w:tc>
          <w:tcPr>
            <w:tcW w:type="dxa" w:w="1417"/>
            <w:shd w:fill="EEF5F3"/>
            <w:vAlign w:val="center"/>
          </w:tcPr>
          <w:p>
            <w:pPr>
              <w:spacing w:after="0"/>
            </w:pPr>
            <w:r/>
            <w:r>
              <w:rPr>
                <w:rFonts w:ascii="微软雅黑" w:hAnsi="微软雅黑" w:eastAsia="微软雅黑"/>
                <w:b w:val="0"/>
                <w:sz w:val="17"/>
              </w:rPr>
              <w:t>持久化</w:t>
            </w:r>
          </w:p>
        </w:tc>
        <w:tc>
          <w:tcPr>
            <w:tcW w:type="dxa" w:w="4082"/>
            <w:shd w:fill="EEF5F3"/>
            <w:vAlign w:val="center"/>
          </w:tcPr>
          <w:p>
            <w:pPr>
              <w:spacing w:after="0"/>
            </w:pPr>
            <w:r/>
            <w:r>
              <w:rPr>
                <w:rFonts w:ascii="微软雅黑" w:hAnsi="微软雅黑" w:eastAsia="微软雅黑"/>
                <w:b w:val="0"/>
                <w:sz w:val="17"/>
              </w:rPr>
              <w:t>MyBatis Plus、MySQL 8、Redis</w:t>
            </w:r>
          </w:p>
        </w:tc>
        <w:tc>
          <w:tcPr>
            <w:tcW w:type="dxa" w:w="3005"/>
            <w:shd w:fill="EEF5F3"/>
            <w:vAlign w:val="center"/>
          </w:tcPr>
          <w:p>
            <w:pPr>
              <w:spacing w:after="0"/>
            </w:pPr>
            <w:r/>
            <w:r>
              <w:rPr>
                <w:rFonts w:ascii="微软雅黑" w:hAnsi="微软雅黑" w:eastAsia="微软雅黑"/>
                <w:b w:val="0"/>
                <w:sz w:val="17"/>
              </w:rPr>
              <w:t>用户、画像、会话、规划、风险记录和缓存</w:t>
            </w:r>
          </w:p>
        </w:tc>
      </w:tr>
      <w:tr>
        <w:tc>
          <w:tcPr>
            <w:tcW w:type="dxa" w:w="1417"/>
            <w:vAlign w:val="center"/>
          </w:tcPr>
          <w:p>
            <w:pPr>
              <w:spacing w:after="0"/>
            </w:pPr>
            <w:r/>
            <w:r>
              <w:rPr>
                <w:rFonts w:ascii="微软雅黑" w:hAnsi="微软雅黑" w:eastAsia="微软雅黑"/>
                <w:b w:val="0"/>
                <w:sz w:val="17"/>
              </w:rPr>
              <w:t>AI知识</w:t>
            </w:r>
          </w:p>
        </w:tc>
        <w:tc>
          <w:tcPr>
            <w:tcW w:type="dxa" w:w="4082"/>
            <w:vAlign w:val="center"/>
          </w:tcPr>
          <w:p>
            <w:pPr>
              <w:spacing w:after="0"/>
            </w:pPr>
            <w:r/>
            <w:r>
              <w:rPr>
                <w:rFonts w:ascii="微软雅黑" w:hAnsi="微软雅黑" w:eastAsia="微软雅黑"/>
                <w:b w:val="0"/>
                <w:sz w:val="17"/>
              </w:rPr>
              <w:t>DeepSeek/Qwen、Embedding、Prompt、pgvector</w:t>
            </w:r>
          </w:p>
        </w:tc>
        <w:tc>
          <w:tcPr>
            <w:tcW w:type="dxa" w:w="3005"/>
            <w:vAlign w:val="center"/>
          </w:tcPr>
          <w:p>
            <w:pPr>
              <w:spacing w:after="0"/>
            </w:pPr>
            <w:r/>
            <w:r>
              <w:rPr>
                <w:rFonts w:ascii="微软雅黑" w:hAnsi="微软雅黑" w:eastAsia="微软雅黑"/>
                <w:b w:val="0"/>
                <w:sz w:val="17"/>
              </w:rPr>
              <w:t>生成、知识检索、来源与可信度</w:t>
            </w:r>
          </w:p>
        </w:tc>
      </w:tr>
      <w:tr>
        <w:tc>
          <w:tcPr>
            <w:tcW w:type="dxa" w:w="1417"/>
            <w:shd w:fill="EEF5F3"/>
            <w:vAlign w:val="center"/>
          </w:tcPr>
          <w:p>
            <w:pPr>
              <w:spacing w:after="0"/>
            </w:pPr>
            <w:r/>
            <w:r>
              <w:rPr>
                <w:rFonts w:ascii="微软雅黑" w:hAnsi="微软雅黑" w:eastAsia="微软雅黑"/>
                <w:b w:val="0"/>
                <w:sz w:val="17"/>
              </w:rPr>
              <w:t>部署</w:t>
            </w:r>
          </w:p>
        </w:tc>
        <w:tc>
          <w:tcPr>
            <w:tcW w:type="dxa" w:w="4082"/>
            <w:shd w:fill="EEF5F3"/>
            <w:vAlign w:val="center"/>
          </w:tcPr>
          <w:p>
            <w:pPr>
              <w:spacing w:after="0"/>
            </w:pPr>
            <w:r/>
            <w:r>
              <w:rPr>
                <w:rFonts w:ascii="微软雅黑" w:hAnsi="微软雅黑" w:eastAsia="微软雅黑"/>
                <w:b w:val="0"/>
                <w:sz w:val="17"/>
              </w:rPr>
              <w:t>Docker Compose、MinIO、Demo Jar</w:t>
            </w:r>
          </w:p>
        </w:tc>
        <w:tc>
          <w:tcPr>
            <w:tcW w:type="dxa" w:w="3005"/>
            <w:shd w:fill="EEF5F3"/>
            <w:vAlign w:val="center"/>
          </w:tcPr>
          <w:p>
            <w:pPr>
              <w:spacing w:after="0"/>
            </w:pPr>
            <w:r/>
            <w:r>
              <w:rPr>
                <w:rFonts w:ascii="微软雅黑" w:hAnsi="微软雅黑" w:eastAsia="微软雅黑"/>
                <w:b w:val="0"/>
                <w:sz w:val="17"/>
              </w:rPr>
              <w:t>开发编排、文件存储、比赛现场启动</w:t>
            </w:r>
          </w:p>
        </w:tc>
      </w:tr>
    </w:tbl>
    <w:p/>
    <w:p>
      <w:pPr>
        <w:pStyle w:val="Heading2"/>
        <w:keepNext/>
      </w:pPr>
      <w:r>
        <w:t>6.2 系统安全设计</w:t>
      </w:r>
    </w:p>
    <w:p>
      <w:pPr>
        <w:pStyle w:val="ListBullet"/>
        <w:spacing w:after="60"/>
        <w:ind w:left="454"/>
      </w:pPr>
      <w:r>
        <w:rPr>
          <w:rFonts w:ascii="宋体" w:hAnsi="宋体" w:eastAsia="宋体"/>
          <w:b w:val="0"/>
          <w:sz w:val="21"/>
        </w:rPr>
        <w:t>所有用户业务接口通过JWT认证；知识上传和管理统计使用ADMIN权限。</w:t>
      </w:r>
    </w:p>
    <w:p>
      <w:pPr>
        <w:pStyle w:val="ListBullet"/>
        <w:spacing w:after="60"/>
        <w:ind w:left="454"/>
      </w:pPr>
      <w:r>
        <w:rPr>
          <w:rFonts w:ascii="宋体" w:hAnsi="宋体" w:eastAsia="宋体"/>
          <w:b w:val="0"/>
          <w:sz w:val="21"/>
        </w:rPr>
        <w:t>密码使用BCrypt摘要；DeepSeek、Qwen、OCR等密钥通过环境变量读取，不写入代码和日志。</w:t>
      </w:r>
    </w:p>
    <w:p>
      <w:pPr>
        <w:pStyle w:val="ListBullet"/>
        <w:spacing w:after="60"/>
        <w:ind w:left="454"/>
      </w:pPr>
      <w:r>
        <w:rPr>
          <w:rFonts w:ascii="宋体" w:hAnsi="宋体" w:eastAsia="宋体"/>
          <w:b w:val="0"/>
          <w:sz w:val="21"/>
        </w:rPr>
        <w:t>统一Result响应和GlobalExceptionHandler避免内部异常直接暴露；系统保留traceId用于排查。</w:t>
      </w:r>
    </w:p>
    <w:p>
      <w:pPr>
        <w:pStyle w:val="ListBullet"/>
        <w:spacing w:after="60"/>
        <w:ind w:left="454"/>
      </w:pPr>
      <w:r>
        <w:rPr>
          <w:rFonts w:ascii="宋体" w:hAnsi="宋体" w:eastAsia="宋体"/>
          <w:b w:val="0"/>
          <w:sz w:val="21"/>
        </w:rPr>
        <w:t>开发、Demo配置隔离；Demo不读取真实数据库、缓存、向量库、对象存储或外部模型。</w:t>
      </w:r>
    </w:p>
    <w:p>
      <w:pPr>
        <w:pStyle w:val="ListBullet"/>
        <w:spacing w:after="60"/>
        <w:ind w:left="454"/>
      </w:pPr>
      <w:r>
        <w:rPr>
          <w:rFonts w:ascii="宋体" w:hAnsi="宋体" w:eastAsia="宋体"/>
          <w:b w:val="0"/>
          <w:sz w:val="21"/>
        </w:rPr>
        <w:t>正式生产环境还应增加字段级加密、访问审计、授权撤回、数据删除、脱敏和限流。</w:t>
      </w:r>
    </w:p>
    <w:p>
      <w:pPr>
        <w:pStyle w:val="Heading2"/>
        <w:keepNext/>
      </w:pPr>
      <w:r>
        <w:t>6.3 数据设计与接口</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fill="1F4E5F"/>
            <w:vAlign w:val="center"/>
          </w:tcPr>
          <w:p>
            <w:pPr>
              <w:spacing w:after="0"/>
            </w:pPr>
            <w:r/>
            <w:r>
              <w:rPr>
                <w:rFonts w:ascii="微软雅黑" w:hAnsi="微软雅黑" w:eastAsia="微软雅黑"/>
                <w:b/>
                <w:color w:val="FFFFFF"/>
                <w:sz w:val="18"/>
              </w:rPr>
              <w:t>数据实体</w:t>
            </w:r>
          </w:p>
        </w:tc>
        <w:tc>
          <w:tcPr>
            <w:tcW w:type="dxa" w:w="3458"/>
            <w:shd w:fill="1F4E5F"/>
            <w:vAlign w:val="center"/>
          </w:tcPr>
          <w:p>
            <w:pPr>
              <w:spacing w:after="0"/>
            </w:pPr>
            <w:r/>
            <w:r>
              <w:rPr>
                <w:rFonts w:ascii="微软雅黑" w:hAnsi="微软雅黑" w:eastAsia="微软雅黑"/>
                <w:b/>
                <w:color w:val="FFFFFF"/>
                <w:sz w:val="18"/>
              </w:rPr>
              <w:t>关键字段</w:t>
            </w:r>
          </w:p>
        </w:tc>
        <w:tc>
          <w:tcPr>
            <w:tcW w:type="dxa" w:w="2665"/>
            <w:shd w:fill="1F4E5F"/>
            <w:vAlign w:val="center"/>
          </w:tcPr>
          <w:p>
            <w:pPr>
              <w:spacing w:after="0"/>
            </w:pPr>
            <w:r/>
            <w:r>
              <w:rPr>
                <w:rFonts w:ascii="微软雅黑" w:hAnsi="微软雅黑" w:eastAsia="微软雅黑"/>
                <w:b/>
                <w:color w:val="FFFFFF"/>
                <w:sz w:val="18"/>
              </w:rPr>
              <w:t>业务作用</w:t>
            </w:r>
          </w:p>
        </w:tc>
      </w:tr>
      <w:tr>
        <w:tc>
          <w:tcPr>
            <w:tcW w:type="dxa" w:w="2381"/>
            <w:vAlign w:val="center"/>
          </w:tcPr>
          <w:p>
            <w:pPr>
              <w:spacing w:after="0"/>
            </w:pPr>
            <w:r/>
            <w:r>
              <w:rPr>
                <w:rFonts w:ascii="微软雅黑" w:hAnsi="微软雅黑" w:eastAsia="微软雅黑"/>
                <w:b w:val="0"/>
                <w:sz w:val="17"/>
              </w:rPr>
              <w:t>sys_user / sys_role</w:t>
            </w:r>
          </w:p>
        </w:tc>
        <w:tc>
          <w:tcPr>
            <w:tcW w:type="dxa" w:w="3458"/>
            <w:vAlign w:val="center"/>
          </w:tcPr>
          <w:p>
            <w:pPr>
              <w:spacing w:after="0"/>
            </w:pPr>
            <w:r/>
            <w:r>
              <w:rPr>
                <w:rFonts w:ascii="微软雅黑" w:hAnsi="微软雅黑" w:eastAsia="微软雅黑"/>
                <w:b w:val="0"/>
                <w:sz w:val="17"/>
              </w:rPr>
              <w:t>账号、密码摘要、角色、状态</w:t>
            </w:r>
          </w:p>
        </w:tc>
        <w:tc>
          <w:tcPr>
            <w:tcW w:type="dxa" w:w="2665"/>
            <w:vAlign w:val="center"/>
          </w:tcPr>
          <w:p>
            <w:pPr>
              <w:spacing w:after="0"/>
            </w:pPr>
            <w:r/>
            <w:r>
              <w:rPr>
                <w:rFonts w:ascii="微软雅黑" w:hAnsi="微软雅黑" w:eastAsia="微软雅黑"/>
                <w:b w:val="0"/>
                <w:sz w:val="17"/>
              </w:rPr>
              <w:t>身份认证与权限</w:t>
            </w:r>
          </w:p>
        </w:tc>
      </w:tr>
      <w:tr>
        <w:tc>
          <w:tcPr>
            <w:tcW w:type="dxa" w:w="2381"/>
            <w:shd w:fill="EEF5F3"/>
            <w:vAlign w:val="center"/>
          </w:tcPr>
          <w:p>
            <w:pPr>
              <w:spacing w:after="0"/>
            </w:pPr>
            <w:r/>
            <w:r>
              <w:rPr>
                <w:rFonts w:ascii="微软雅黑" w:hAnsi="微软雅黑" w:eastAsia="微软雅黑"/>
                <w:b w:val="0"/>
                <w:sz w:val="17"/>
              </w:rPr>
              <w:t>elderly_profile</w:t>
            </w:r>
          </w:p>
        </w:tc>
        <w:tc>
          <w:tcPr>
            <w:tcW w:type="dxa" w:w="3458"/>
            <w:shd w:fill="EEF5F3"/>
            <w:vAlign w:val="center"/>
          </w:tcPr>
          <w:p>
            <w:pPr>
              <w:spacing w:after="0"/>
            </w:pPr>
            <w:r/>
            <w:r>
              <w:rPr>
                <w:rFonts w:ascii="微软雅黑" w:hAnsi="微软雅黑" w:eastAsia="微软雅黑"/>
                <w:b w:val="0"/>
                <w:sz w:val="17"/>
              </w:rPr>
              <w:t>年龄、收入、风险、需求、标签</w:t>
            </w:r>
          </w:p>
        </w:tc>
        <w:tc>
          <w:tcPr>
            <w:tcW w:type="dxa" w:w="2665"/>
            <w:shd w:fill="EEF5F3"/>
            <w:vAlign w:val="center"/>
          </w:tcPr>
          <w:p>
            <w:pPr>
              <w:spacing w:after="0"/>
            </w:pPr>
            <w:r/>
            <w:r>
              <w:rPr>
                <w:rFonts w:ascii="微软雅黑" w:hAnsi="微软雅黑" w:eastAsia="微软雅黑"/>
                <w:b w:val="0"/>
                <w:sz w:val="17"/>
              </w:rPr>
              <w:t>个性化服务画像</w:t>
            </w:r>
          </w:p>
        </w:tc>
      </w:tr>
      <w:tr>
        <w:tc>
          <w:tcPr>
            <w:tcW w:type="dxa" w:w="2381"/>
            <w:vAlign w:val="center"/>
          </w:tcPr>
          <w:p>
            <w:pPr>
              <w:spacing w:after="0"/>
            </w:pPr>
            <w:r/>
            <w:r>
              <w:rPr>
                <w:rFonts w:ascii="微软雅黑" w:hAnsi="微软雅黑" w:eastAsia="微软雅黑"/>
                <w:b w:val="0"/>
                <w:sz w:val="17"/>
              </w:rPr>
              <w:t>financial_product</w:t>
            </w:r>
          </w:p>
        </w:tc>
        <w:tc>
          <w:tcPr>
            <w:tcW w:type="dxa" w:w="3458"/>
            <w:vAlign w:val="center"/>
          </w:tcPr>
          <w:p>
            <w:pPr>
              <w:spacing w:after="0"/>
            </w:pPr>
            <w:r/>
            <w:r>
              <w:rPr>
                <w:rFonts w:ascii="微软雅黑" w:hAnsi="微软雅黑" w:eastAsia="微软雅黑"/>
                <w:b w:val="0"/>
                <w:sz w:val="17"/>
              </w:rPr>
              <w:t>类型、风险、适龄、流动性、标签</w:t>
            </w:r>
          </w:p>
        </w:tc>
        <w:tc>
          <w:tcPr>
            <w:tcW w:type="dxa" w:w="2665"/>
            <w:vAlign w:val="center"/>
          </w:tcPr>
          <w:p>
            <w:pPr>
              <w:spacing w:after="0"/>
            </w:pPr>
            <w:r/>
            <w:r>
              <w:rPr>
                <w:rFonts w:ascii="微软雅黑" w:hAnsi="微软雅黑" w:eastAsia="微软雅黑"/>
                <w:b w:val="0"/>
                <w:sz w:val="17"/>
              </w:rPr>
              <w:t>模拟产品知识条目</w:t>
            </w:r>
          </w:p>
        </w:tc>
      </w:tr>
      <w:tr>
        <w:tc>
          <w:tcPr>
            <w:tcW w:type="dxa" w:w="2381"/>
            <w:shd w:fill="EEF5F3"/>
            <w:vAlign w:val="center"/>
          </w:tcPr>
          <w:p>
            <w:pPr>
              <w:spacing w:after="0"/>
            </w:pPr>
            <w:r/>
            <w:r>
              <w:rPr>
                <w:rFonts w:ascii="微软雅黑" w:hAnsi="微软雅黑" w:eastAsia="微软雅黑"/>
                <w:b w:val="0"/>
                <w:sz w:val="17"/>
              </w:rPr>
              <w:t>elderly_financial_plan</w:t>
            </w:r>
          </w:p>
        </w:tc>
        <w:tc>
          <w:tcPr>
            <w:tcW w:type="dxa" w:w="3458"/>
            <w:shd w:fill="EEF5F3"/>
            <w:vAlign w:val="center"/>
          </w:tcPr>
          <w:p>
            <w:pPr>
              <w:spacing w:after="0"/>
            </w:pPr>
            <w:r/>
            <w:r>
              <w:rPr>
                <w:rFonts w:ascii="微软雅黑" w:hAnsi="微软雅黑" w:eastAsia="微软雅黑"/>
                <w:b w:val="0"/>
                <w:sz w:val="17"/>
              </w:rPr>
              <w:t>输入快照、规划结果、创建时间</w:t>
            </w:r>
          </w:p>
        </w:tc>
        <w:tc>
          <w:tcPr>
            <w:tcW w:type="dxa" w:w="2665"/>
            <w:shd w:fill="EEF5F3"/>
            <w:vAlign w:val="center"/>
          </w:tcPr>
          <w:p>
            <w:pPr>
              <w:spacing w:after="0"/>
            </w:pPr>
            <w:r/>
            <w:r>
              <w:rPr>
                <w:rFonts w:ascii="微软雅黑" w:hAnsi="微软雅黑" w:eastAsia="微软雅黑"/>
                <w:b w:val="0"/>
                <w:sz w:val="17"/>
              </w:rPr>
              <w:t>规划留痕</w:t>
            </w:r>
          </w:p>
        </w:tc>
      </w:tr>
      <w:tr>
        <w:tc>
          <w:tcPr>
            <w:tcW w:type="dxa" w:w="2381"/>
            <w:vAlign w:val="center"/>
          </w:tcPr>
          <w:p>
            <w:pPr>
              <w:spacing w:after="0"/>
            </w:pPr>
            <w:r/>
            <w:r>
              <w:rPr>
                <w:rFonts w:ascii="微软雅黑" w:hAnsi="微软雅黑" w:eastAsia="微软雅黑"/>
                <w:b w:val="0"/>
                <w:sz w:val="17"/>
              </w:rPr>
              <w:t>knowledge_chunk_vector</w:t>
            </w:r>
          </w:p>
        </w:tc>
        <w:tc>
          <w:tcPr>
            <w:tcW w:type="dxa" w:w="3458"/>
            <w:vAlign w:val="center"/>
          </w:tcPr>
          <w:p>
            <w:pPr>
              <w:spacing w:after="0"/>
            </w:pPr>
            <w:r/>
            <w:r>
              <w:rPr>
                <w:rFonts w:ascii="微软雅黑" w:hAnsi="微软雅黑" w:eastAsia="微软雅黑"/>
                <w:b w:val="0"/>
                <w:sz w:val="17"/>
              </w:rPr>
              <w:t>chunk、content、embedding</w:t>
            </w:r>
          </w:p>
        </w:tc>
        <w:tc>
          <w:tcPr>
            <w:tcW w:type="dxa" w:w="2665"/>
            <w:vAlign w:val="center"/>
          </w:tcPr>
          <w:p>
            <w:pPr>
              <w:spacing w:after="0"/>
            </w:pPr>
            <w:r/>
            <w:r>
              <w:rPr>
                <w:rFonts w:ascii="微软雅黑" w:hAnsi="微软雅黑" w:eastAsia="微软雅黑"/>
                <w:b w:val="0"/>
                <w:sz w:val="17"/>
              </w:rPr>
              <w:t>RAG检索</w:t>
            </w:r>
          </w:p>
        </w:tc>
      </w:tr>
      <w:tr>
        <w:tc>
          <w:tcPr>
            <w:tcW w:type="dxa" w:w="2381"/>
            <w:shd w:fill="EEF5F3"/>
            <w:vAlign w:val="center"/>
          </w:tcPr>
          <w:p>
            <w:pPr>
              <w:spacing w:after="0"/>
            </w:pPr>
            <w:r/>
            <w:r>
              <w:rPr>
                <w:rFonts w:ascii="微软雅黑" w:hAnsi="微软雅黑" w:eastAsia="微软雅黑"/>
                <w:b w:val="0"/>
                <w:sz w:val="17"/>
              </w:rPr>
              <w:t>fraud_detection_record</w:t>
            </w:r>
          </w:p>
        </w:tc>
        <w:tc>
          <w:tcPr>
            <w:tcW w:type="dxa" w:w="3458"/>
            <w:shd w:fill="EEF5F3"/>
            <w:vAlign w:val="center"/>
          </w:tcPr>
          <w:p>
            <w:pPr>
              <w:spacing w:after="0"/>
            </w:pPr>
            <w:r/>
            <w:r>
              <w:rPr>
                <w:rFonts w:ascii="微软雅黑" w:hAnsi="微软雅黑" w:eastAsia="微软雅黑"/>
                <w:b w:val="0"/>
                <w:sz w:val="17"/>
              </w:rPr>
              <w:t>输入、OCR、风险分、解释</w:t>
            </w:r>
          </w:p>
        </w:tc>
        <w:tc>
          <w:tcPr>
            <w:tcW w:type="dxa" w:w="2665"/>
            <w:shd w:fill="EEF5F3"/>
            <w:vAlign w:val="center"/>
          </w:tcPr>
          <w:p>
            <w:pPr>
              <w:spacing w:after="0"/>
            </w:pPr>
            <w:r/>
            <w:r>
              <w:rPr>
                <w:rFonts w:ascii="微软雅黑" w:hAnsi="微软雅黑" w:eastAsia="微软雅黑"/>
                <w:b w:val="0"/>
                <w:sz w:val="17"/>
              </w:rPr>
              <w:t>风险事件记录</w:t>
            </w:r>
          </w:p>
        </w:tc>
      </w:tr>
    </w:tbl>
    <w:p/>
    <w:p>
      <w:pPr>
        <w:spacing w:line="348" w:lineRule="auto" w:after="120"/>
        <w:ind w:firstLine="420"/>
      </w:pPr>
      <w:r>
        <w:rPr>
          <w:rFonts w:ascii="宋体" w:hAnsi="宋体" w:eastAsia="宋体"/>
          <w:b w:val="0"/>
          <w:sz w:val="22"/>
        </w:rPr>
        <w:t>主要接口包括登录、画像、AI问答、养老规划、AI金融智能体、健康评分、家庭摘要、文本/图片诈骗检测、知识上传和系统健康检查；完整接口示例见附录B和docs目录。</w:t>
      </w:r>
    </w:p>
    <w:p>
      <w:pPr>
        <w:pStyle w:val="Heading1"/>
        <w:keepNext/>
      </w:pPr>
      <w:r>
        <w:t>第七部分 应用场景与案例分析</w:t>
      </w:r>
    </w:p>
    <w:p>
      <w:pPr>
        <w:pStyle w:val="Heading2"/>
        <w:keepNext/>
      </w:pPr>
      <w:r>
        <w:t>7.1 银龄养老规划案例</w:t>
      </w:r>
    </w:p>
    <w:tbl>
      <w:tblPr>
        <w:tblStyle w:val="TableGrid"/>
        <w:tblW w:type="auto" w:w="0"/>
        <w:jc w:val="center"/>
        <w:tblLook w:firstColumn="1" w:firstRow="1" w:lastColumn="0" w:lastRow="0" w:noHBand="0" w:noVBand="1" w:val="04A0"/>
      </w:tblPr>
      <w:tblGrid>
        <w:gridCol w:w="3211"/>
        <w:gridCol w:w="3211"/>
        <w:gridCol w:w="3211"/>
      </w:tblGrid>
      <w:tr>
        <w:tc>
          <w:tcPr>
            <w:tcW w:type="dxa" w:w="2835"/>
            <w:shd w:fill="1F4E5F"/>
            <w:vAlign w:val="center"/>
          </w:tcPr>
          <w:p>
            <w:pPr>
              <w:spacing w:after="0"/>
            </w:pPr>
            <w:r/>
            <w:r>
              <w:rPr>
                <w:rFonts w:ascii="微软雅黑" w:hAnsi="微软雅黑" w:eastAsia="微软雅黑"/>
                <w:b/>
                <w:color w:val="FFFFFF"/>
                <w:sz w:val="18"/>
              </w:rPr>
              <w:t>案例输入</w:t>
            </w:r>
          </w:p>
        </w:tc>
        <w:tc>
          <w:tcPr>
            <w:tcW w:type="dxa" w:w="3402"/>
            <w:shd w:fill="1F4E5F"/>
            <w:vAlign w:val="center"/>
          </w:tcPr>
          <w:p>
            <w:pPr>
              <w:spacing w:after="0"/>
            </w:pPr>
            <w:r/>
            <w:r>
              <w:rPr>
                <w:rFonts w:ascii="微软雅黑" w:hAnsi="微软雅黑" w:eastAsia="微软雅黑"/>
                <w:b/>
                <w:color w:val="FFFFFF"/>
                <w:sz w:val="18"/>
              </w:rPr>
              <w:t>系统处理</w:t>
            </w:r>
          </w:p>
        </w:tc>
        <w:tc>
          <w:tcPr>
            <w:tcW w:type="dxa" w:w="2835"/>
            <w:shd w:fill="1F4E5F"/>
            <w:vAlign w:val="center"/>
          </w:tcPr>
          <w:p>
            <w:pPr>
              <w:spacing w:after="0"/>
            </w:pPr>
            <w:r/>
            <w:r>
              <w:rPr>
                <w:rFonts w:ascii="微软雅黑" w:hAnsi="微软雅黑" w:eastAsia="微软雅黑"/>
                <w:b/>
                <w:color w:val="FFFFFF"/>
                <w:sz w:val="18"/>
              </w:rPr>
              <w:t>输出</w:t>
            </w:r>
          </w:p>
        </w:tc>
      </w:tr>
      <w:tr>
        <w:tc>
          <w:tcPr>
            <w:tcW w:type="dxa" w:w="2835"/>
            <w:vAlign w:val="center"/>
          </w:tcPr>
          <w:p>
            <w:pPr>
              <w:spacing w:after="0"/>
            </w:pPr>
            <w:r/>
            <w:r>
              <w:rPr>
                <w:rFonts w:ascii="微软雅黑" w:hAnsi="微软雅黑" w:eastAsia="微软雅黑"/>
                <w:b w:val="0"/>
                <w:sz w:val="17"/>
              </w:rPr>
              <w:t>68岁；退休金6000元/月；存款50万元；偏好稳健；目标健康养老</w:t>
            </w:r>
          </w:p>
        </w:tc>
        <w:tc>
          <w:tcPr>
            <w:tcW w:type="dxa" w:w="3402"/>
            <w:vAlign w:val="center"/>
          </w:tcPr>
          <w:p>
            <w:pPr>
              <w:spacing w:after="0"/>
            </w:pPr>
            <w:r/>
            <w:r>
              <w:rPr>
                <w:rFonts w:ascii="微软雅黑" w:hAnsi="微软雅黑" w:eastAsia="微软雅黑"/>
                <w:b w:val="0"/>
                <w:sz w:val="17"/>
              </w:rPr>
              <w:t>识别RETIREMENT_PLAN；画像为退休初期；风险演示分28/LOW；计算三类资金用途；检索个人养老金与养老服务知识</w:t>
            </w:r>
          </w:p>
        </w:tc>
        <w:tc>
          <w:tcPr>
            <w:tcW w:type="dxa" w:w="2835"/>
            <w:vAlign w:val="center"/>
          </w:tcPr>
          <w:p>
            <w:pPr>
              <w:spacing w:after="0"/>
            </w:pPr>
            <w:r/>
            <w:r>
              <w:rPr>
                <w:rFonts w:ascii="微软雅黑" w:hAnsi="微软雅黑" w:eastAsia="微软雅黑"/>
                <w:b w:val="0"/>
                <w:sz w:val="17"/>
              </w:rPr>
              <w:t>六步Agent Chain、20/60/20用途、模拟产品类别、六段式AI报告和来源</w:t>
            </w:r>
          </w:p>
        </w:tc>
      </w:tr>
    </w:tbl>
    <w:p/>
    <w:p>
      <w:pPr>
        <w:spacing w:line="348" w:lineRule="auto" w:after="120"/>
        <w:ind w:firstLine="420"/>
      </w:pPr>
      <w:r>
        <w:rPr>
          <w:rFonts w:ascii="宋体" w:hAnsi="宋体" w:eastAsia="宋体"/>
          <w:b w:val="0"/>
          <w:sz w:val="22"/>
        </w:rPr>
        <w:t>该案例展示“非结构化表达—结构化金融服务”的转换过程。系统不会因为用户输入一句话就直接生成产品购买指令，而是先让画像、风险规则、规划和知识来源形成可检查中间结果。</w:t>
      </w:r>
    </w:p>
    <w:p>
      <w:pPr>
        <w:pStyle w:val="Heading2"/>
        <w:keepNext/>
      </w:pPr>
      <w:r>
        <w:t>7.2 风险防护案例</w:t>
      </w:r>
    </w:p>
    <w:tbl>
      <w:tblPr>
        <w:tblStyle w:val="TableGrid"/>
        <w:tblW w:type="auto" w:w="0"/>
        <w:jc w:val="center"/>
        <w:tblLook w:firstColumn="1" w:firstRow="1" w:lastColumn="0" w:lastRow="0" w:noHBand="0" w:noVBand="1" w:val="04A0"/>
      </w:tblPr>
      <w:tblGrid>
        <w:gridCol w:w="3211"/>
        <w:gridCol w:w="3211"/>
        <w:gridCol w:w="3211"/>
      </w:tblGrid>
      <w:tr>
        <w:tc>
          <w:tcPr>
            <w:tcW w:type="dxa" w:w="3458"/>
            <w:shd w:fill="1F4E5F"/>
            <w:vAlign w:val="center"/>
          </w:tcPr>
          <w:p>
            <w:pPr>
              <w:spacing w:after="0"/>
            </w:pPr>
            <w:r/>
            <w:r>
              <w:rPr>
                <w:rFonts w:ascii="微软雅黑" w:hAnsi="微软雅黑" w:eastAsia="微软雅黑"/>
                <w:b/>
                <w:color w:val="FFFFFF"/>
                <w:sz w:val="18"/>
              </w:rPr>
              <w:t>用户输入</w:t>
            </w:r>
          </w:p>
        </w:tc>
        <w:tc>
          <w:tcPr>
            <w:tcW w:type="dxa" w:w="2948"/>
            <w:shd w:fill="1F4E5F"/>
            <w:vAlign w:val="center"/>
          </w:tcPr>
          <w:p>
            <w:pPr>
              <w:spacing w:after="0"/>
            </w:pPr>
            <w:r/>
            <w:r>
              <w:rPr>
                <w:rFonts w:ascii="微软雅黑" w:hAnsi="微软雅黑" w:eastAsia="微软雅黑"/>
                <w:b/>
                <w:color w:val="FFFFFF"/>
                <w:sz w:val="18"/>
              </w:rPr>
              <w:t>识别结果</w:t>
            </w:r>
          </w:p>
        </w:tc>
        <w:tc>
          <w:tcPr>
            <w:tcW w:type="dxa" w:w="2665"/>
            <w:shd w:fill="1F4E5F"/>
            <w:vAlign w:val="center"/>
          </w:tcPr>
          <w:p>
            <w:pPr>
              <w:spacing w:after="0"/>
            </w:pPr>
            <w:r/>
            <w:r>
              <w:rPr>
                <w:rFonts w:ascii="微软雅黑" w:hAnsi="微软雅黑" w:eastAsia="微软雅黑"/>
                <w:b/>
                <w:color w:val="FFFFFF"/>
                <w:sz w:val="18"/>
              </w:rPr>
              <w:t>用户得到的帮助</w:t>
            </w:r>
          </w:p>
        </w:tc>
      </w:tr>
      <w:tr>
        <w:tc>
          <w:tcPr>
            <w:tcW w:type="dxa" w:w="3458"/>
            <w:vAlign w:val="center"/>
          </w:tcPr>
          <w:p>
            <w:pPr>
              <w:spacing w:after="0"/>
            </w:pPr>
            <w:r/>
            <w:r>
              <w:rPr>
                <w:rFonts w:ascii="微软雅黑" w:hAnsi="微软雅黑" w:eastAsia="微软雅黑"/>
                <w:b w:val="0"/>
                <w:sz w:val="17"/>
              </w:rPr>
              <w:t>“您的养老金账户异常，请点击链接认证”</w:t>
            </w:r>
          </w:p>
        </w:tc>
        <w:tc>
          <w:tcPr>
            <w:tcW w:type="dxa" w:w="2948"/>
            <w:vAlign w:val="center"/>
          </w:tcPr>
          <w:p>
            <w:pPr>
              <w:spacing w:after="0"/>
            </w:pPr>
            <w:r/>
            <w:r>
              <w:rPr>
                <w:rFonts w:ascii="微软雅黑" w:hAnsi="微软雅黑" w:eastAsia="微软雅黑"/>
                <w:b w:val="0"/>
                <w:sz w:val="17"/>
              </w:rPr>
              <w:t>命中养老补贴/异常/点击链接等诱导线索，风险等级提升</w:t>
            </w:r>
          </w:p>
        </w:tc>
        <w:tc>
          <w:tcPr>
            <w:tcW w:type="dxa" w:w="2665"/>
            <w:vAlign w:val="center"/>
          </w:tcPr>
          <w:p>
            <w:pPr>
              <w:spacing w:after="0"/>
            </w:pPr>
            <w:r/>
            <w:r>
              <w:rPr>
                <w:rFonts w:ascii="微软雅黑" w:hAnsi="微软雅黑" w:eastAsia="微软雅黑"/>
                <w:b w:val="0"/>
                <w:sz w:val="17"/>
              </w:rPr>
              <w:t>展示风险原因、建议不要点击或转账，并引导通过银行官方渠道核实</w:t>
            </w:r>
          </w:p>
        </w:tc>
      </w:tr>
      <w:tr>
        <w:tc>
          <w:tcPr>
            <w:tcW w:type="dxa" w:w="3458"/>
            <w:shd w:fill="EEF5F3"/>
            <w:vAlign w:val="center"/>
          </w:tcPr>
          <w:p>
            <w:pPr>
              <w:spacing w:after="0"/>
            </w:pPr>
            <w:r/>
            <w:r>
              <w:rPr>
                <w:rFonts w:ascii="微软雅黑" w:hAnsi="微软雅黑" w:eastAsia="微软雅黑"/>
                <w:b w:val="0"/>
                <w:sz w:val="17"/>
              </w:rPr>
              <w:t>上传含虚假养老补贴通知的图片</w:t>
            </w:r>
          </w:p>
        </w:tc>
        <w:tc>
          <w:tcPr>
            <w:tcW w:type="dxa" w:w="2948"/>
            <w:shd w:fill="EEF5F3"/>
            <w:vAlign w:val="center"/>
          </w:tcPr>
          <w:p>
            <w:pPr>
              <w:spacing w:after="0"/>
            </w:pPr>
            <w:r/>
            <w:r>
              <w:rPr>
                <w:rFonts w:ascii="微软雅黑" w:hAnsi="微软雅黑" w:eastAsia="微软雅黑"/>
                <w:b w:val="0"/>
                <w:sz w:val="17"/>
              </w:rPr>
              <w:t>Mock或真实OCR提取文字后进入同一RuleEngine链路</w:t>
            </w:r>
          </w:p>
        </w:tc>
        <w:tc>
          <w:tcPr>
            <w:tcW w:type="dxa" w:w="2665"/>
            <w:shd w:fill="EEF5F3"/>
            <w:vAlign w:val="center"/>
          </w:tcPr>
          <w:p>
            <w:pPr>
              <w:spacing w:after="0"/>
            </w:pPr>
            <w:r/>
            <w:r>
              <w:rPr>
                <w:rFonts w:ascii="微软雅黑" w:hAnsi="微软雅黑" w:eastAsia="微软雅黑"/>
                <w:b w:val="0"/>
                <w:sz w:val="17"/>
              </w:rPr>
              <w:t>同时展示OCR文字、风险等级和安全建议</w:t>
            </w:r>
          </w:p>
        </w:tc>
      </w:tr>
    </w:tbl>
    <w:p/>
    <w:p>
      <w:pPr>
        <w:pStyle w:val="Heading2"/>
        <w:keepNext/>
      </w:pPr>
      <w:r>
        <w:t>7.3 家庭协同案例</w:t>
      </w:r>
    </w:p>
    <w:p>
      <w:pPr>
        <w:spacing w:line="348" w:lineRule="auto" w:after="120"/>
        <w:ind w:firstLine="420"/>
      </w:pPr>
      <w:r>
        <w:rPr>
          <w:rFonts w:ascii="宋体" w:hAnsi="宋体" w:eastAsia="宋体"/>
          <w:b w:val="0"/>
          <w:sz w:val="22"/>
        </w:rPr>
        <w:t>在用户授权范围内，家庭摘要展示老人姓名、年龄、退休状态和风险提醒，例如每月共同核对养老资金安排、遇到转账/验证码/补贴链接先联系家人。该功能只提供陪伴摘要，不默认授予家庭成员账户操作权。</w:t>
      </w:r>
    </w:p>
    <w:p>
      <w:pPr>
        <w:pStyle w:val="Heading1"/>
        <w:keepNext/>
      </w:pPr>
      <w:r>
        <w:t>第八部分 银行落地价值分析</w:t>
      </w:r>
    </w:p>
    <w:p>
      <w:pPr>
        <w:pStyle w:val="Heading2"/>
        <w:keepNext/>
      </w:pPr>
      <w:r>
        <w:t>8.1 手机银行养老专区</w:t>
      </w:r>
    </w:p>
    <w:p>
      <w:pPr>
        <w:spacing w:line="348" w:lineRule="auto" w:after="120"/>
        <w:ind w:firstLine="420"/>
      </w:pPr>
      <w:r>
        <w:rPr>
          <w:rFonts w:ascii="宋体" w:hAnsi="宋体" w:eastAsia="宋体"/>
          <w:b w:val="0"/>
          <w:sz w:val="22"/>
        </w:rPr>
        <w:t>在手机银行适老版或养老金融专区中，忆路银龄可作为智能服务能力层：用户用自然语言表达养老目标，系统将其转为画像、知识解释和规划摘要；高风险输入直接进入风险提醒，不改变账户交易链路。</w:t>
      </w:r>
    </w:p>
    <w:p>
      <w:pPr>
        <w:pStyle w:val="Heading2"/>
        <w:keepNext/>
      </w:pPr>
      <w:r>
        <w:t>8.2 远程银行智能客服</w:t>
      </w:r>
    </w:p>
    <w:p>
      <w:pPr>
        <w:spacing w:line="348" w:lineRule="auto" w:after="120"/>
        <w:ind w:firstLine="420"/>
      </w:pPr>
      <w:r>
        <w:rPr>
          <w:rFonts w:ascii="宋体" w:hAnsi="宋体" w:eastAsia="宋体"/>
          <w:b w:val="0"/>
          <w:sz w:val="22"/>
        </w:rPr>
        <w:t>远程客服可在通话前授权采集需求摘要，在沟通过程中展示知识来源和风险提示，在沟通后生成结构化记录，从而减少重复问询与人工整理时间。最终解释和业务决策仍由专业人员完成。</w:t>
      </w:r>
    </w:p>
    <w:p>
      <w:pPr>
        <w:pStyle w:val="Heading2"/>
        <w:keepNext/>
      </w:pPr>
      <w:r>
        <w:t>8.3 网点客户经理助手</w:t>
      </w:r>
    </w:p>
    <w:p>
      <w:pPr>
        <w:spacing w:line="348" w:lineRule="auto" w:after="120"/>
        <w:ind w:firstLine="420"/>
      </w:pPr>
      <w:r>
        <w:rPr>
          <w:rFonts w:ascii="宋体" w:hAnsi="宋体" w:eastAsia="宋体"/>
          <w:b w:val="0"/>
          <w:sz w:val="22"/>
        </w:rPr>
        <w:t>客户经理可查看用户授权的画像、最近规划、风险事件和知识来源，用于准备沟通材料、解释个人养老金制度和识别诈骗风险。系统输出是辅助信息，不是自动推荐或自动审批。</w:t>
      </w:r>
    </w:p>
    <w:p>
      <w:pPr>
        <w:pStyle w:val="Heading2"/>
        <w:keepNext/>
      </w:pPr>
      <w:r>
        <w:t>8.4 家庭养老金融服务</w:t>
      </w:r>
    </w:p>
    <w:p>
      <w:pPr>
        <w:spacing w:line="348" w:lineRule="auto" w:after="120"/>
        <w:ind w:firstLine="420"/>
      </w:pPr>
      <w:r>
        <w:rPr>
          <w:rFonts w:ascii="宋体" w:hAnsi="宋体" w:eastAsia="宋体"/>
          <w:b w:val="0"/>
          <w:sz w:val="22"/>
        </w:rPr>
        <w:t>在本人授权下，银行可提供家庭共享的风险提醒与养老摘要，帮助老人和子女形成共同核对机制。后续需建立权限分级、授权撤回、最小展示和操作留痕。</w:t>
      </w:r>
    </w:p>
    <w:tbl>
      <w:tblPr>
        <w:tblStyle w:val="TableGrid"/>
        <w:tblW w:type="auto" w:w="0"/>
        <w:jc w:val="center"/>
        <w:tblLook w:firstColumn="1" w:firstRow="1" w:lastColumn="0" w:lastRow="0" w:noHBand="0" w:noVBand="1" w:val="04A0"/>
      </w:tblPr>
      <w:tblGrid>
        <w:gridCol w:w="4816"/>
        <w:gridCol w:w="4816"/>
      </w:tblGrid>
      <w:tr>
        <w:tc>
          <w:tcPr>
            <w:tcW w:type="dxa" w:w="3855"/>
            <w:shd w:fill="1F4E5F"/>
            <w:vAlign w:val="center"/>
          </w:tcPr>
          <w:p>
            <w:pPr>
              <w:spacing w:after="0"/>
            </w:pPr>
            <w:r/>
            <w:r>
              <w:rPr>
                <w:rFonts w:ascii="微软雅黑" w:hAnsi="微软雅黑" w:eastAsia="微软雅黑"/>
                <w:b/>
                <w:color w:val="FFFFFF"/>
                <w:sz w:val="18"/>
              </w:rPr>
              <w:t>业务目标</w:t>
            </w:r>
          </w:p>
        </w:tc>
        <w:tc>
          <w:tcPr>
            <w:tcW w:type="dxa" w:w="5216"/>
            <w:shd w:fill="1F4E5F"/>
            <w:vAlign w:val="center"/>
          </w:tcPr>
          <w:p>
            <w:pPr>
              <w:spacing w:after="0"/>
            </w:pPr>
            <w:r/>
            <w:r>
              <w:rPr>
                <w:rFonts w:ascii="微软雅黑" w:hAnsi="微软雅黑" w:eastAsia="微软雅黑"/>
                <w:b/>
                <w:color w:val="FFFFFF"/>
                <w:sz w:val="18"/>
              </w:rPr>
              <w:t>可观察指标</w:t>
            </w:r>
          </w:p>
        </w:tc>
      </w:tr>
      <w:tr>
        <w:tc>
          <w:tcPr>
            <w:tcW w:type="dxa" w:w="3855"/>
            <w:vAlign w:val="center"/>
          </w:tcPr>
          <w:p>
            <w:pPr>
              <w:spacing w:after="0"/>
            </w:pPr>
            <w:r/>
            <w:r>
              <w:rPr>
                <w:rFonts w:ascii="微软雅黑" w:hAnsi="微软雅黑" w:eastAsia="微软雅黑"/>
                <w:b w:val="0"/>
                <w:sz w:val="17"/>
              </w:rPr>
              <w:t>提升服务效率</w:t>
            </w:r>
          </w:p>
        </w:tc>
        <w:tc>
          <w:tcPr>
            <w:tcW w:type="dxa" w:w="5216"/>
            <w:vAlign w:val="center"/>
          </w:tcPr>
          <w:p>
            <w:pPr>
              <w:spacing w:after="0"/>
            </w:pPr>
            <w:r/>
            <w:r>
              <w:rPr>
                <w:rFonts w:ascii="微软雅黑" w:hAnsi="微软雅黑" w:eastAsia="微软雅黑"/>
                <w:b w:val="0"/>
                <w:sz w:val="17"/>
              </w:rPr>
              <w:t>咨询完成率、平均规划生成时间、客户经理准备时间</w:t>
            </w:r>
          </w:p>
        </w:tc>
      </w:tr>
      <w:tr>
        <w:tc>
          <w:tcPr>
            <w:tcW w:type="dxa" w:w="3855"/>
            <w:shd w:fill="EEF5F3"/>
            <w:vAlign w:val="center"/>
          </w:tcPr>
          <w:p>
            <w:pPr>
              <w:spacing w:after="0"/>
            </w:pPr>
            <w:r/>
            <w:r>
              <w:rPr>
                <w:rFonts w:ascii="微软雅黑" w:hAnsi="微软雅黑" w:eastAsia="微软雅黑"/>
                <w:b w:val="0"/>
                <w:sz w:val="17"/>
              </w:rPr>
              <w:t>提升知识可信度</w:t>
            </w:r>
          </w:p>
        </w:tc>
        <w:tc>
          <w:tcPr>
            <w:tcW w:type="dxa" w:w="5216"/>
            <w:shd w:fill="EEF5F3"/>
            <w:vAlign w:val="center"/>
          </w:tcPr>
          <w:p>
            <w:pPr>
              <w:spacing w:after="0"/>
            </w:pPr>
            <w:r/>
            <w:r>
              <w:rPr>
                <w:rFonts w:ascii="微软雅黑" w:hAnsi="微软雅黑" w:eastAsia="微软雅黑"/>
                <w:b w:val="0"/>
                <w:sz w:val="17"/>
              </w:rPr>
              <w:t>知识来源展示率、回答可追溯率、人工复核覆盖率</w:t>
            </w:r>
          </w:p>
        </w:tc>
      </w:tr>
      <w:tr>
        <w:tc>
          <w:tcPr>
            <w:tcW w:type="dxa" w:w="3855"/>
            <w:vAlign w:val="center"/>
          </w:tcPr>
          <w:p>
            <w:pPr>
              <w:spacing w:after="0"/>
            </w:pPr>
            <w:r/>
            <w:r>
              <w:rPr>
                <w:rFonts w:ascii="微软雅黑" w:hAnsi="微软雅黑" w:eastAsia="微软雅黑"/>
                <w:b w:val="0"/>
                <w:sz w:val="17"/>
              </w:rPr>
              <w:t>强化金融安全</w:t>
            </w:r>
          </w:p>
        </w:tc>
        <w:tc>
          <w:tcPr>
            <w:tcW w:type="dxa" w:w="5216"/>
            <w:vAlign w:val="center"/>
          </w:tcPr>
          <w:p>
            <w:pPr>
              <w:spacing w:after="0"/>
            </w:pPr>
            <w:r/>
            <w:r>
              <w:rPr>
                <w:rFonts w:ascii="微软雅黑" w:hAnsi="微软雅黑" w:eastAsia="微软雅黑"/>
                <w:b w:val="0"/>
                <w:sz w:val="17"/>
              </w:rPr>
              <w:t>高风险提醒触达率、诈骗线索复核率、人工转接率</w:t>
            </w:r>
          </w:p>
        </w:tc>
      </w:tr>
      <w:tr>
        <w:tc>
          <w:tcPr>
            <w:tcW w:type="dxa" w:w="3855"/>
            <w:shd w:fill="EEF5F3"/>
            <w:vAlign w:val="center"/>
          </w:tcPr>
          <w:p>
            <w:pPr>
              <w:spacing w:after="0"/>
            </w:pPr>
            <w:r/>
            <w:r>
              <w:rPr>
                <w:rFonts w:ascii="微软雅黑" w:hAnsi="微软雅黑" w:eastAsia="微软雅黑"/>
                <w:b w:val="0"/>
                <w:sz w:val="17"/>
              </w:rPr>
              <w:t>改善适老体验</w:t>
            </w:r>
          </w:p>
        </w:tc>
        <w:tc>
          <w:tcPr>
            <w:tcW w:type="dxa" w:w="5216"/>
            <w:shd w:fill="EEF5F3"/>
            <w:vAlign w:val="center"/>
          </w:tcPr>
          <w:p>
            <w:pPr>
              <w:spacing w:after="0"/>
            </w:pPr>
            <w:r/>
            <w:r>
              <w:rPr>
                <w:rFonts w:ascii="微软雅黑" w:hAnsi="微软雅黑" w:eastAsia="微软雅黑"/>
                <w:b w:val="0"/>
                <w:sz w:val="17"/>
              </w:rPr>
              <w:t>任务完成率、满意度、重复咨询减少量、授权家庭协同率</w:t>
            </w:r>
          </w:p>
        </w:tc>
      </w:tr>
    </w:tbl>
    <w:p/>
    <w:p>
      <w:pPr>
        <w:pStyle w:val="Heading1"/>
        <w:keepNext/>
      </w:pPr>
      <w:r>
        <w:t>第九部分 商业模式与推广方案</w:t>
      </w:r>
    </w:p>
    <w:p>
      <w:pPr>
        <w:pStyle w:val="Heading2"/>
        <w:keepNext/>
      </w:pPr>
      <w:r>
        <w:t>9.1 B端能力组件</w:t>
      </w:r>
    </w:p>
    <w:p>
      <w:pPr>
        <w:spacing w:line="348" w:lineRule="auto" w:after="120"/>
        <w:ind w:firstLine="420"/>
      </w:pPr>
      <w:r>
        <w:rPr>
          <w:rFonts w:ascii="宋体" w:hAnsi="宋体" w:eastAsia="宋体"/>
          <w:b w:val="0"/>
          <w:sz w:val="22"/>
        </w:rPr>
        <w:t>项目采用B2B2C思路，不以独立销售金融产品或收取交易佣金为商业目标。B端面向银行提供智能画像、知识问答、养老规划、风险提示和客户经理摘要等可嵌入能力；C端通过银行适老版、养老专区、远程银行和网点服务获得低门槛的养老金融陪伴。</w:t>
      </w:r>
    </w:p>
    <w:p>
      <w:pPr>
        <w:pStyle w:val="Heading2"/>
        <w:keepNext/>
      </w:pPr>
      <w:r>
        <w:t>9.2 C端服务入口</w:t>
      </w:r>
    </w:p>
    <w:p>
      <w:pPr>
        <w:pStyle w:val="ListBullet"/>
        <w:spacing w:after="60"/>
        <w:ind w:left="454"/>
      </w:pPr>
      <w:r>
        <w:rPr>
          <w:rFonts w:ascii="宋体" w:hAnsi="宋体" w:eastAsia="宋体"/>
          <w:b w:val="0"/>
          <w:sz w:val="21"/>
        </w:rPr>
        <w:t>银龄客户：AI助手、规划中心、诈骗检测、金融健康评分。</w:t>
      </w:r>
    </w:p>
    <w:p>
      <w:pPr>
        <w:pStyle w:val="ListBullet"/>
        <w:spacing w:after="60"/>
        <w:ind w:left="454"/>
      </w:pPr>
      <w:r>
        <w:rPr>
          <w:rFonts w:ascii="宋体" w:hAnsi="宋体" w:eastAsia="宋体"/>
          <w:b w:val="0"/>
          <w:sz w:val="21"/>
        </w:rPr>
        <w:t>家庭成员：在授权范围内查看摘要和风险提醒。</w:t>
      </w:r>
    </w:p>
    <w:p>
      <w:pPr>
        <w:pStyle w:val="ListBullet"/>
        <w:spacing w:after="60"/>
        <w:ind w:left="454"/>
      </w:pPr>
      <w:r>
        <w:rPr>
          <w:rFonts w:ascii="宋体" w:hAnsi="宋体" w:eastAsia="宋体"/>
          <w:b w:val="0"/>
          <w:sz w:val="21"/>
        </w:rPr>
        <w:t>银行服务人员：查看结构化画像、规划依据和沟通摘要。</w:t>
      </w:r>
    </w:p>
    <w:p>
      <w:pPr>
        <w:pStyle w:val="Heading2"/>
        <w:keepNext/>
      </w:pPr>
      <w:r>
        <w:t>9.3 推广路线与价值指标</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304"/>
            <w:shd w:fill="1F4E5F"/>
            <w:vAlign w:val="center"/>
          </w:tcPr>
          <w:p>
            <w:pPr>
              <w:spacing w:after="0"/>
            </w:pPr>
            <w:r/>
            <w:r>
              <w:rPr>
                <w:rFonts w:ascii="微软雅黑" w:hAnsi="微软雅黑" w:eastAsia="微软雅黑"/>
                <w:b/>
                <w:color w:val="FFFFFF"/>
                <w:sz w:val="18"/>
              </w:rPr>
              <w:t>阶段</w:t>
            </w:r>
          </w:p>
        </w:tc>
        <w:tc>
          <w:tcPr>
            <w:tcW w:type="dxa" w:w="2324"/>
            <w:shd w:fill="1F4E5F"/>
            <w:vAlign w:val="center"/>
          </w:tcPr>
          <w:p>
            <w:pPr>
              <w:spacing w:after="0"/>
            </w:pPr>
            <w:r/>
            <w:r>
              <w:rPr>
                <w:rFonts w:ascii="微软雅黑" w:hAnsi="微软雅黑" w:eastAsia="微软雅黑"/>
                <w:b/>
                <w:color w:val="FFFFFF"/>
                <w:sz w:val="18"/>
              </w:rPr>
              <w:t>范围</w:t>
            </w:r>
          </w:p>
        </w:tc>
        <w:tc>
          <w:tcPr>
            <w:tcW w:type="dxa" w:w="3458"/>
            <w:shd w:fill="1F4E5F"/>
            <w:vAlign w:val="center"/>
          </w:tcPr>
          <w:p>
            <w:pPr>
              <w:spacing w:after="0"/>
            </w:pPr>
            <w:r/>
            <w:r>
              <w:rPr>
                <w:rFonts w:ascii="微软雅黑" w:hAnsi="微软雅黑" w:eastAsia="微软雅黑"/>
                <w:b/>
                <w:color w:val="FFFFFF"/>
                <w:sz w:val="18"/>
              </w:rPr>
              <w:t>主要工作</w:t>
            </w:r>
          </w:p>
        </w:tc>
        <w:tc>
          <w:tcPr>
            <w:tcW w:type="dxa" w:w="2268"/>
            <w:shd w:fill="1F4E5F"/>
            <w:vAlign w:val="center"/>
          </w:tcPr>
          <w:p>
            <w:pPr>
              <w:spacing w:after="0"/>
            </w:pPr>
            <w:r/>
            <w:r>
              <w:rPr>
                <w:rFonts w:ascii="微软雅黑" w:hAnsi="微软雅黑" w:eastAsia="微软雅黑"/>
                <w:b/>
                <w:color w:val="FFFFFF"/>
                <w:sz w:val="18"/>
              </w:rPr>
              <w:t>进入下一阶段条件</w:t>
            </w:r>
          </w:p>
        </w:tc>
      </w:tr>
      <w:tr>
        <w:tc>
          <w:tcPr>
            <w:tcW w:type="dxa" w:w="1304"/>
            <w:vAlign w:val="center"/>
          </w:tcPr>
          <w:p>
            <w:pPr>
              <w:spacing w:after="0"/>
            </w:pPr>
            <w:r/>
            <w:r>
              <w:rPr>
                <w:rFonts w:ascii="微软雅黑" w:hAnsi="微软雅黑" w:eastAsia="微软雅黑"/>
                <w:b w:val="0"/>
                <w:sz w:val="17"/>
              </w:rPr>
              <w:t>竞赛PoC</w:t>
            </w:r>
          </w:p>
        </w:tc>
        <w:tc>
          <w:tcPr>
            <w:tcW w:type="dxa" w:w="2324"/>
            <w:vAlign w:val="center"/>
          </w:tcPr>
          <w:p>
            <w:pPr>
              <w:spacing w:after="0"/>
            </w:pPr>
            <w:r/>
            <w:r>
              <w:rPr>
                <w:rFonts w:ascii="微软雅黑" w:hAnsi="微软雅黑" w:eastAsia="微软雅黑"/>
                <w:b w:val="0"/>
                <w:sz w:val="17"/>
              </w:rPr>
              <w:t>本地Demo</w:t>
            </w:r>
          </w:p>
        </w:tc>
        <w:tc>
          <w:tcPr>
            <w:tcW w:type="dxa" w:w="3458"/>
            <w:vAlign w:val="center"/>
          </w:tcPr>
          <w:p>
            <w:pPr>
              <w:spacing w:after="0"/>
            </w:pPr>
            <w:r/>
            <w:r>
              <w:rPr>
                <w:rFonts w:ascii="微软雅黑" w:hAnsi="微软雅黑" w:eastAsia="微软雅黑"/>
                <w:b w:val="0"/>
                <w:sz w:val="17"/>
              </w:rPr>
              <w:t>证明核心链路、交互、降级和安全边界</w:t>
            </w:r>
          </w:p>
        </w:tc>
        <w:tc>
          <w:tcPr>
            <w:tcW w:type="dxa" w:w="2268"/>
            <w:vAlign w:val="center"/>
          </w:tcPr>
          <w:p>
            <w:pPr>
              <w:spacing w:after="0"/>
            </w:pPr>
            <w:r/>
            <w:r>
              <w:rPr>
                <w:rFonts w:ascii="微软雅黑" w:hAnsi="微软雅黑" w:eastAsia="微软雅黑"/>
                <w:b w:val="0"/>
                <w:sz w:val="17"/>
              </w:rPr>
              <w:t>核心流程稳定可演示</w:t>
            </w:r>
          </w:p>
        </w:tc>
      </w:tr>
      <w:tr>
        <w:tc>
          <w:tcPr>
            <w:tcW w:type="dxa" w:w="1304"/>
            <w:shd w:fill="EEF5F3"/>
            <w:vAlign w:val="center"/>
          </w:tcPr>
          <w:p>
            <w:pPr>
              <w:spacing w:after="0"/>
            </w:pPr>
            <w:r/>
            <w:r>
              <w:rPr>
                <w:rFonts w:ascii="微软雅黑" w:hAnsi="微软雅黑" w:eastAsia="微软雅黑"/>
                <w:b w:val="0"/>
                <w:sz w:val="17"/>
              </w:rPr>
              <w:t>受控试点</w:t>
            </w:r>
          </w:p>
        </w:tc>
        <w:tc>
          <w:tcPr>
            <w:tcW w:type="dxa" w:w="2324"/>
            <w:shd w:fill="EEF5F3"/>
            <w:vAlign w:val="center"/>
          </w:tcPr>
          <w:p>
            <w:pPr>
              <w:spacing w:after="0"/>
            </w:pPr>
            <w:r/>
            <w:r>
              <w:rPr>
                <w:rFonts w:ascii="微软雅黑" w:hAnsi="微软雅黑" w:eastAsia="微软雅黑"/>
                <w:b w:val="0"/>
                <w:sz w:val="17"/>
              </w:rPr>
              <w:t>单一触点、小规模志愿用户</w:t>
            </w:r>
          </w:p>
        </w:tc>
        <w:tc>
          <w:tcPr>
            <w:tcW w:type="dxa" w:w="3458"/>
            <w:shd w:fill="EEF5F3"/>
            <w:vAlign w:val="center"/>
          </w:tcPr>
          <w:p>
            <w:pPr>
              <w:spacing w:after="0"/>
            </w:pPr>
            <w:r/>
            <w:r>
              <w:rPr>
                <w:rFonts w:ascii="微软雅黑" w:hAnsi="微软雅黑" w:eastAsia="微软雅黑"/>
                <w:b w:val="0"/>
                <w:sz w:val="17"/>
              </w:rPr>
              <w:t>访谈、可用性测试、知识审核</w:t>
            </w:r>
          </w:p>
        </w:tc>
        <w:tc>
          <w:tcPr>
            <w:tcW w:type="dxa" w:w="2268"/>
            <w:shd w:fill="EEF5F3"/>
            <w:vAlign w:val="center"/>
          </w:tcPr>
          <w:p>
            <w:pPr>
              <w:spacing w:after="0"/>
            </w:pPr>
            <w:r/>
            <w:r>
              <w:rPr>
                <w:rFonts w:ascii="微软雅黑" w:hAnsi="微软雅黑" w:eastAsia="微软雅黑"/>
                <w:b w:val="0"/>
                <w:sz w:val="17"/>
              </w:rPr>
              <w:t>无重大风险且指标达标</w:t>
            </w:r>
          </w:p>
        </w:tc>
      </w:tr>
      <w:tr>
        <w:tc>
          <w:tcPr>
            <w:tcW w:type="dxa" w:w="1304"/>
            <w:vAlign w:val="center"/>
          </w:tcPr>
          <w:p>
            <w:pPr>
              <w:spacing w:after="0"/>
            </w:pPr>
            <w:r/>
            <w:r>
              <w:rPr>
                <w:rFonts w:ascii="微软雅黑" w:hAnsi="微软雅黑" w:eastAsia="微软雅黑"/>
                <w:b w:val="0"/>
                <w:sz w:val="17"/>
              </w:rPr>
              <w:t>银行内测</w:t>
            </w:r>
          </w:p>
        </w:tc>
        <w:tc>
          <w:tcPr>
            <w:tcW w:type="dxa" w:w="2324"/>
            <w:vAlign w:val="center"/>
          </w:tcPr>
          <w:p>
            <w:pPr>
              <w:spacing w:after="0"/>
            </w:pPr>
            <w:r/>
            <w:r>
              <w:rPr>
                <w:rFonts w:ascii="微软雅黑" w:hAnsi="微软雅黑" w:eastAsia="微软雅黑"/>
                <w:b w:val="0"/>
                <w:sz w:val="17"/>
              </w:rPr>
              <w:t>沙箱环境、客户经理辅助</w:t>
            </w:r>
          </w:p>
        </w:tc>
        <w:tc>
          <w:tcPr>
            <w:tcW w:type="dxa" w:w="3458"/>
            <w:vAlign w:val="center"/>
          </w:tcPr>
          <w:p>
            <w:pPr>
              <w:spacing w:after="0"/>
            </w:pPr>
            <w:r/>
            <w:r>
              <w:rPr>
                <w:rFonts w:ascii="微软雅黑" w:hAnsi="微软雅黑" w:eastAsia="微软雅黑"/>
                <w:b w:val="0"/>
                <w:sz w:val="17"/>
              </w:rPr>
              <w:t>接入授权数据和合规产品目录</w:t>
            </w:r>
          </w:p>
        </w:tc>
        <w:tc>
          <w:tcPr>
            <w:tcW w:type="dxa" w:w="2268"/>
            <w:vAlign w:val="center"/>
          </w:tcPr>
          <w:p>
            <w:pPr>
              <w:spacing w:after="0"/>
            </w:pPr>
            <w:r/>
            <w:r>
              <w:rPr>
                <w:rFonts w:ascii="微软雅黑" w:hAnsi="微软雅黑" w:eastAsia="微软雅黑"/>
                <w:b w:val="0"/>
                <w:sz w:val="17"/>
              </w:rPr>
              <w:t>安全与合规验收</w:t>
            </w:r>
          </w:p>
        </w:tc>
      </w:tr>
      <w:tr>
        <w:tc>
          <w:tcPr>
            <w:tcW w:type="dxa" w:w="1304"/>
            <w:shd w:fill="EEF5F3"/>
            <w:vAlign w:val="center"/>
          </w:tcPr>
          <w:p>
            <w:pPr>
              <w:spacing w:after="0"/>
            </w:pPr>
            <w:r/>
            <w:r>
              <w:rPr>
                <w:rFonts w:ascii="微软雅黑" w:hAnsi="微软雅黑" w:eastAsia="微软雅黑"/>
                <w:b w:val="0"/>
                <w:sz w:val="17"/>
              </w:rPr>
              <w:t>分阶段推广</w:t>
            </w:r>
          </w:p>
        </w:tc>
        <w:tc>
          <w:tcPr>
            <w:tcW w:type="dxa" w:w="2324"/>
            <w:shd w:fill="EEF5F3"/>
            <w:vAlign w:val="center"/>
          </w:tcPr>
          <w:p>
            <w:pPr>
              <w:spacing w:after="0"/>
            </w:pPr>
            <w:r/>
            <w:r>
              <w:rPr>
                <w:rFonts w:ascii="微软雅黑" w:hAnsi="微软雅黑" w:eastAsia="微软雅黑"/>
                <w:b w:val="0"/>
                <w:sz w:val="17"/>
              </w:rPr>
              <w:t>适老版、养老专区、远程银行</w:t>
            </w:r>
          </w:p>
        </w:tc>
        <w:tc>
          <w:tcPr>
            <w:tcW w:type="dxa" w:w="3458"/>
            <w:shd w:fill="EEF5F3"/>
            <w:vAlign w:val="center"/>
          </w:tcPr>
          <w:p>
            <w:pPr>
              <w:spacing w:after="0"/>
            </w:pPr>
            <w:r/>
            <w:r>
              <w:rPr>
                <w:rFonts w:ascii="微软雅黑" w:hAnsi="微软雅黑" w:eastAsia="微软雅黑"/>
                <w:b w:val="0"/>
                <w:sz w:val="17"/>
              </w:rPr>
              <w:t>监控、审计、模型治理和持续优化</w:t>
            </w:r>
          </w:p>
        </w:tc>
        <w:tc>
          <w:tcPr>
            <w:tcW w:type="dxa" w:w="2268"/>
            <w:shd w:fill="EEF5F3"/>
            <w:vAlign w:val="center"/>
          </w:tcPr>
          <w:p>
            <w:pPr>
              <w:spacing w:after="0"/>
            </w:pPr>
            <w:r/>
            <w:r>
              <w:rPr>
                <w:rFonts w:ascii="微软雅黑" w:hAnsi="微软雅黑" w:eastAsia="微软雅黑"/>
                <w:b w:val="0"/>
                <w:sz w:val="17"/>
              </w:rPr>
              <w:t>运营指标持续改善</w:t>
            </w:r>
          </w:p>
        </w:tc>
      </w:tr>
    </w:tbl>
    <w:p/>
    <w:p>
      <w:pPr>
        <w:spacing w:line="348" w:lineRule="auto" w:after="120"/>
        <w:ind w:firstLine="420"/>
      </w:pPr>
      <w:r>
        <w:rPr>
          <w:rFonts w:ascii="宋体" w:hAnsi="宋体" w:eastAsia="宋体"/>
          <w:b w:val="0"/>
          <w:sz w:val="22"/>
        </w:rPr>
        <w:t>项目价值应以服务效率、客户理解、风险防护和可追溯性衡量，而不是以推荐高收益产品数量衡量。</w:t>
      </w:r>
    </w:p>
    <w:p>
      <w:pPr>
        <w:pStyle w:val="Heading1"/>
        <w:keepNext/>
      </w:pPr>
      <w:r>
        <w:t>第十部分 项目实施计划</w:t>
      </w:r>
    </w:p>
    <w:p>
      <w:pPr>
        <w:pStyle w:val="Heading2"/>
        <w:keepNext/>
      </w:pPr>
      <w:r>
        <w:t>10.1 已完成里程碑</w:t>
      </w:r>
    </w:p>
    <w:tbl>
      <w:tblPr>
        <w:tblStyle w:val="TableGrid"/>
        <w:tblW w:type="auto" w:w="0"/>
        <w:jc w:val="center"/>
        <w:tblLook w:firstColumn="1" w:firstRow="1" w:lastColumn="0" w:lastRow="0" w:noHBand="0" w:noVBand="1" w:val="04A0"/>
      </w:tblPr>
      <w:tblGrid>
        <w:gridCol w:w="4816"/>
        <w:gridCol w:w="4816"/>
      </w:tblGrid>
      <w:tr>
        <w:tc>
          <w:tcPr>
            <w:tcW w:type="dxa" w:w="2041"/>
            <w:shd w:fill="1F4E5F"/>
            <w:vAlign w:val="center"/>
          </w:tcPr>
          <w:p>
            <w:pPr>
              <w:spacing w:after="0"/>
            </w:pPr>
            <w:r/>
            <w:r>
              <w:rPr>
                <w:rFonts w:ascii="微软雅黑" w:hAnsi="微软雅黑" w:eastAsia="微软雅黑"/>
                <w:b/>
                <w:color w:val="FFFFFF"/>
                <w:sz w:val="18"/>
              </w:rPr>
              <w:t>阶段</w:t>
            </w:r>
          </w:p>
        </w:tc>
        <w:tc>
          <w:tcPr>
            <w:tcW w:type="dxa" w:w="7030"/>
            <w:shd w:fill="1F4E5F"/>
            <w:vAlign w:val="center"/>
          </w:tcPr>
          <w:p>
            <w:pPr>
              <w:spacing w:after="0"/>
            </w:pPr>
            <w:r/>
            <w:r>
              <w:rPr>
                <w:rFonts w:ascii="微软雅黑" w:hAnsi="微软雅黑" w:eastAsia="微软雅黑"/>
                <w:b/>
                <w:color w:val="FFFFFF"/>
                <w:sz w:val="18"/>
              </w:rPr>
              <w:t>主要成果</w:t>
            </w:r>
          </w:p>
        </w:tc>
      </w:tr>
      <w:tr>
        <w:tc>
          <w:tcPr>
            <w:tcW w:type="dxa" w:w="2041"/>
            <w:vAlign w:val="center"/>
          </w:tcPr>
          <w:p>
            <w:pPr>
              <w:spacing w:after="0"/>
            </w:pPr>
            <w:r/>
            <w:r>
              <w:rPr>
                <w:rFonts w:ascii="微软雅黑" w:hAnsi="微软雅黑" w:eastAsia="微软雅黑"/>
                <w:b w:val="0"/>
                <w:sz w:val="17"/>
              </w:rPr>
              <w:t>Sprint 1—3</w:t>
            </w:r>
          </w:p>
        </w:tc>
        <w:tc>
          <w:tcPr>
            <w:tcW w:type="dxa" w:w="7030"/>
            <w:vAlign w:val="center"/>
          </w:tcPr>
          <w:p>
            <w:pPr>
              <w:spacing w:after="0"/>
            </w:pPr>
            <w:r/>
            <w:r>
              <w:rPr>
                <w:rFonts w:ascii="微软雅黑" w:hAnsi="微软雅黑" w:eastAsia="微软雅黑"/>
                <w:b w:val="0"/>
                <w:sz w:val="17"/>
              </w:rPr>
              <w:t>工程基础、JWT、用户信息、银龄画像和个性化Prompt</w:t>
            </w:r>
          </w:p>
        </w:tc>
      </w:tr>
      <w:tr>
        <w:tc>
          <w:tcPr>
            <w:tcW w:type="dxa" w:w="2041"/>
            <w:shd w:fill="EEF5F3"/>
            <w:vAlign w:val="center"/>
          </w:tcPr>
          <w:p>
            <w:pPr>
              <w:spacing w:after="0"/>
            </w:pPr>
            <w:r/>
            <w:r>
              <w:rPr>
                <w:rFonts w:ascii="微软雅黑" w:hAnsi="微软雅黑" w:eastAsia="微软雅黑"/>
                <w:b w:val="0"/>
                <w:sz w:val="17"/>
              </w:rPr>
              <w:t>Sprint 4—6</w:t>
            </w:r>
          </w:p>
        </w:tc>
        <w:tc>
          <w:tcPr>
            <w:tcW w:type="dxa" w:w="7030"/>
            <w:shd w:fill="EEF5F3"/>
            <w:vAlign w:val="center"/>
          </w:tcPr>
          <w:p>
            <w:pPr>
              <w:spacing w:after="0"/>
            </w:pPr>
            <w:r/>
            <w:r>
              <w:rPr>
                <w:rFonts w:ascii="微软雅黑" w:hAnsi="微软雅黑" w:eastAsia="微软雅黑"/>
                <w:b w:val="0"/>
                <w:sz w:val="17"/>
              </w:rPr>
              <w:t>文本诈骗、OCR、对象存储、管理统计与风险趋势</w:t>
            </w:r>
          </w:p>
        </w:tc>
      </w:tr>
      <w:tr>
        <w:tc>
          <w:tcPr>
            <w:tcW w:type="dxa" w:w="2041"/>
            <w:vAlign w:val="center"/>
          </w:tcPr>
          <w:p>
            <w:pPr>
              <w:spacing w:after="0"/>
            </w:pPr>
            <w:r/>
            <w:r>
              <w:rPr>
                <w:rFonts w:ascii="微软雅黑" w:hAnsi="微软雅黑" w:eastAsia="微软雅黑"/>
                <w:b w:val="0"/>
                <w:sz w:val="17"/>
              </w:rPr>
              <w:t>Sprint 7—9.1</w:t>
            </w:r>
          </w:p>
        </w:tc>
        <w:tc>
          <w:tcPr>
            <w:tcW w:type="dxa" w:w="7030"/>
            <w:vAlign w:val="center"/>
          </w:tcPr>
          <w:p>
            <w:pPr>
              <w:spacing w:after="0"/>
            </w:pPr>
            <w:r/>
            <w:r>
              <w:rPr>
                <w:rFonts w:ascii="微软雅黑" w:hAnsi="微软雅黑" w:eastAsia="微软雅黑"/>
                <w:b w:val="0"/>
                <w:sz w:val="17"/>
              </w:rPr>
              <w:t>LLM/Embedding抽象、pgvector、知识上传、可信度和健康探测</w:t>
            </w:r>
          </w:p>
        </w:tc>
      </w:tr>
      <w:tr>
        <w:tc>
          <w:tcPr>
            <w:tcW w:type="dxa" w:w="2041"/>
            <w:shd w:fill="EEF5F3"/>
            <w:vAlign w:val="center"/>
          </w:tcPr>
          <w:p>
            <w:pPr>
              <w:spacing w:after="0"/>
            </w:pPr>
            <w:r/>
            <w:r>
              <w:rPr>
                <w:rFonts w:ascii="微软雅黑" w:hAnsi="微软雅黑" w:eastAsia="微软雅黑"/>
                <w:b w:val="0"/>
                <w:sz w:val="17"/>
              </w:rPr>
              <w:t>Sprint 10</w:t>
            </w:r>
          </w:p>
        </w:tc>
        <w:tc>
          <w:tcPr>
            <w:tcW w:type="dxa" w:w="7030"/>
            <w:shd w:fill="EEF5F3"/>
            <w:vAlign w:val="center"/>
          </w:tcPr>
          <w:p>
            <w:pPr>
              <w:spacing w:after="0"/>
            </w:pPr>
            <w:r/>
            <w:r>
              <w:rPr>
                <w:rFonts w:ascii="微软雅黑" w:hAnsi="微软雅黑" w:eastAsia="微软雅黑"/>
                <w:b w:val="0"/>
                <w:sz w:val="17"/>
              </w:rPr>
              <w:t>养老金融规划、模拟产品匹配、六段式AI规划报告</w:t>
            </w:r>
          </w:p>
        </w:tc>
      </w:tr>
      <w:tr>
        <w:tc>
          <w:tcPr>
            <w:tcW w:type="dxa" w:w="2041"/>
            <w:vAlign w:val="center"/>
          </w:tcPr>
          <w:p>
            <w:pPr>
              <w:spacing w:after="0"/>
            </w:pPr>
            <w:r/>
            <w:r>
              <w:rPr>
                <w:rFonts w:ascii="微软雅黑" w:hAnsi="微软雅黑" w:eastAsia="微软雅黑"/>
                <w:b w:val="0"/>
                <w:sz w:val="17"/>
              </w:rPr>
              <w:t>Sprint 11</w:t>
            </w:r>
          </w:p>
        </w:tc>
        <w:tc>
          <w:tcPr>
            <w:tcW w:type="dxa" w:w="7030"/>
            <w:vAlign w:val="center"/>
          </w:tcPr>
          <w:p>
            <w:pPr>
              <w:spacing w:after="0"/>
            </w:pPr>
            <w:r/>
            <w:r>
              <w:rPr>
                <w:rFonts w:ascii="微软雅黑" w:hAnsi="微软雅黑" w:eastAsia="微软雅黑"/>
                <w:b w:val="0"/>
                <w:sz w:val="17"/>
              </w:rPr>
              <w:t>六节点AI金融智能体、RAG来源和风险评分</w:t>
            </w:r>
          </w:p>
        </w:tc>
      </w:tr>
      <w:tr>
        <w:tc>
          <w:tcPr>
            <w:tcW w:type="dxa" w:w="2041"/>
            <w:shd w:fill="EEF5F3"/>
            <w:vAlign w:val="center"/>
          </w:tcPr>
          <w:p>
            <w:pPr>
              <w:spacing w:after="0"/>
            </w:pPr>
            <w:r/>
            <w:r>
              <w:rPr>
                <w:rFonts w:ascii="微软雅黑" w:hAnsi="微软雅黑" w:eastAsia="微软雅黑"/>
                <w:b w:val="0"/>
                <w:sz w:val="17"/>
              </w:rPr>
              <w:t>Sprint 12</w:t>
            </w:r>
          </w:p>
        </w:tc>
        <w:tc>
          <w:tcPr>
            <w:tcW w:type="dxa" w:w="7030"/>
            <w:shd w:fill="EEF5F3"/>
            <w:vAlign w:val="center"/>
          </w:tcPr>
          <w:p>
            <w:pPr>
              <w:spacing w:after="0"/>
            </w:pPr>
            <w:r/>
            <w:r>
              <w:rPr>
                <w:rFonts w:ascii="微软雅黑" w:hAnsi="微软雅黑" w:eastAsia="微软雅黑"/>
                <w:b w:val="0"/>
                <w:sz w:val="17"/>
              </w:rPr>
              <w:t>Agent执行可视化、金融健康指数、家庭协同和比赛Demo</w:t>
            </w:r>
          </w:p>
        </w:tc>
      </w:tr>
    </w:tbl>
    <w:p/>
    <w:p>
      <w:pPr>
        <w:pStyle w:val="Heading2"/>
        <w:keepNext/>
      </w:pPr>
      <w:r>
        <w:t>10.2 赛前工作</w:t>
      </w:r>
    </w:p>
    <w:p>
      <w:pPr>
        <w:pStyle w:val="ListBullet"/>
        <w:spacing w:after="60"/>
        <w:ind w:left="454"/>
      </w:pPr>
      <w:r>
        <w:rPr>
          <w:rFonts w:ascii="宋体" w:hAnsi="宋体" w:eastAsia="宋体"/>
          <w:b w:val="0"/>
          <w:sz w:val="21"/>
        </w:rPr>
        <w:t>补充银龄用户、家庭成员和银行服务人员的匿名访谈及可用性测试，不虚构调研数据。</w:t>
      </w:r>
    </w:p>
    <w:p>
      <w:pPr>
        <w:pStyle w:val="ListBullet"/>
        <w:spacing w:after="60"/>
        <w:ind w:left="454"/>
      </w:pPr>
      <w:r>
        <w:rPr>
          <w:rFonts w:ascii="宋体" w:hAnsi="宋体" w:eastAsia="宋体"/>
          <w:b w:val="0"/>
          <w:sz w:val="21"/>
        </w:rPr>
        <w:t>整理养老金融知识库的权威来源、发布日期、版本、审核状态和下架机制。</w:t>
      </w:r>
    </w:p>
    <w:p>
      <w:pPr>
        <w:pStyle w:val="ListBullet"/>
        <w:spacing w:after="60"/>
        <w:ind w:left="454"/>
      </w:pPr>
      <w:r>
        <w:rPr>
          <w:rFonts w:ascii="宋体" w:hAnsi="宋体" w:eastAsia="宋体"/>
          <w:b w:val="0"/>
          <w:sz w:val="21"/>
        </w:rPr>
        <w:t>在受控环境完成30题真实DeepSeek与pgvector评估，区分真实指标、Mock结果和条件跳过。</w:t>
      </w:r>
    </w:p>
    <w:p>
      <w:pPr>
        <w:pStyle w:val="ListBullet"/>
        <w:spacing w:after="60"/>
        <w:ind w:left="454"/>
      </w:pPr>
      <w:r>
        <w:rPr>
          <w:rFonts w:ascii="宋体" w:hAnsi="宋体" w:eastAsia="宋体"/>
          <w:b w:val="0"/>
          <w:sz w:val="21"/>
        </w:rPr>
        <w:t>冻结比赛版本，保留mvn test、npm run build、Jar哈希、Demo录屏和静态截图。</w:t>
      </w:r>
    </w:p>
    <w:p>
      <w:pPr>
        <w:pStyle w:val="Heading2"/>
        <w:keepNext/>
      </w:pPr>
      <w:r>
        <w:t>10.3 后续迭代路线</w:t>
      </w:r>
    </w:p>
    <w:tbl>
      <w:tblPr>
        <w:tblStyle w:val="TableGrid"/>
        <w:tblW w:type="auto" w:w="0"/>
        <w:jc w:val="center"/>
        <w:tblLook w:firstColumn="1" w:firstRow="1" w:lastColumn="0" w:lastRow="0" w:noHBand="0" w:noVBand="1" w:val="04A0"/>
      </w:tblPr>
      <w:tblGrid>
        <w:gridCol w:w="3211"/>
        <w:gridCol w:w="3211"/>
        <w:gridCol w:w="3211"/>
      </w:tblGrid>
      <w:tr>
        <w:tc>
          <w:tcPr>
            <w:tcW w:type="dxa" w:w="1814"/>
            <w:shd w:fill="1F4E5F"/>
            <w:vAlign w:val="center"/>
          </w:tcPr>
          <w:p>
            <w:pPr>
              <w:spacing w:after="0"/>
            </w:pPr>
            <w:r/>
            <w:r>
              <w:rPr>
                <w:rFonts w:ascii="微软雅黑" w:hAnsi="微软雅黑" w:eastAsia="微软雅黑"/>
                <w:b/>
                <w:color w:val="FFFFFF"/>
                <w:sz w:val="18"/>
              </w:rPr>
              <w:t>方向</w:t>
            </w:r>
          </w:p>
        </w:tc>
        <w:tc>
          <w:tcPr>
            <w:tcW w:type="dxa" w:w="3402"/>
            <w:shd w:fill="1F4E5F"/>
            <w:vAlign w:val="center"/>
          </w:tcPr>
          <w:p>
            <w:pPr>
              <w:spacing w:after="0"/>
            </w:pPr>
            <w:r/>
            <w:r>
              <w:rPr>
                <w:rFonts w:ascii="微软雅黑" w:hAnsi="微软雅黑" w:eastAsia="微软雅黑"/>
                <w:b/>
                <w:color w:val="FFFFFF"/>
                <w:sz w:val="18"/>
              </w:rPr>
              <w:t>近期</w:t>
            </w:r>
          </w:p>
        </w:tc>
        <w:tc>
          <w:tcPr>
            <w:tcW w:type="dxa" w:w="3855"/>
            <w:shd w:fill="1F4E5F"/>
            <w:vAlign w:val="center"/>
          </w:tcPr>
          <w:p>
            <w:pPr>
              <w:spacing w:after="0"/>
            </w:pPr>
            <w:r/>
            <w:r>
              <w:rPr>
                <w:rFonts w:ascii="微软雅黑" w:hAnsi="微软雅黑" w:eastAsia="微软雅黑"/>
                <w:b/>
                <w:color w:val="FFFFFF"/>
                <w:sz w:val="18"/>
              </w:rPr>
              <w:t>中期</w:t>
            </w:r>
          </w:p>
        </w:tc>
      </w:tr>
      <w:tr>
        <w:tc>
          <w:tcPr>
            <w:tcW w:type="dxa" w:w="1814"/>
            <w:vAlign w:val="center"/>
          </w:tcPr>
          <w:p>
            <w:pPr>
              <w:spacing w:after="0"/>
            </w:pPr>
            <w:r/>
            <w:r>
              <w:rPr>
                <w:rFonts w:ascii="微软雅黑" w:hAnsi="微软雅黑" w:eastAsia="微软雅黑"/>
                <w:b w:val="0"/>
                <w:sz w:val="17"/>
              </w:rPr>
              <w:t>知识治理</w:t>
            </w:r>
          </w:p>
        </w:tc>
        <w:tc>
          <w:tcPr>
            <w:tcW w:type="dxa" w:w="3402"/>
            <w:vAlign w:val="center"/>
          </w:tcPr>
          <w:p>
            <w:pPr>
              <w:spacing w:after="0"/>
            </w:pPr>
            <w:r/>
            <w:r>
              <w:rPr>
                <w:rFonts w:ascii="微软雅黑" w:hAnsi="微软雅黑" w:eastAsia="微软雅黑"/>
                <w:b w:val="0"/>
                <w:sz w:val="17"/>
              </w:rPr>
              <w:t>补齐来源与版本</w:t>
            </w:r>
          </w:p>
        </w:tc>
        <w:tc>
          <w:tcPr>
            <w:tcW w:type="dxa" w:w="3855"/>
            <w:vAlign w:val="center"/>
          </w:tcPr>
          <w:p>
            <w:pPr>
              <w:spacing w:after="0"/>
            </w:pPr>
            <w:r/>
            <w:r>
              <w:rPr>
                <w:rFonts w:ascii="微软雅黑" w:hAnsi="微软雅黑" w:eastAsia="微软雅黑"/>
                <w:b w:val="0"/>
                <w:sz w:val="17"/>
              </w:rPr>
              <w:t>建立审核、更新、下架和引用审计</w:t>
            </w:r>
          </w:p>
        </w:tc>
      </w:tr>
      <w:tr>
        <w:tc>
          <w:tcPr>
            <w:tcW w:type="dxa" w:w="1814"/>
            <w:shd w:fill="EEF5F3"/>
            <w:vAlign w:val="center"/>
          </w:tcPr>
          <w:p>
            <w:pPr>
              <w:spacing w:after="0"/>
            </w:pPr>
            <w:r/>
            <w:r>
              <w:rPr>
                <w:rFonts w:ascii="微软雅黑" w:hAnsi="微软雅黑" w:eastAsia="微软雅黑"/>
                <w:b w:val="0"/>
                <w:sz w:val="17"/>
              </w:rPr>
              <w:t>模型治理</w:t>
            </w:r>
          </w:p>
        </w:tc>
        <w:tc>
          <w:tcPr>
            <w:tcW w:type="dxa" w:w="3402"/>
            <w:shd w:fill="EEF5F3"/>
            <w:vAlign w:val="center"/>
          </w:tcPr>
          <w:p>
            <w:pPr>
              <w:spacing w:after="0"/>
            </w:pPr>
            <w:r/>
            <w:r>
              <w:rPr>
                <w:rFonts w:ascii="微软雅黑" w:hAnsi="微软雅黑" w:eastAsia="微软雅黑"/>
                <w:b w:val="0"/>
                <w:sz w:val="17"/>
              </w:rPr>
              <w:t>完成质量评估和红队问题集</w:t>
            </w:r>
          </w:p>
        </w:tc>
        <w:tc>
          <w:tcPr>
            <w:tcW w:type="dxa" w:w="3855"/>
            <w:shd w:fill="EEF5F3"/>
            <w:vAlign w:val="center"/>
          </w:tcPr>
          <w:p>
            <w:pPr>
              <w:spacing w:after="0"/>
            </w:pPr>
            <w:r/>
            <w:r>
              <w:rPr>
                <w:rFonts w:ascii="微软雅黑" w:hAnsi="微软雅黑" w:eastAsia="微软雅黑"/>
                <w:b w:val="0"/>
                <w:sz w:val="17"/>
              </w:rPr>
              <w:t>建立漂移监控、人工复核和模型版本管理</w:t>
            </w:r>
          </w:p>
        </w:tc>
      </w:tr>
      <w:tr>
        <w:tc>
          <w:tcPr>
            <w:tcW w:type="dxa" w:w="1814"/>
            <w:vAlign w:val="center"/>
          </w:tcPr>
          <w:p>
            <w:pPr>
              <w:spacing w:after="0"/>
            </w:pPr>
            <w:r/>
            <w:r>
              <w:rPr>
                <w:rFonts w:ascii="微软雅黑" w:hAnsi="微软雅黑" w:eastAsia="微软雅黑"/>
                <w:b w:val="0"/>
                <w:sz w:val="17"/>
              </w:rPr>
              <w:t>银行适配</w:t>
            </w:r>
          </w:p>
        </w:tc>
        <w:tc>
          <w:tcPr>
            <w:tcW w:type="dxa" w:w="3402"/>
            <w:vAlign w:val="center"/>
          </w:tcPr>
          <w:p>
            <w:pPr>
              <w:spacing w:after="0"/>
            </w:pPr>
            <w:r/>
            <w:r>
              <w:rPr>
                <w:rFonts w:ascii="微软雅黑" w:hAnsi="微软雅黑" w:eastAsia="微软雅黑"/>
                <w:b w:val="0"/>
                <w:sz w:val="17"/>
              </w:rPr>
              <w:t>以沙箱接口模拟授权数据</w:t>
            </w:r>
          </w:p>
        </w:tc>
        <w:tc>
          <w:tcPr>
            <w:tcW w:type="dxa" w:w="3855"/>
            <w:vAlign w:val="center"/>
          </w:tcPr>
          <w:p>
            <w:pPr>
              <w:spacing w:after="0"/>
            </w:pPr>
            <w:r/>
            <w:r>
              <w:rPr>
                <w:rFonts w:ascii="微软雅黑" w:hAnsi="微软雅黑" w:eastAsia="微软雅黑"/>
                <w:b w:val="0"/>
                <w:sz w:val="17"/>
              </w:rPr>
              <w:t>对接合规产品目录与客户经理工作台</w:t>
            </w:r>
          </w:p>
        </w:tc>
      </w:tr>
      <w:tr>
        <w:tc>
          <w:tcPr>
            <w:tcW w:type="dxa" w:w="1814"/>
            <w:shd w:fill="EEF5F3"/>
            <w:vAlign w:val="center"/>
          </w:tcPr>
          <w:p>
            <w:pPr>
              <w:spacing w:after="0"/>
            </w:pPr>
            <w:r/>
            <w:r>
              <w:rPr>
                <w:rFonts w:ascii="微软雅黑" w:hAnsi="微软雅黑" w:eastAsia="微软雅黑"/>
                <w:b w:val="0"/>
                <w:sz w:val="17"/>
              </w:rPr>
              <w:t>用户验证</w:t>
            </w:r>
          </w:p>
        </w:tc>
        <w:tc>
          <w:tcPr>
            <w:tcW w:type="dxa" w:w="3402"/>
            <w:shd w:fill="EEF5F3"/>
            <w:vAlign w:val="center"/>
          </w:tcPr>
          <w:p>
            <w:pPr>
              <w:spacing w:after="0"/>
            </w:pPr>
            <w:r/>
            <w:r>
              <w:rPr>
                <w:rFonts w:ascii="微软雅黑" w:hAnsi="微软雅黑" w:eastAsia="微软雅黑"/>
                <w:b w:val="0"/>
                <w:sz w:val="17"/>
              </w:rPr>
              <w:t>小规模访谈和可用性测试</w:t>
            </w:r>
          </w:p>
        </w:tc>
        <w:tc>
          <w:tcPr>
            <w:tcW w:type="dxa" w:w="3855"/>
            <w:shd w:fill="EEF5F3"/>
            <w:vAlign w:val="center"/>
          </w:tcPr>
          <w:p>
            <w:pPr>
              <w:spacing w:after="0"/>
            </w:pPr>
            <w:r/>
            <w:r>
              <w:rPr>
                <w:rFonts w:ascii="微软雅黑" w:hAnsi="微软雅黑" w:eastAsia="微软雅黑"/>
                <w:b w:val="0"/>
                <w:sz w:val="17"/>
              </w:rPr>
              <w:t>持续观察服务效率、风险触达和满意度</w:t>
            </w:r>
          </w:p>
        </w:tc>
      </w:tr>
    </w:tbl>
    <w:p/>
    <w:p>
      <w:pPr>
        <w:pStyle w:val="Heading1"/>
        <w:keepNext/>
      </w:pPr>
      <w:r>
        <w:t>第十二部分 团队介绍</w:t>
      </w:r>
    </w:p>
    <w:p>
      <w:pPr>
        <w:spacing w:line="348" w:lineRule="auto" w:after="120"/>
        <w:ind w:firstLine="420"/>
      </w:pPr>
      <w:r>
        <w:rPr>
          <w:rFonts w:ascii="宋体" w:hAnsi="宋体" w:eastAsia="宋体"/>
          <w:b w:val="0"/>
          <w:sz w:val="22"/>
        </w:rPr>
        <w:t>正式报名版应替换本节中的待补信息，确保与报名系统一致。建议采用不超过三人的团队结构，并按职责说明贡献，不把尚未发生的合作或成果写成事实。</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fill="1F4E5F"/>
            <w:vAlign w:val="center"/>
          </w:tcPr>
          <w:p>
            <w:pPr>
              <w:spacing w:after="0"/>
            </w:pPr>
            <w:r/>
            <w:r>
              <w:rPr>
                <w:rFonts w:ascii="微软雅黑" w:hAnsi="微软雅黑" w:eastAsia="微软雅黑"/>
                <w:b/>
                <w:color w:val="FFFFFF"/>
                <w:sz w:val="18"/>
              </w:rPr>
              <w:t>角色</w:t>
            </w:r>
          </w:p>
        </w:tc>
        <w:tc>
          <w:tcPr>
            <w:tcW w:type="dxa" w:w="4535"/>
            <w:shd w:fill="1F4E5F"/>
            <w:vAlign w:val="center"/>
          </w:tcPr>
          <w:p>
            <w:pPr>
              <w:spacing w:after="0"/>
            </w:pPr>
            <w:r/>
            <w:r>
              <w:rPr>
                <w:rFonts w:ascii="微软雅黑" w:hAnsi="微软雅黑" w:eastAsia="微软雅黑"/>
                <w:b/>
                <w:color w:val="FFFFFF"/>
                <w:sz w:val="18"/>
              </w:rPr>
              <w:t>职责</w:t>
            </w:r>
          </w:p>
        </w:tc>
        <w:tc>
          <w:tcPr>
            <w:tcW w:type="dxa" w:w="2268"/>
            <w:shd w:fill="1F4E5F"/>
            <w:vAlign w:val="center"/>
          </w:tcPr>
          <w:p>
            <w:pPr>
              <w:spacing w:after="0"/>
            </w:pPr>
            <w:r/>
            <w:r>
              <w:rPr>
                <w:rFonts w:ascii="微软雅黑" w:hAnsi="微软雅黑" w:eastAsia="微软雅黑"/>
                <w:b/>
                <w:color w:val="FFFFFF"/>
                <w:sz w:val="18"/>
              </w:rPr>
              <w:t>姓名/学校信息</w:t>
            </w:r>
          </w:p>
        </w:tc>
      </w:tr>
      <w:tr>
        <w:tc>
          <w:tcPr>
            <w:tcW w:type="dxa" w:w="2268"/>
            <w:vAlign w:val="center"/>
          </w:tcPr>
          <w:p>
            <w:pPr>
              <w:spacing w:after="0"/>
            </w:pPr>
            <w:r/>
            <w:r>
              <w:rPr>
                <w:rFonts w:ascii="微软雅黑" w:hAnsi="微软雅黑" w:eastAsia="微软雅黑"/>
                <w:b w:val="0"/>
                <w:sz w:val="17"/>
              </w:rPr>
              <w:t>技术负责人</w:t>
            </w:r>
          </w:p>
        </w:tc>
        <w:tc>
          <w:tcPr>
            <w:tcW w:type="dxa" w:w="4535"/>
            <w:vAlign w:val="center"/>
          </w:tcPr>
          <w:p>
            <w:pPr>
              <w:spacing w:after="0"/>
            </w:pPr>
            <w:r/>
            <w:r>
              <w:rPr>
                <w:rFonts w:ascii="微软雅黑" w:hAnsi="微软雅黑" w:eastAsia="微软雅黑"/>
                <w:b w:val="0"/>
                <w:sz w:val="17"/>
              </w:rPr>
              <w:t>后端架构、Agent、RAG、模型与部署</w:t>
            </w:r>
          </w:p>
        </w:tc>
        <w:tc>
          <w:tcPr>
            <w:tcW w:type="dxa" w:w="2268"/>
            <w:vAlign w:val="center"/>
          </w:tcPr>
          <w:p>
            <w:pPr>
              <w:spacing w:after="0"/>
            </w:pPr>
            <w:r/>
            <w:r>
              <w:rPr>
                <w:rFonts w:ascii="微软雅黑" w:hAnsi="微软雅黑" w:eastAsia="微软雅黑"/>
                <w:b w:val="0"/>
                <w:sz w:val="17"/>
              </w:rPr>
              <w:t>待补：真实姓名、专业、学校</w:t>
            </w:r>
          </w:p>
        </w:tc>
      </w:tr>
      <w:tr>
        <w:tc>
          <w:tcPr>
            <w:tcW w:type="dxa" w:w="2268"/>
            <w:shd w:fill="EEF5F3"/>
            <w:vAlign w:val="center"/>
          </w:tcPr>
          <w:p>
            <w:pPr>
              <w:spacing w:after="0"/>
            </w:pPr>
            <w:r/>
            <w:r>
              <w:rPr>
                <w:rFonts w:ascii="微软雅黑" w:hAnsi="微软雅黑" w:eastAsia="微软雅黑"/>
                <w:b w:val="0"/>
                <w:sz w:val="17"/>
              </w:rPr>
              <w:t>金融与项目负责人</w:t>
            </w:r>
          </w:p>
        </w:tc>
        <w:tc>
          <w:tcPr>
            <w:tcW w:type="dxa" w:w="4535"/>
            <w:shd w:fill="EEF5F3"/>
            <w:vAlign w:val="center"/>
          </w:tcPr>
          <w:p>
            <w:pPr>
              <w:spacing w:after="0"/>
            </w:pPr>
            <w:r/>
            <w:r>
              <w:rPr>
                <w:rFonts w:ascii="微软雅黑" w:hAnsi="微软雅黑" w:eastAsia="微软雅黑"/>
                <w:b w:val="0"/>
                <w:sz w:val="17"/>
              </w:rPr>
              <w:t>养老金融场景、规则、合规、商业与答辩</w:t>
            </w:r>
          </w:p>
        </w:tc>
        <w:tc>
          <w:tcPr>
            <w:tcW w:type="dxa" w:w="2268"/>
            <w:shd w:fill="EEF5F3"/>
            <w:vAlign w:val="center"/>
          </w:tcPr>
          <w:p>
            <w:pPr>
              <w:spacing w:after="0"/>
            </w:pPr>
            <w:r/>
            <w:r>
              <w:rPr>
                <w:rFonts w:ascii="微软雅黑" w:hAnsi="微软雅黑" w:eastAsia="微软雅黑"/>
                <w:b w:val="0"/>
                <w:sz w:val="17"/>
              </w:rPr>
              <w:t>待补：真实姓名、专业、学校</w:t>
            </w:r>
          </w:p>
        </w:tc>
      </w:tr>
      <w:tr>
        <w:tc>
          <w:tcPr>
            <w:tcW w:type="dxa" w:w="2268"/>
            <w:vAlign w:val="center"/>
          </w:tcPr>
          <w:p>
            <w:pPr>
              <w:spacing w:after="0"/>
            </w:pPr>
            <w:r/>
            <w:r>
              <w:rPr>
                <w:rFonts w:ascii="微软雅黑" w:hAnsi="微软雅黑" w:eastAsia="微软雅黑"/>
                <w:b w:val="0"/>
                <w:sz w:val="17"/>
              </w:rPr>
              <w:t>产品与前端负责人</w:t>
            </w:r>
          </w:p>
        </w:tc>
        <w:tc>
          <w:tcPr>
            <w:tcW w:type="dxa" w:w="4535"/>
            <w:vAlign w:val="center"/>
          </w:tcPr>
          <w:p>
            <w:pPr>
              <w:spacing w:after="0"/>
            </w:pPr>
            <w:r/>
            <w:r>
              <w:rPr>
                <w:rFonts w:ascii="微软雅黑" w:hAnsi="微软雅黑" w:eastAsia="微软雅黑"/>
                <w:b w:val="0"/>
                <w:sz w:val="17"/>
              </w:rPr>
              <w:t>适老交互、可视化、用户测试、演示材料</w:t>
            </w:r>
          </w:p>
        </w:tc>
        <w:tc>
          <w:tcPr>
            <w:tcW w:type="dxa" w:w="2268"/>
            <w:vAlign w:val="center"/>
          </w:tcPr>
          <w:p>
            <w:pPr>
              <w:spacing w:after="0"/>
            </w:pPr>
            <w:r/>
            <w:r>
              <w:rPr>
                <w:rFonts w:ascii="微软雅黑" w:hAnsi="微软雅黑" w:eastAsia="微软雅黑"/>
                <w:b w:val="0"/>
                <w:sz w:val="17"/>
              </w:rPr>
              <w:t>待补：真实姓名、专业、学校</w:t>
            </w:r>
          </w:p>
        </w:tc>
      </w:tr>
    </w:tbl>
    <w:p/>
    <w:p>
      <w:pPr>
        <w:pStyle w:val="Heading1"/>
        <w:keepNext/>
      </w:pPr>
      <w:r>
        <w:t>第十一部分 风险分析与合规设计</w:t>
      </w:r>
    </w:p>
    <w:tbl>
      <w:tblPr>
        <w:tblStyle w:val="TableGrid"/>
        <w:tblW w:type="auto" w:w="0"/>
        <w:jc w:val="center"/>
        <w:tblLook w:firstColumn="1" w:firstRow="1" w:lastColumn="0" w:lastRow="0" w:noHBand="0" w:noVBand="1" w:val="04A0"/>
      </w:tblPr>
      <w:tblGrid>
        <w:gridCol w:w="3211"/>
        <w:gridCol w:w="3211"/>
        <w:gridCol w:w="3211"/>
      </w:tblGrid>
      <w:tr>
        <w:tc>
          <w:tcPr>
            <w:tcW w:type="dxa" w:w="2154"/>
            <w:shd w:fill="1F4E5F"/>
            <w:vAlign w:val="center"/>
          </w:tcPr>
          <w:p>
            <w:pPr>
              <w:spacing w:after="0"/>
            </w:pPr>
            <w:r/>
            <w:r>
              <w:rPr>
                <w:rFonts w:ascii="微软雅黑" w:hAnsi="微软雅黑" w:eastAsia="微软雅黑"/>
                <w:b/>
                <w:color w:val="FFFFFF"/>
                <w:sz w:val="18"/>
              </w:rPr>
              <w:t>风险</w:t>
            </w:r>
          </w:p>
        </w:tc>
        <w:tc>
          <w:tcPr>
            <w:tcW w:type="dxa" w:w="2835"/>
            <w:shd w:fill="1F4E5F"/>
            <w:vAlign w:val="center"/>
          </w:tcPr>
          <w:p>
            <w:pPr>
              <w:spacing w:after="0"/>
            </w:pPr>
            <w:r/>
            <w:r>
              <w:rPr>
                <w:rFonts w:ascii="微软雅黑" w:hAnsi="微软雅黑" w:eastAsia="微软雅黑"/>
                <w:b/>
                <w:color w:val="FFFFFF"/>
                <w:sz w:val="18"/>
              </w:rPr>
              <w:t>可能影响</w:t>
            </w:r>
          </w:p>
        </w:tc>
        <w:tc>
          <w:tcPr>
            <w:tcW w:type="dxa" w:w="4082"/>
            <w:shd w:fill="1F4E5F"/>
            <w:vAlign w:val="center"/>
          </w:tcPr>
          <w:p>
            <w:pPr>
              <w:spacing w:after="0"/>
            </w:pPr>
            <w:r/>
            <w:r>
              <w:rPr>
                <w:rFonts w:ascii="微软雅黑" w:hAnsi="微软雅黑" w:eastAsia="微软雅黑"/>
                <w:b/>
                <w:color w:val="FFFFFF"/>
                <w:sz w:val="18"/>
              </w:rPr>
              <w:t>应对措施</w:t>
            </w:r>
          </w:p>
        </w:tc>
      </w:tr>
      <w:tr>
        <w:tc>
          <w:tcPr>
            <w:tcW w:type="dxa" w:w="2154"/>
            <w:vAlign w:val="center"/>
          </w:tcPr>
          <w:p>
            <w:pPr>
              <w:spacing w:after="0"/>
            </w:pPr>
            <w:r/>
            <w:r>
              <w:rPr>
                <w:rFonts w:ascii="微软雅黑" w:hAnsi="微软雅黑" w:eastAsia="微软雅黑"/>
                <w:b w:val="0"/>
                <w:sz w:val="17"/>
              </w:rPr>
              <w:t>技术风险：大模型幻觉或超时</w:t>
            </w:r>
          </w:p>
        </w:tc>
        <w:tc>
          <w:tcPr>
            <w:tcW w:type="dxa" w:w="2835"/>
            <w:vAlign w:val="center"/>
          </w:tcPr>
          <w:p>
            <w:pPr>
              <w:spacing w:after="0"/>
            </w:pPr>
            <w:r/>
            <w:r>
              <w:rPr>
                <w:rFonts w:ascii="微软雅黑" w:hAnsi="微软雅黑" w:eastAsia="微软雅黑"/>
                <w:b w:val="0"/>
                <w:sz w:val="17"/>
              </w:rPr>
              <w:t>金融规则解释错误、服务中断</w:t>
            </w:r>
          </w:p>
        </w:tc>
        <w:tc>
          <w:tcPr>
            <w:tcW w:type="dxa" w:w="4082"/>
            <w:vAlign w:val="center"/>
          </w:tcPr>
          <w:p>
            <w:pPr>
              <w:spacing w:after="0"/>
            </w:pPr>
            <w:r/>
            <w:r>
              <w:rPr>
                <w:rFonts w:ascii="微软雅黑" w:hAnsi="微软雅黑" w:eastAsia="微软雅黑"/>
                <w:b w:val="0"/>
                <w:sz w:val="17"/>
              </w:rPr>
              <w:t>规则计算与LLM解耦；RAG来源；超时Mock/模板降级；日志记录</w:t>
            </w:r>
          </w:p>
        </w:tc>
      </w:tr>
      <w:tr>
        <w:tc>
          <w:tcPr>
            <w:tcW w:type="dxa" w:w="2154"/>
            <w:shd w:fill="EEF5F3"/>
            <w:vAlign w:val="center"/>
          </w:tcPr>
          <w:p>
            <w:pPr>
              <w:spacing w:after="0"/>
            </w:pPr>
            <w:r/>
            <w:r>
              <w:rPr>
                <w:rFonts w:ascii="微软雅黑" w:hAnsi="微软雅黑" w:eastAsia="微软雅黑"/>
                <w:b w:val="0"/>
                <w:sz w:val="17"/>
              </w:rPr>
              <w:t>知识风险：政策和产品信息过期</w:t>
            </w:r>
          </w:p>
        </w:tc>
        <w:tc>
          <w:tcPr>
            <w:tcW w:type="dxa" w:w="2835"/>
            <w:shd w:fill="EEF5F3"/>
            <w:vAlign w:val="center"/>
          </w:tcPr>
          <w:p>
            <w:pPr>
              <w:spacing w:after="0"/>
            </w:pPr>
            <w:r/>
            <w:r>
              <w:rPr>
                <w:rFonts w:ascii="微软雅黑" w:hAnsi="微软雅黑" w:eastAsia="微软雅黑"/>
                <w:b w:val="0"/>
                <w:sz w:val="17"/>
              </w:rPr>
              <w:t>回答依据失效</w:t>
            </w:r>
          </w:p>
        </w:tc>
        <w:tc>
          <w:tcPr>
            <w:tcW w:type="dxa" w:w="4082"/>
            <w:shd w:fill="EEF5F3"/>
            <w:vAlign w:val="center"/>
          </w:tcPr>
          <w:p>
            <w:pPr>
              <w:spacing w:after="0"/>
            </w:pPr>
            <w:r/>
            <w:r>
              <w:rPr>
                <w:rFonts w:ascii="微软雅黑" w:hAnsi="微软雅黑" w:eastAsia="微软雅黑"/>
                <w:b w:val="0"/>
                <w:sz w:val="17"/>
              </w:rPr>
              <w:t>记录来源、发布日期、版本和审核状态，建立更新与下架机制</w:t>
            </w:r>
          </w:p>
        </w:tc>
      </w:tr>
      <w:tr>
        <w:tc>
          <w:tcPr>
            <w:tcW w:type="dxa" w:w="2154"/>
            <w:vAlign w:val="center"/>
          </w:tcPr>
          <w:p>
            <w:pPr>
              <w:spacing w:after="0"/>
            </w:pPr>
            <w:r/>
            <w:r>
              <w:rPr>
                <w:rFonts w:ascii="微软雅黑" w:hAnsi="微软雅黑" w:eastAsia="微软雅黑"/>
                <w:b w:val="0"/>
                <w:sz w:val="17"/>
              </w:rPr>
              <w:t>数据风险：画像、资产、家庭信息泄露</w:t>
            </w:r>
          </w:p>
        </w:tc>
        <w:tc>
          <w:tcPr>
            <w:tcW w:type="dxa" w:w="2835"/>
            <w:vAlign w:val="center"/>
          </w:tcPr>
          <w:p>
            <w:pPr>
              <w:spacing w:after="0"/>
            </w:pPr>
            <w:r/>
            <w:r>
              <w:rPr>
                <w:rFonts w:ascii="微软雅黑" w:hAnsi="微软雅黑" w:eastAsia="微软雅黑"/>
                <w:b w:val="0"/>
                <w:sz w:val="17"/>
              </w:rPr>
              <w:t>隐私与合规风险</w:t>
            </w:r>
          </w:p>
        </w:tc>
        <w:tc>
          <w:tcPr>
            <w:tcW w:type="dxa" w:w="4082"/>
            <w:vAlign w:val="center"/>
          </w:tcPr>
          <w:p>
            <w:pPr>
              <w:spacing w:after="0"/>
            </w:pPr>
            <w:r/>
            <w:r>
              <w:rPr>
                <w:rFonts w:ascii="微软雅黑" w:hAnsi="微软雅黑" w:eastAsia="微软雅黑"/>
                <w:b w:val="0"/>
                <w:sz w:val="17"/>
              </w:rPr>
              <w:t>最小必要采集、JWT/RBAC、BCrypt、密钥环境变量；生产增加加密、脱敏、审计和删除</w:t>
            </w:r>
          </w:p>
        </w:tc>
      </w:tr>
      <w:tr>
        <w:tc>
          <w:tcPr>
            <w:tcW w:type="dxa" w:w="2154"/>
            <w:shd w:fill="EEF5F3"/>
            <w:vAlign w:val="center"/>
          </w:tcPr>
          <w:p>
            <w:pPr>
              <w:spacing w:after="0"/>
            </w:pPr>
            <w:r/>
            <w:r>
              <w:rPr>
                <w:rFonts w:ascii="微软雅黑" w:hAnsi="微软雅黑" w:eastAsia="微软雅黑"/>
                <w:b w:val="0"/>
                <w:sz w:val="17"/>
              </w:rPr>
              <w:t>金融风险：输出被误解为投资建议</w:t>
            </w:r>
          </w:p>
        </w:tc>
        <w:tc>
          <w:tcPr>
            <w:tcW w:type="dxa" w:w="2835"/>
            <w:shd w:fill="EEF5F3"/>
            <w:vAlign w:val="center"/>
          </w:tcPr>
          <w:p>
            <w:pPr>
              <w:spacing w:after="0"/>
            </w:pPr>
            <w:r/>
            <w:r>
              <w:rPr>
                <w:rFonts w:ascii="微软雅黑" w:hAnsi="微软雅黑" w:eastAsia="微软雅黑"/>
                <w:b w:val="0"/>
                <w:sz w:val="17"/>
              </w:rPr>
              <w:t>不当购买或风险承担</w:t>
            </w:r>
          </w:p>
        </w:tc>
        <w:tc>
          <w:tcPr>
            <w:tcW w:type="dxa" w:w="4082"/>
            <w:shd w:fill="EEF5F3"/>
            <w:vAlign w:val="center"/>
          </w:tcPr>
          <w:p>
            <w:pPr>
              <w:spacing w:after="0"/>
            </w:pPr>
            <w:r/>
            <w:r>
              <w:rPr>
                <w:rFonts w:ascii="微软雅黑" w:hAnsi="微软雅黑" w:eastAsia="微软雅黑"/>
                <w:b w:val="0"/>
                <w:sz w:val="17"/>
              </w:rPr>
              <w:t>明确免责声明；模拟产品不交易；高风险场景引导官方渠道；正式部署人工复核</w:t>
            </w:r>
          </w:p>
        </w:tc>
      </w:tr>
      <w:tr>
        <w:tc>
          <w:tcPr>
            <w:tcW w:type="dxa" w:w="2154"/>
            <w:vAlign w:val="center"/>
          </w:tcPr>
          <w:p>
            <w:pPr>
              <w:spacing w:after="0"/>
            </w:pPr>
            <w:r/>
            <w:r>
              <w:rPr>
                <w:rFonts w:ascii="微软雅黑" w:hAnsi="微软雅黑" w:eastAsia="微软雅黑"/>
                <w:b w:val="0"/>
                <w:sz w:val="17"/>
              </w:rPr>
              <w:t>家庭协同越权</w:t>
            </w:r>
          </w:p>
        </w:tc>
        <w:tc>
          <w:tcPr>
            <w:tcW w:type="dxa" w:w="2835"/>
            <w:vAlign w:val="center"/>
          </w:tcPr>
          <w:p>
            <w:pPr>
              <w:spacing w:after="0"/>
            </w:pPr>
            <w:r/>
            <w:r>
              <w:rPr>
                <w:rFonts w:ascii="微软雅黑" w:hAnsi="微软雅黑" w:eastAsia="微软雅黑"/>
                <w:b w:val="0"/>
                <w:sz w:val="17"/>
              </w:rPr>
              <w:t>老人自主决策受损</w:t>
            </w:r>
          </w:p>
        </w:tc>
        <w:tc>
          <w:tcPr>
            <w:tcW w:type="dxa" w:w="4082"/>
            <w:vAlign w:val="center"/>
          </w:tcPr>
          <w:p>
            <w:pPr>
              <w:spacing w:after="0"/>
            </w:pPr>
            <w:r/>
            <w:r>
              <w:rPr>
                <w:rFonts w:ascii="微软雅黑" w:hAnsi="微软雅黑" w:eastAsia="微软雅黑"/>
                <w:b w:val="0"/>
                <w:sz w:val="17"/>
              </w:rPr>
              <w:t>本人授权、最小摘要、权限分级、授权撤回和操作留痕</w:t>
            </w:r>
          </w:p>
        </w:tc>
      </w:tr>
      <w:tr>
        <w:tc>
          <w:tcPr>
            <w:tcW w:type="dxa" w:w="2154"/>
            <w:shd w:fill="EEF5F3"/>
            <w:vAlign w:val="center"/>
          </w:tcPr>
          <w:p>
            <w:pPr>
              <w:spacing w:after="0"/>
            </w:pPr>
            <w:r/>
            <w:r>
              <w:rPr>
                <w:rFonts w:ascii="微软雅黑" w:hAnsi="微软雅黑" w:eastAsia="微软雅黑"/>
                <w:b w:val="0"/>
                <w:sz w:val="17"/>
              </w:rPr>
              <w:t>现场风险：无网络或外部服务不可用</w:t>
            </w:r>
          </w:p>
        </w:tc>
        <w:tc>
          <w:tcPr>
            <w:tcW w:type="dxa" w:w="2835"/>
            <w:shd w:fill="EEF5F3"/>
            <w:vAlign w:val="center"/>
          </w:tcPr>
          <w:p>
            <w:pPr>
              <w:spacing w:after="0"/>
            </w:pPr>
            <w:r/>
            <w:r>
              <w:rPr>
                <w:rFonts w:ascii="微软雅黑" w:hAnsi="微软雅黑" w:eastAsia="微软雅黑"/>
                <w:b w:val="0"/>
                <w:sz w:val="17"/>
              </w:rPr>
              <w:t>Demo无法展示</w:t>
            </w:r>
          </w:p>
        </w:tc>
        <w:tc>
          <w:tcPr>
            <w:tcW w:type="dxa" w:w="4082"/>
            <w:shd w:fill="EEF5F3"/>
            <w:vAlign w:val="center"/>
          </w:tcPr>
          <w:p>
            <w:pPr>
              <w:spacing w:after="0"/>
            </w:pPr>
            <w:r/>
            <w:r>
              <w:rPr>
                <w:rFonts w:ascii="微软雅黑" w:hAnsi="微软雅黑" w:eastAsia="微软雅黑"/>
                <w:b w:val="0"/>
                <w:sz w:val="17"/>
              </w:rPr>
              <w:t>demo profile、本地模板、Mock RAG、一键启动脚本、录屏备份</w:t>
            </w:r>
          </w:p>
        </w:tc>
      </w:tr>
    </w:tbl>
    <w:p/>
    <w:p>
      <w:pPr>
        <w:pStyle w:val="Heading2"/>
        <w:keepNext/>
      </w:pPr>
      <w:r>
        <w:t>11.1 技术风险</w:t>
      </w:r>
    </w:p>
    <w:p>
      <w:pPr>
        <w:spacing w:line="348" w:lineRule="auto" w:after="120"/>
        <w:ind w:firstLine="420"/>
      </w:pPr>
      <w:r>
        <w:rPr>
          <w:rFonts w:ascii="宋体" w:hAnsi="宋体" w:eastAsia="宋体"/>
          <w:b w:val="0"/>
          <w:sz w:val="22"/>
        </w:rPr>
        <w:t>项目将大模型限定在知识问答和适老化表达范围内，关键风险分值、资金用途和阶段判断由规则模块完成。任何真实产品推荐、账户操作和高风险诈骗处置都不应由模型单独决定。</w:t>
      </w:r>
    </w:p>
    <w:p>
      <w:pPr>
        <w:pStyle w:val="Heading2"/>
        <w:keepNext/>
      </w:pPr>
      <w:r>
        <w:t>11.2 数据风险</w:t>
      </w:r>
    </w:p>
    <w:p>
      <w:pPr>
        <w:spacing w:line="348" w:lineRule="auto" w:after="120"/>
        <w:ind w:firstLine="420"/>
      </w:pPr>
      <w:r>
        <w:rPr>
          <w:rFonts w:ascii="宋体" w:hAnsi="宋体" w:eastAsia="宋体"/>
          <w:b w:val="0"/>
          <w:sz w:val="22"/>
        </w:rPr>
        <w:t>当前Demo仅使用演示账号和模拟数据；dev环境遵循密钥环境变量、JWT/RBAC和最小必要原则。若进入银行沙箱或生产环境，必须补充数据分级分类、字段加密、授权撤回、访问审计、留存期限和删除机制。</w:t>
      </w:r>
    </w:p>
    <w:p>
      <w:pPr>
        <w:pStyle w:val="Heading2"/>
        <w:keepNext/>
      </w:pPr>
      <w:r>
        <w:t>11.3 金融风险与人机边界</w:t>
      </w:r>
    </w:p>
    <w:p>
      <w:pPr>
        <w:spacing w:line="348" w:lineRule="auto" w:after="120"/>
        <w:ind w:firstLine="420"/>
      </w:pPr>
      <w:r>
        <w:rPr>
          <w:rFonts w:ascii="宋体" w:hAnsi="宋体" w:eastAsia="宋体"/>
          <w:b w:val="0"/>
          <w:sz w:val="22"/>
        </w:rPr>
        <w:t>系统输出是养老金融教育、规划和风险提示辅助，不替代银行专业人员、适当性评估、保险说明或税务/法律意见。评委演示中应主动说明“不执行真实金融交易、不承诺收益、产品为模拟知识条目”。</w:t>
      </w:r>
    </w:p>
    <w:p>
      <w:pPr>
        <w:pStyle w:val="Heading1"/>
        <w:keepNext/>
      </w:pPr>
      <w:r>
        <w:t>附录A 系统截图与架构图</w:t>
      </w:r>
    </w:p>
    <w:p>
      <w:pPr>
        <w:spacing w:line="348" w:lineRule="auto" w:after="120"/>
        <w:ind w:firstLine="420"/>
      </w:pPr>
      <w:r>
        <w:rPr>
          <w:rFonts w:ascii="宋体" w:hAnsi="宋体" w:eastAsia="宋体"/>
          <w:b w:val="0"/>
          <w:sz w:val="22"/>
        </w:rPr>
        <w:t>正式提交版建议在此处插入Dashboard、AI金融智能体执行链、养老规划、诈骗检测和金融健康页面的高清截图，并在每张截图下标注Demo数据、接口和演示结论。当前项目已生成业务闭环、Agent执行链、分层架构和健康评分四张原创图表，文件位于项目书/figures目录。</w:t>
      </w:r>
    </w:p>
    <w:p>
      <w:pPr>
        <w:pStyle w:val="Heading1"/>
        <w:keepNext/>
      </w:pPr>
      <w:r>
        <w:t>附录B 数据库与接口</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515"/>
            <w:shd w:fill="1F4E5F"/>
            <w:vAlign w:val="center"/>
          </w:tcPr>
          <w:p>
            <w:pPr>
              <w:spacing w:after="0"/>
            </w:pPr>
            <w:r/>
            <w:r>
              <w:rPr>
                <w:rFonts w:ascii="微软雅黑" w:hAnsi="微软雅黑" w:eastAsia="微软雅黑"/>
                <w:b/>
                <w:color w:val="FFFFFF"/>
                <w:sz w:val="18"/>
              </w:rPr>
              <w:t>接口</w:t>
            </w:r>
          </w:p>
        </w:tc>
        <w:tc>
          <w:tcPr>
            <w:tcW w:type="dxa" w:w="1191"/>
            <w:shd w:fill="1F4E5F"/>
            <w:vAlign w:val="center"/>
          </w:tcPr>
          <w:p>
            <w:pPr>
              <w:spacing w:after="0"/>
            </w:pPr>
            <w:r/>
            <w:r>
              <w:rPr>
                <w:rFonts w:ascii="微软雅黑" w:hAnsi="微软雅黑" w:eastAsia="微软雅黑"/>
                <w:b/>
                <w:color w:val="FFFFFF"/>
                <w:sz w:val="18"/>
              </w:rPr>
              <w:t>方法</w:t>
            </w:r>
          </w:p>
        </w:tc>
        <w:tc>
          <w:tcPr>
            <w:tcW w:type="dxa" w:w="3005"/>
            <w:shd w:fill="1F4E5F"/>
            <w:vAlign w:val="center"/>
          </w:tcPr>
          <w:p>
            <w:pPr>
              <w:spacing w:after="0"/>
            </w:pPr>
            <w:r/>
            <w:r>
              <w:rPr>
                <w:rFonts w:ascii="微软雅黑" w:hAnsi="微软雅黑" w:eastAsia="微软雅黑"/>
                <w:b/>
                <w:color w:val="FFFFFF"/>
                <w:sz w:val="18"/>
              </w:rPr>
              <w:t>用途</w:t>
            </w:r>
          </w:p>
        </w:tc>
        <w:tc>
          <w:tcPr>
            <w:tcW w:type="dxa" w:w="1134"/>
            <w:shd w:fill="1F4E5F"/>
            <w:vAlign w:val="center"/>
          </w:tcPr>
          <w:p>
            <w:pPr>
              <w:spacing w:after="0"/>
            </w:pPr>
            <w:r/>
            <w:r>
              <w:rPr>
                <w:rFonts w:ascii="微软雅黑" w:hAnsi="微软雅黑" w:eastAsia="微软雅黑"/>
                <w:b/>
                <w:color w:val="FFFFFF"/>
                <w:sz w:val="18"/>
              </w:rPr>
              <w:t>权限</w:t>
            </w:r>
          </w:p>
        </w:tc>
      </w:tr>
      <w:tr>
        <w:tc>
          <w:tcPr>
            <w:tcW w:type="dxa" w:w="3515"/>
            <w:vAlign w:val="center"/>
          </w:tcPr>
          <w:p>
            <w:pPr>
              <w:spacing w:after="0"/>
            </w:pPr>
            <w:r/>
            <w:r>
              <w:rPr>
                <w:rFonts w:ascii="微软雅黑" w:hAnsi="微软雅黑" w:eastAsia="微软雅黑"/>
                <w:b w:val="0"/>
                <w:sz w:val="17"/>
              </w:rPr>
              <w:t>/api/v1/auth/login</w:t>
            </w:r>
          </w:p>
        </w:tc>
        <w:tc>
          <w:tcPr>
            <w:tcW w:type="dxa" w:w="1191"/>
            <w:vAlign w:val="center"/>
          </w:tcPr>
          <w:p>
            <w:pPr>
              <w:spacing w:after="0"/>
            </w:pPr>
            <w:r/>
            <w:r>
              <w:rPr>
                <w:rFonts w:ascii="微软雅黑" w:hAnsi="微软雅黑" w:eastAsia="微软雅黑"/>
                <w:b w:val="0"/>
                <w:sz w:val="17"/>
              </w:rPr>
              <w:t>POST</w:t>
            </w:r>
          </w:p>
        </w:tc>
        <w:tc>
          <w:tcPr>
            <w:tcW w:type="dxa" w:w="3005"/>
            <w:vAlign w:val="center"/>
          </w:tcPr>
          <w:p>
            <w:pPr>
              <w:spacing w:after="0"/>
            </w:pPr>
            <w:r/>
            <w:r>
              <w:rPr>
                <w:rFonts w:ascii="微软雅黑" w:hAnsi="微软雅黑" w:eastAsia="微软雅黑"/>
                <w:b w:val="0"/>
                <w:sz w:val="17"/>
              </w:rPr>
              <w:t>登录并返回JWT</w:t>
            </w:r>
          </w:p>
        </w:tc>
        <w:tc>
          <w:tcPr>
            <w:tcW w:type="dxa" w:w="1134"/>
            <w:vAlign w:val="center"/>
          </w:tcPr>
          <w:p>
            <w:pPr>
              <w:spacing w:after="0"/>
            </w:pPr>
            <w:r/>
            <w:r>
              <w:rPr>
                <w:rFonts w:ascii="微软雅黑" w:hAnsi="微软雅黑" w:eastAsia="微软雅黑"/>
                <w:b w:val="0"/>
                <w:sz w:val="17"/>
              </w:rPr>
              <w:t>公开</w:t>
            </w:r>
          </w:p>
        </w:tc>
      </w:tr>
      <w:tr>
        <w:tc>
          <w:tcPr>
            <w:tcW w:type="dxa" w:w="3515"/>
            <w:shd w:fill="EEF5F3"/>
            <w:vAlign w:val="center"/>
          </w:tcPr>
          <w:p>
            <w:pPr>
              <w:spacing w:after="0"/>
            </w:pPr>
            <w:r/>
            <w:r>
              <w:rPr>
                <w:rFonts w:ascii="微软雅黑" w:hAnsi="微软雅黑" w:eastAsia="微软雅黑"/>
                <w:b w:val="0"/>
                <w:sz w:val="17"/>
              </w:rPr>
              <w:t>/api/v1/profile/me</w:t>
            </w:r>
          </w:p>
        </w:tc>
        <w:tc>
          <w:tcPr>
            <w:tcW w:type="dxa" w:w="1191"/>
            <w:shd w:fill="EEF5F3"/>
            <w:vAlign w:val="center"/>
          </w:tcPr>
          <w:p>
            <w:pPr>
              <w:spacing w:after="0"/>
            </w:pPr>
            <w:r/>
            <w:r>
              <w:rPr>
                <w:rFonts w:ascii="微软雅黑" w:hAnsi="微软雅黑" w:eastAsia="微软雅黑"/>
                <w:b w:val="0"/>
                <w:sz w:val="17"/>
              </w:rPr>
              <w:t>GET/PUT</w:t>
            </w:r>
          </w:p>
        </w:tc>
        <w:tc>
          <w:tcPr>
            <w:tcW w:type="dxa" w:w="3005"/>
            <w:shd w:fill="EEF5F3"/>
            <w:vAlign w:val="center"/>
          </w:tcPr>
          <w:p>
            <w:pPr>
              <w:spacing w:after="0"/>
            </w:pPr>
            <w:r/>
            <w:r>
              <w:rPr>
                <w:rFonts w:ascii="微软雅黑" w:hAnsi="微软雅黑" w:eastAsia="微软雅黑"/>
                <w:b w:val="0"/>
                <w:sz w:val="17"/>
              </w:rPr>
              <w:t>查询与更新银龄画像</w:t>
            </w:r>
          </w:p>
        </w:tc>
        <w:tc>
          <w:tcPr>
            <w:tcW w:type="dxa" w:w="1134"/>
            <w:shd w:fill="EEF5F3"/>
            <w:vAlign w:val="center"/>
          </w:tcPr>
          <w:p>
            <w:pPr>
              <w:spacing w:after="0"/>
            </w:pPr>
            <w:r/>
            <w:r>
              <w:rPr>
                <w:rFonts w:ascii="微软雅黑" w:hAnsi="微软雅黑" w:eastAsia="微软雅黑"/>
                <w:b w:val="0"/>
                <w:sz w:val="17"/>
              </w:rPr>
              <w:t>JWT</w:t>
            </w:r>
          </w:p>
        </w:tc>
      </w:tr>
      <w:tr>
        <w:tc>
          <w:tcPr>
            <w:tcW w:type="dxa" w:w="3515"/>
            <w:vAlign w:val="center"/>
          </w:tcPr>
          <w:p>
            <w:pPr>
              <w:spacing w:after="0"/>
            </w:pPr>
            <w:r/>
            <w:r>
              <w:rPr>
                <w:rFonts w:ascii="微软雅黑" w:hAnsi="微软雅黑" w:eastAsia="微软雅黑"/>
                <w:b w:val="0"/>
                <w:sz w:val="17"/>
              </w:rPr>
              <w:t>/api/v1/assistant/chat</w:t>
            </w:r>
          </w:p>
        </w:tc>
        <w:tc>
          <w:tcPr>
            <w:tcW w:type="dxa" w:w="1191"/>
            <w:vAlign w:val="center"/>
          </w:tcPr>
          <w:p>
            <w:pPr>
              <w:spacing w:after="0"/>
            </w:pPr>
            <w:r/>
            <w:r>
              <w:rPr>
                <w:rFonts w:ascii="微软雅黑" w:hAnsi="微软雅黑" w:eastAsia="微软雅黑"/>
                <w:b w:val="0"/>
                <w:sz w:val="17"/>
              </w:rPr>
              <w:t>POST</w:t>
            </w:r>
          </w:p>
        </w:tc>
        <w:tc>
          <w:tcPr>
            <w:tcW w:type="dxa" w:w="3005"/>
            <w:vAlign w:val="center"/>
          </w:tcPr>
          <w:p>
            <w:pPr>
              <w:spacing w:after="0"/>
            </w:pPr>
            <w:r/>
            <w:r>
              <w:rPr>
                <w:rFonts w:ascii="微软雅黑" w:hAnsi="微软雅黑" w:eastAsia="微软雅黑"/>
                <w:b w:val="0"/>
                <w:sz w:val="17"/>
              </w:rPr>
              <w:t>AI养老金融问答</w:t>
            </w:r>
          </w:p>
        </w:tc>
        <w:tc>
          <w:tcPr>
            <w:tcW w:type="dxa" w:w="1134"/>
            <w:vAlign w:val="center"/>
          </w:tcPr>
          <w:p>
            <w:pPr>
              <w:spacing w:after="0"/>
            </w:pPr>
            <w:r/>
            <w:r>
              <w:rPr>
                <w:rFonts w:ascii="微软雅黑" w:hAnsi="微软雅黑" w:eastAsia="微软雅黑"/>
                <w:b w:val="0"/>
                <w:sz w:val="17"/>
              </w:rPr>
              <w:t>JWT</w:t>
            </w:r>
          </w:p>
        </w:tc>
      </w:tr>
      <w:tr>
        <w:tc>
          <w:tcPr>
            <w:tcW w:type="dxa" w:w="3515"/>
            <w:shd w:fill="EEF5F3"/>
            <w:vAlign w:val="center"/>
          </w:tcPr>
          <w:p>
            <w:pPr>
              <w:spacing w:after="0"/>
            </w:pPr>
            <w:r/>
            <w:r>
              <w:rPr>
                <w:rFonts w:ascii="微软雅黑" w:hAnsi="微软雅黑" w:eastAsia="微软雅黑"/>
                <w:b w:val="0"/>
                <w:sz w:val="17"/>
              </w:rPr>
              <w:t>/api/v1/financial/plan</w:t>
            </w:r>
          </w:p>
        </w:tc>
        <w:tc>
          <w:tcPr>
            <w:tcW w:type="dxa" w:w="1191"/>
            <w:shd w:fill="EEF5F3"/>
            <w:vAlign w:val="center"/>
          </w:tcPr>
          <w:p>
            <w:pPr>
              <w:spacing w:after="0"/>
            </w:pPr>
            <w:r/>
            <w:r>
              <w:rPr>
                <w:rFonts w:ascii="微软雅黑" w:hAnsi="微软雅黑" w:eastAsia="微软雅黑"/>
                <w:b w:val="0"/>
                <w:sz w:val="17"/>
              </w:rPr>
              <w:t>POST</w:t>
            </w:r>
          </w:p>
        </w:tc>
        <w:tc>
          <w:tcPr>
            <w:tcW w:type="dxa" w:w="3005"/>
            <w:shd w:fill="EEF5F3"/>
            <w:vAlign w:val="center"/>
          </w:tcPr>
          <w:p>
            <w:pPr>
              <w:spacing w:after="0"/>
            </w:pPr>
            <w:r/>
            <w:r>
              <w:rPr>
                <w:rFonts w:ascii="微软雅黑" w:hAnsi="微软雅黑" w:eastAsia="微软雅黑"/>
                <w:b w:val="0"/>
                <w:sz w:val="17"/>
              </w:rPr>
              <w:t>生成养老金融规划</w:t>
            </w:r>
          </w:p>
        </w:tc>
        <w:tc>
          <w:tcPr>
            <w:tcW w:type="dxa" w:w="1134"/>
            <w:shd w:fill="EEF5F3"/>
            <w:vAlign w:val="center"/>
          </w:tcPr>
          <w:p>
            <w:pPr>
              <w:spacing w:after="0"/>
            </w:pPr>
            <w:r/>
            <w:r>
              <w:rPr>
                <w:rFonts w:ascii="微软雅黑" w:hAnsi="微软雅黑" w:eastAsia="微软雅黑"/>
                <w:b w:val="0"/>
                <w:sz w:val="17"/>
              </w:rPr>
              <w:t>JWT</w:t>
            </w:r>
          </w:p>
        </w:tc>
      </w:tr>
      <w:tr>
        <w:tc>
          <w:tcPr>
            <w:tcW w:type="dxa" w:w="3515"/>
            <w:vAlign w:val="center"/>
          </w:tcPr>
          <w:p>
            <w:pPr>
              <w:spacing w:after="0"/>
            </w:pPr>
            <w:r/>
            <w:r>
              <w:rPr>
                <w:rFonts w:ascii="微软雅黑" w:hAnsi="微软雅黑" w:eastAsia="微软雅黑"/>
                <w:b w:val="0"/>
                <w:sz w:val="17"/>
              </w:rPr>
              <w:t>/api/v1/financial/agent/chat</w:t>
            </w:r>
          </w:p>
        </w:tc>
        <w:tc>
          <w:tcPr>
            <w:tcW w:type="dxa" w:w="1191"/>
            <w:vAlign w:val="center"/>
          </w:tcPr>
          <w:p>
            <w:pPr>
              <w:spacing w:after="0"/>
            </w:pPr>
            <w:r/>
            <w:r>
              <w:rPr>
                <w:rFonts w:ascii="微软雅黑" w:hAnsi="微软雅黑" w:eastAsia="微软雅黑"/>
                <w:b w:val="0"/>
                <w:sz w:val="17"/>
              </w:rPr>
              <w:t>POST</w:t>
            </w:r>
          </w:p>
        </w:tc>
        <w:tc>
          <w:tcPr>
            <w:tcW w:type="dxa" w:w="3005"/>
            <w:vAlign w:val="center"/>
          </w:tcPr>
          <w:p>
            <w:pPr>
              <w:spacing w:after="0"/>
            </w:pPr>
            <w:r/>
            <w:r>
              <w:rPr>
                <w:rFonts w:ascii="微软雅黑" w:hAnsi="微软雅黑" w:eastAsia="微软雅黑"/>
                <w:b w:val="0"/>
                <w:sz w:val="17"/>
              </w:rPr>
              <w:t>运行六节点金融智能体</w:t>
            </w:r>
          </w:p>
        </w:tc>
        <w:tc>
          <w:tcPr>
            <w:tcW w:type="dxa" w:w="1134"/>
            <w:vAlign w:val="center"/>
          </w:tcPr>
          <w:p>
            <w:pPr>
              <w:spacing w:after="0"/>
            </w:pPr>
            <w:r/>
            <w:r>
              <w:rPr>
                <w:rFonts w:ascii="微软雅黑" w:hAnsi="微软雅黑" w:eastAsia="微软雅黑"/>
                <w:b w:val="0"/>
                <w:sz w:val="17"/>
              </w:rPr>
              <w:t>JWT</w:t>
            </w:r>
          </w:p>
        </w:tc>
      </w:tr>
      <w:tr>
        <w:tc>
          <w:tcPr>
            <w:tcW w:type="dxa" w:w="3515"/>
            <w:shd w:fill="EEF5F3"/>
            <w:vAlign w:val="center"/>
          </w:tcPr>
          <w:p>
            <w:pPr>
              <w:spacing w:after="0"/>
            </w:pPr>
            <w:r/>
            <w:r>
              <w:rPr>
                <w:rFonts w:ascii="微软雅黑" w:hAnsi="微软雅黑" w:eastAsia="微软雅黑"/>
                <w:b w:val="0"/>
                <w:sz w:val="17"/>
              </w:rPr>
              <w:t>/api/v1/financial/health-score</w:t>
            </w:r>
          </w:p>
        </w:tc>
        <w:tc>
          <w:tcPr>
            <w:tcW w:type="dxa" w:w="1191"/>
            <w:shd w:fill="EEF5F3"/>
            <w:vAlign w:val="center"/>
          </w:tcPr>
          <w:p>
            <w:pPr>
              <w:spacing w:after="0"/>
            </w:pPr>
            <w:r/>
            <w:r>
              <w:rPr>
                <w:rFonts w:ascii="微软雅黑" w:hAnsi="微软雅黑" w:eastAsia="微软雅黑"/>
                <w:b w:val="0"/>
                <w:sz w:val="17"/>
              </w:rPr>
              <w:t>GET</w:t>
            </w:r>
          </w:p>
        </w:tc>
        <w:tc>
          <w:tcPr>
            <w:tcW w:type="dxa" w:w="3005"/>
            <w:shd w:fill="EEF5F3"/>
            <w:vAlign w:val="center"/>
          </w:tcPr>
          <w:p>
            <w:pPr>
              <w:spacing w:after="0"/>
            </w:pPr>
            <w:r/>
            <w:r>
              <w:rPr>
                <w:rFonts w:ascii="微软雅黑" w:hAnsi="微软雅黑" w:eastAsia="微软雅黑"/>
                <w:b w:val="0"/>
                <w:sz w:val="17"/>
              </w:rPr>
              <w:t>金融健康指数</w:t>
            </w:r>
          </w:p>
        </w:tc>
        <w:tc>
          <w:tcPr>
            <w:tcW w:type="dxa" w:w="1134"/>
            <w:shd w:fill="EEF5F3"/>
            <w:vAlign w:val="center"/>
          </w:tcPr>
          <w:p>
            <w:pPr>
              <w:spacing w:after="0"/>
            </w:pPr>
            <w:r/>
            <w:r>
              <w:rPr>
                <w:rFonts w:ascii="微软雅黑" w:hAnsi="微软雅黑" w:eastAsia="微软雅黑"/>
                <w:b w:val="0"/>
                <w:sz w:val="17"/>
              </w:rPr>
              <w:t>JWT</w:t>
            </w:r>
          </w:p>
        </w:tc>
      </w:tr>
      <w:tr>
        <w:tc>
          <w:tcPr>
            <w:tcW w:type="dxa" w:w="3515"/>
            <w:vAlign w:val="center"/>
          </w:tcPr>
          <w:p>
            <w:pPr>
              <w:spacing w:after="0"/>
            </w:pPr>
            <w:r/>
            <w:r>
              <w:rPr>
                <w:rFonts w:ascii="微软雅黑" w:hAnsi="微软雅黑" w:eastAsia="微软雅黑"/>
                <w:b w:val="0"/>
                <w:sz w:val="17"/>
              </w:rPr>
              <w:t>/api/v1/financial/family-summary</w:t>
            </w:r>
          </w:p>
        </w:tc>
        <w:tc>
          <w:tcPr>
            <w:tcW w:type="dxa" w:w="1191"/>
            <w:vAlign w:val="center"/>
          </w:tcPr>
          <w:p>
            <w:pPr>
              <w:spacing w:after="0"/>
            </w:pPr>
            <w:r/>
            <w:r>
              <w:rPr>
                <w:rFonts w:ascii="微软雅黑" w:hAnsi="微软雅黑" w:eastAsia="微软雅黑"/>
                <w:b w:val="0"/>
                <w:sz w:val="17"/>
              </w:rPr>
              <w:t>GET</w:t>
            </w:r>
          </w:p>
        </w:tc>
        <w:tc>
          <w:tcPr>
            <w:tcW w:type="dxa" w:w="3005"/>
            <w:vAlign w:val="center"/>
          </w:tcPr>
          <w:p>
            <w:pPr>
              <w:spacing w:after="0"/>
            </w:pPr>
            <w:r/>
            <w:r>
              <w:rPr>
                <w:rFonts w:ascii="微软雅黑" w:hAnsi="微软雅黑" w:eastAsia="微软雅黑"/>
                <w:b w:val="0"/>
                <w:sz w:val="17"/>
              </w:rPr>
              <w:t>家庭协同摘要</w:t>
            </w:r>
          </w:p>
        </w:tc>
        <w:tc>
          <w:tcPr>
            <w:tcW w:type="dxa" w:w="1134"/>
            <w:vAlign w:val="center"/>
          </w:tcPr>
          <w:p>
            <w:pPr>
              <w:spacing w:after="0"/>
            </w:pPr>
            <w:r/>
            <w:r>
              <w:rPr>
                <w:rFonts w:ascii="微软雅黑" w:hAnsi="微软雅黑" w:eastAsia="微软雅黑"/>
                <w:b w:val="0"/>
                <w:sz w:val="17"/>
              </w:rPr>
              <w:t>JWT</w:t>
            </w:r>
          </w:p>
        </w:tc>
      </w:tr>
      <w:tr>
        <w:tc>
          <w:tcPr>
            <w:tcW w:type="dxa" w:w="3515"/>
            <w:shd w:fill="EEF5F3"/>
            <w:vAlign w:val="center"/>
          </w:tcPr>
          <w:p>
            <w:pPr>
              <w:spacing w:after="0"/>
            </w:pPr>
            <w:r/>
            <w:r>
              <w:rPr>
                <w:rFonts w:ascii="微软雅黑" w:hAnsi="微软雅黑" w:eastAsia="微软雅黑"/>
                <w:b w:val="0"/>
                <w:sz w:val="17"/>
              </w:rPr>
              <w:t>/api/v1/fraud/detect/text</w:t>
            </w:r>
          </w:p>
        </w:tc>
        <w:tc>
          <w:tcPr>
            <w:tcW w:type="dxa" w:w="1191"/>
            <w:shd w:fill="EEF5F3"/>
            <w:vAlign w:val="center"/>
          </w:tcPr>
          <w:p>
            <w:pPr>
              <w:spacing w:after="0"/>
            </w:pPr>
            <w:r/>
            <w:r>
              <w:rPr>
                <w:rFonts w:ascii="微软雅黑" w:hAnsi="微软雅黑" w:eastAsia="微软雅黑"/>
                <w:b w:val="0"/>
                <w:sz w:val="17"/>
              </w:rPr>
              <w:t>POST</w:t>
            </w:r>
          </w:p>
        </w:tc>
        <w:tc>
          <w:tcPr>
            <w:tcW w:type="dxa" w:w="3005"/>
            <w:shd w:fill="EEF5F3"/>
            <w:vAlign w:val="center"/>
          </w:tcPr>
          <w:p>
            <w:pPr>
              <w:spacing w:after="0"/>
            </w:pPr>
            <w:r/>
            <w:r>
              <w:rPr>
                <w:rFonts w:ascii="微软雅黑" w:hAnsi="微软雅黑" w:eastAsia="微软雅黑"/>
                <w:b w:val="0"/>
                <w:sz w:val="17"/>
              </w:rPr>
              <w:t>文本诈骗检测</w:t>
            </w:r>
          </w:p>
        </w:tc>
        <w:tc>
          <w:tcPr>
            <w:tcW w:type="dxa" w:w="1134"/>
            <w:shd w:fill="EEF5F3"/>
            <w:vAlign w:val="center"/>
          </w:tcPr>
          <w:p>
            <w:pPr>
              <w:spacing w:after="0"/>
            </w:pPr>
            <w:r/>
            <w:r>
              <w:rPr>
                <w:rFonts w:ascii="微软雅黑" w:hAnsi="微软雅黑" w:eastAsia="微软雅黑"/>
                <w:b w:val="0"/>
                <w:sz w:val="17"/>
              </w:rPr>
              <w:t>JWT</w:t>
            </w:r>
          </w:p>
        </w:tc>
      </w:tr>
      <w:tr>
        <w:tc>
          <w:tcPr>
            <w:tcW w:type="dxa" w:w="3515"/>
            <w:vAlign w:val="center"/>
          </w:tcPr>
          <w:p>
            <w:pPr>
              <w:spacing w:after="0"/>
            </w:pPr>
            <w:r/>
            <w:r>
              <w:rPr>
                <w:rFonts w:ascii="微软雅黑" w:hAnsi="微软雅黑" w:eastAsia="微软雅黑"/>
                <w:b w:val="0"/>
                <w:sz w:val="17"/>
              </w:rPr>
              <w:t>/api/v1/fraud/detect/image</w:t>
            </w:r>
          </w:p>
        </w:tc>
        <w:tc>
          <w:tcPr>
            <w:tcW w:type="dxa" w:w="1191"/>
            <w:vAlign w:val="center"/>
          </w:tcPr>
          <w:p>
            <w:pPr>
              <w:spacing w:after="0"/>
            </w:pPr>
            <w:r/>
            <w:r>
              <w:rPr>
                <w:rFonts w:ascii="微软雅黑" w:hAnsi="微软雅黑" w:eastAsia="微软雅黑"/>
                <w:b w:val="0"/>
                <w:sz w:val="17"/>
              </w:rPr>
              <w:t>POST</w:t>
            </w:r>
          </w:p>
        </w:tc>
        <w:tc>
          <w:tcPr>
            <w:tcW w:type="dxa" w:w="3005"/>
            <w:vAlign w:val="center"/>
          </w:tcPr>
          <w:p>
            <w:pPr>
              <w:spacing w:after="0"/>
            </w:pPr>
            <w:r/>
            <w:r>
              <w:rPr>
                <w:rFonts w:ascii="微软雅黑" w:hAnsi="微软雅黑" w:eastAsia="微软雅黑"/>
                <w:b w:val="0"/>
                <w:sz w:val="17"/>
              </w:rPr>
              <w:t>OCR图片诈骗检测</w:t>
            </w:r>
          </w:p>
        </w:tc>
        <w:tc>
          <w:tcPr>
            <w:tcW w:type="dxa" w:w="1134"/>
            <w:vAlign w:val="center"/>
          </w:tcPr>
          <w:p>
            <w:pPr>
              <w:spacing w:after="0"/>
            </w:pPr>
            <w:r/>
            <w:r>
              <w:rPr>
                <w:rFonts w:ascii="微软雅黑" w:hAnsi="微软雅黑" w:eastAsia="微软雅黑"/>
                <w:b w:val="0"/>
                <w:sz w:val="17"/>
              </w:rPr>
              <w:t>JWT</w:t>
            </w:r>
          </w:p>
        </w:tc>
      </w:tr>
      <w:tr>
        <w:tc>
          <w:tcPr>
            <w:tcW w:type="dxa" w:w="3515"/>
            <w:shd w:fill="EEF5F3"/>
            <w:vAlign w:val="center"/>
          </w:tcPr>
          <w:p>
            <w:pPr>
              <w:spacing w:after="0"/>
            </w:pPr>
            <w:r/>
            <w:r>
              <w:rPr>
                <w:rFonts w:ascii="微软雅黑" w:hAnsi="微软雅黑" w:eastAsia="微软雅黑"/>
                <w:b w:val="0"/>
                <w:sz w:val="17"/>
              </w:rPr>
              <w:t>/api/v1/admin/knowledge/upload</w:t>
            </w:r>
          </w:p>
        </w:tc>
        <w:tc>
          <w:tcPr>
            <w:tcW w:type="dxa" w:w="1191"/>
            <w:shd w:fill="EEF5F3"/>
            <w:vAlign w:val="center"/>
          </w:tcPr>
          <w:p>
            <w:pPr>
              <w:spacing w:after="0"/>
            </w:pPr>
            <w:r/>
            <w:r>
              <w:rPr>
                <w:rFonts w:ascii="微软雅黑" w:hAnsi="微软雅黑" w:eastAsia="微软雅黑"/>
                <w:b w:val="0"/>
                <w:sz w:val="17"/>
              </w:rPr>
              <w:t>POST</w:t>
            </w:r>
          </w:p>
        </w:tc>
        <w:tc>
          <w:tcPr>
            <w:tcW w:type="dxa" w:w="3005"/>
            <w:shd w:fill="EEF5F3"/>
            <w:vAlign w:val="center"/>
          </w:tcPr>
          <w:p>
            <w:pPr>
              <w:spacing w:after="0"/>
            </w:pPr>
            <w:r/>
            <w:r>
              <w:rPr>
                <w:rFonts w:ascii="微软雅黑" w:hAnsi="微软雅黑" w:eastAsia="微软雅黑"/>
                <w:b w:val="0"/>
                <w:sz w:val="17"/>
              </w:rPr>
              <w:t>知识文档处理入库</w:t>
            </w:r>
          </w:p>
        </w:tc>
        <w:tc>
          <w:tcPr>
            <w:tcW w:type="dxa" w:w="1134"/>
            <w:shd w:fill="EEF5F3"/>
            <w:vAlign w:val="center"/>
          </w:tcPr>
          <w:p>
            <w:pPr>
              <w:spacing w:after="0"/>
            </w:pPr>
            <w:r/>
            <w:r>
              <w:rPr>
                <w:rFonts w:ascii="微软雅黑" w:hAnsi="微软雅黑" w:eastAsia="微软雅黑"/>
                <w:b w:val="0"/>
                <w:sz w:val="17"/>
              </w:rPr>
              <w:t>ADMIN</w:t>
            </w:r>
          </w:p>
        </w:tc>
      </w:tr>
      <w:tr>
        <w:tc>
          <w:tcPr>
            <w:tcW w:type="dxa" w:w="3515"/>
            <w:vAlign w:val="center"/>
          </w:tcPr>
          <w:p>
            <w:pPr>
              <w:spacing w:after="0"/>
            </w:pPr>
            <w:r/>
            <w:r>
              <w:rPr>
                <w:rFonts w:ascii="微软雅黑" w:hAnsi="微软雅黑" w:eastAsia="微软雅黑"/>
                <w:b w:val="0"/>
                <w:sz w:val="17"/>
              </w:rPr>
              <w:t>/api/v1/system/health</w:t>
            </w:r>
          </w:p>
        </w:tc>
        <w:tc>
          <w:tcPr>
            <w:tcW w:type="dxa" w:w="1191"/>
            <w:vAlign w:val="center"/>
          </w:tcPr>
          <w:p>
            <w:pPr>
              <w:spacing w:after="0"/>
            </w:pPr>
            <w:r/>
            <w:r>
              <w:rPr>
                <w:rFonts w:ascii="微软雅黑" w:hAnsi="微软雅黑" w:eastAsia="微软雅黑"/>
                <w:b w:val="0"/>
                <w:sz w:val="17"/>
              </w:rPr>
              <w:t>GET</w:t>
            </w:r>
          </w:p>
        </w:tc>
        <w:tc>
          <w:tcPr>
            <w:tcW w:type="dxa" w:w="3005"/>
            <w:vAlign w:val="center"/>
          </w:tcPr>
          <w:p>
            <w:pPr>
              <w:spacing w:after="0"/>
            </w:pPr>
            <w:r/>
            <w:r>
              <w:rPr>
                <w:rFonts w:ascii="微软雅黑" w:hAnsi="微软雅黑" w:eastAsia="微软雅黑"/>
                <w:b w:val="0"/>
                <w:sz w:val="17"/>
              </w:rPr>
              <w:t>系统依赖健康状态</w:t>
            </w:r>
          </w:p>
        </w:tc>
        <w:tc>
          <w:tcPr>
            <w:tcW w:type="dxa" w:w="1134"/>
            <w:vAlign w:val="center"/>
          </w:tcPr>
          <w:p>
            <w:pPr>
              <w:spacing w:after="0"/>
            </w:pPr>
            <w:r/>
            <w:r>
              <w:rPr>
                <w:rFonts w:ascii="微软雅黑" w:hAnsi="微软雅黑" w:eastAsia="微软雅黑"/>
                <w:b w:val="0"/>
                <w:sz w:val="17"/>
              </w:rPr>
              <w:t>公开</w:t>
            </w:r>
          </w:p>
        </w:tc>
      </w:tr>
    </w:tbl>
    <w:p/>
    <w:p>
      <w:pPr>
        <w:pStyle w:val="Heading1"/>
        <w:keepNext/>
      </w:pPr>
      <w:r>
        <w:t>附录C Demo说明</w:t>
      </w:r>
    </w:p>
    <w:p>
      <w:pPr>
        <w:spacing w:line="348" w:lineRule="auto" w:after="120"/>
        <w:ind w:firstLine="420"/>
      </w:pPr>
      <w:r>
        <w:rPr>
          <w:rFonts w:ascii="宋体" w:hAnsi="宋体" w:eastAsia="宋体"/>
          <w:b w:val="0"/>
          <w:sz w:val="22"/>
        </w:rPr>
        <w:t>比赛电脑需安装Java 21。进入yinling-demo交付目录，双击start-demo.bat，或执行：</w:t>
      </w:r>
    </w:p>
    <w:p>
      <w:r>
        <w:rPr>
          <w:rFonts w:ascii="Consolas" w:hAnsi="Consolas" w:eastAsia="Consolas"/>
          <w:b w:val="0"/>
          <w:color w:val="1F6B62"/>
          <w:sz w:val="20"/>
        </w:rPr>
        <w:t>java -jar yinling-backend.jar --spring.profiles.active=demo</w:t>
      </w:r>
    </w:p>
    <w:p>
      <w:pPr>
        <w:pStyle w:val="ListBullet"/>
        <w:spacing w:after="60"/>
        <w:ind w:left="454"/>
      </w:pPr>
      <w:r>
        <w:rPr>
          <w:rFonts w:ascii="宋体" w:hAnsi="宋体" w:eastAsia="宋体"/>
          <w:b w:val="0"/>
          <w:sz w:val="21"/>
        </w:rPr>
        <w:t>账号：admin；密码：123456。</w:t>
      </w:r>
    </w:p>
    <w:p>
      <w:pPr>
        <w:pStyle w:val="ListBullet"/>
        <w:spacing w:after="60"/>
        <w:ind w:left="454"/>
      </w:pPr>
      <w:r>
        <w:rPr>
          <w:rFonts w:ascii="宋体" w:hAnsi="宋体" w:eastAsia="宋体"/>
          <w:b w:val="0"/>
          <w:sz w:val="21"/>
        </w:rPr>
        <w:t>Swagger：http://localhost:8080/swagger-ui/index.html。</w:t>
      </w:r>
    </w:p>
    <w:p>
      <w:pPr>
        <w:pStyle w:val="ListBullet"/>
        <w:spacing w:after="60"/>
        <w:ind w:left="454"/>
      </w:pPr>
      <w:r>
        <w:rPr>
          <w:rFonts w:ascii="宋体" w:hAnsi="宋体" w:eastAsia="宋体"/>
          <w:b w:val="0"/>
          <w:sz w:val="21"/>
        </w:rPr>
        <w:t>健康检查：http://localhost:8080/api/v1/system/health。</w:t>
      </w:r>
    </w:p>
    <w:p>
      <w:pPr>
        <w:pStyle w:val="ListBullet"/>
        <w:spacing w:after="60"/>
        <w:ind w:left="454"/>
      </w:pPr>
      <w:r>
        <w:rPr>
          <w:rFonts w:ascii="宋体" w:hAnsi="宋体" w:eastAsia="宋体"/>
          <w:b w:val="0"/>
          <w:sz w:val="21"/>
        </w:rPr>
        <w:t>Demo不连接MySQL、Redis、PostgreSQL、MinIO或DeepSeek。</w:t>
      </w:r>
    </w:p>
    <w:p>
      <w:pPr>
        <w:pStyle w:val="Heading1"/>
        <w:keepNext/>
      </w:pPr>
      <w:r>
        <w:t>附录D 提交前证据清单</w:t>
      </w:r>
    </w:p>
    <w:p>
      <w:pPr>
        <w:pStyle w:val="ListBullet"/>
        <w:spacing w:after="60"/>
        <w:ind w:left="454"/>
      </w:pPr>
      <w:r>
        <w:rPr>
          <w:rFonts w:ascii="宋体" w:hAnsi="宋体" w:eastAsia="宋体"/>
          <w:b w:val="0"/>
          <w:sz w:val="21"/>
        </w:rPr>
        <w:t>补齐真实团队、学校、指导教师与联系方式，仅使用报名系统一致信息。</w:t>
      </w:r>
    </w:p>
    <w:p>
      <w:pPr>
        <w:pStyle w:val="ListBullet"/>
        <w:spacing w:after="60"/>
        <w:ind w:left="454"/>
      </w:pPr>
      <w:r>
        <w:rPr>
          <w:rFonts w:ascii="宋体" w:hAnsi="宋体" w:eastAsia="宋体"/>
          <w:b w:val="0"/>
          <w:sz w:val="21"/>
        </w:rPr>
        <w:t>保留mvn test与npm run build完整日志，记录通过/跳过数量和条件。</w:t>
      </w:r>
    </w:p>
    <w:p>
      <w:pPr>
        <w:pStyle w:val="ListBullet"/>
        <w:spacing w:after="60"/>
        <w:ind w:left="454"/>
      </w:pPr>
      <w:r>
        <w:rPr>
          <w:rFonts w:ascii="宋体" w:hAnsi="宋体" w:eastAsia="宋体"/>
          <w:b w:val="0"/>
          <w:sz w:val="21"/>
        </w:rPr>
        <w:t>在配置真实服务的环境中运行30题评估，禁止以Mock结果冒充真实指标。</w:t>
      </w:r>
    </w:p>
    <w:p>
      <w:pPr>
        <w:pStyle w:val="ListBullet"/>
        <w:spacing w:after="60"/>
        <w:ind w:left="454"/>
      </w:pPr>
      <w:r>
        <w:rPr>
          <w:rFonts w:ascii="宋体" w:hAnsi="宋体" w:eastAsia="宋体"/>
          <w:b w:val="0"/>
          <w:sz w:val="21"/>
        </w:rPr>
        <w:t>整理知识库来源、发布日期、版本、审核状态和下架机制。</w:t>
      </w:r>
    </w:p>
    <w:p>
      <w:pPr>
        <w:pStyle w:val="ListBullet"/>
        <w:spacing w:after="60"/>
        <w:ind w:left="454"/>
      </w:pPr>
      <w:r>
        <w:rPr>
          <w:rFonts w:ascii="宋体" w:hAnsi="宋体" w:eastAsia="宋体"/>
          <w:b w:val="0"/>
          <w:sz w:val="21"/>
        </w:rPr>
        <w:t>完成银龄用户、家庭成员和银行服务人员访谈及可用性测试，匿名归档原始证据。</w:t>
      </w:r>
    </w:p>
    <w:p>
      <w:pPr>
        <w:pStyle w:val="ListBullet"/>
        <w:spacing w:after="60"/>
        <w:ind w:left="454"/>
      </w:pPr>
      <w:r>
        <w:rPr>
          <w:rFonts w:ascii="宋体" w:hAnsi="宋体" w:eastAsia="宋体"/>
          <w:b w:val="0"/>
          <w:sz w:val="21"/>
        </w:rPr>
        <w:t>导出PDF后检查目录、页码、图表、字体、链接与文件大小，再于官方截止前上传。</w:t>
      </w:r>
    </w:p>
    <w:p>
      <w:pPr>
        <w:pStyle w:val="Heading1"/>
        <w:keepNext/>
      </w:pPr>
      <w:r>
        <w:t>参考资料</w:t>
      </w:r>
    </w:p>
    <w:p>
      <w:pPr>
        <w:spacing w:line="348" w:lineRule="auto" w:after="120"/>
        <w:ind w:firstLine="420"/>
      </w:pPr>
      <w:r>
        <w:rPr>
          <w:rFonts w:ascii="宋体" w:hAnsi="宋体" w:eastAsia="宋体"/>
          <w:b w:val="0"/>
          <w:sz w:val="22"/>
        </w:rPr>
        <w:t>[1] 第十七届“工行杯”全国大学生金融科技创新大赛公开赛事资料与赛事指引，检索日期：2026-09-20。</w:t>
      </w:r>
    </w:p>
    <w:p>
      <w:pPr>
        <w:spacing w:line="348" w:lineRule="auto" w:after="120"/>
        <w:ind w:firstLine="420"/>
      </w:pPr>
      <w:r>
        <w:rPr>
          <w:rFonts w:ascii="宋体" w:hAnsi="宋体" w:eastAsia="宋体"/>
          <w:b w:val="0"/>
          <w:sz w:val="22"/>
        </w:rPr>
        <w:t>[2] 中国工商银行“工行杯”往期优秀作品公开页面，检索日期：2026-09-20。</w:t>
      </w:r>
    </w:p>
    <w:p>
      <w:pPr>
        <w:spacing w:line="348" w:lineRule="auto" w:after="120"/>
        <w:ind w:firstLine="420"/>
      </w:pPr>
      <w:r>
        <w:rPr>
          <w:rFonts w:ascii="宋体" w:hAnsi="宋体" w:eastAsia="宋体"/>
          <w:b w:val="0"/>
          <w:sz w:val="22"/>
        </w:rPr>
        <w:t>[3] 忆路银龄项目仓库README、Sprint 1—12 API文档、数据库脚本与测试代码，版本：Git commit 8b7294b。</w:t>
      </w:r>
    </w:p>
    <w:p>
      <w:pPr>
        <w:spacing w:line="348" w:lineRule="auto" w:after="120"/>
        <w:ind w:firstLine="420"/>
      </w:pPr>
      <w:r>
        <w:rPr>
          <w:rFonts w:ascii="宋体" w:hAnsi="宋体" w:eastAsia="宋体"/>
          <w:b w:val="0"/>
          <w:sz w:val="22"/>
        </w:rPr>
        <w:t>[4] 《个人养老金实施办法》及个人养老金制度相关公开政策资料；正式知识库接入时记录发布机关、文号、日期与版本。</w:t>
      </w:r>
    </w:p>
    <w:p>
      <w:pPr>
        <w:spacing w:line="348" w:lineRule="auto" w:after="120"/>
        <w:ind w:firstLine="420"/>
      </w:pPr>
      <w:r>
        <w:rPr>
          <w:rFonts w:ascii="宋体" w:hAnsi="宋体" w:eastAsia="宋体"/>
          <w:b w:val="0"/>
          <w:sz w:val="22"/>
        </w:rPr>
        <w:t>[5] 《中华人民共和国个人信息保护法》《中华人民共和国数据安全法》《中华人民共和国网络安全法》。</w:t>
      </w:r>
    </w:p>
    <w:p>
      <w:pPr>
        <w:spacing w:line="348" w:lineRule="auto" w:after="120"/>
        <w:ind w:firstLine="420"/>
      </w:pPr>
      <w:r>
        <w:rPr>
          <w:rFonts w:ascii="宋体" w:hAnsi="宋体" w:eastAsia="宋体"/>
          <w:b w:val="0"/>
          <w:sz w:val="22"/>
        </w:rPr>
        <w:t>[6] DeepSeek、通义千问、PostgreSQL pgvector公开技术文档。</w:t>
      </w:r>
    </w:p>
    <w:p>
      <w:pPr>
        <w:spacing w:line="348" w:lineRule="auto" w:after="120"/>
        <w:ind w:firstLine="420"/>
      </w:pPr>
      <w:r>
        <w:rPr>
          <w:rFonts w:ascii="宋体" w:hAnsi="宋体" w:eastAsia="宋体"/>
          <w:b w:val="0"/>
          <w:sz w:val="22"/>
        </w:rPr>
        <w:t>[7] 项目研究材料：《“忆路银龄”工行杯项目书、PPT与五分钟答辩全套规划》，2026-09-20。</w:t>
      </w:r>
    </w:p>
    <w:p>
      <w:pPr>
        <w:spacing w:line="348" w:lineRule="auto" w:after="120"/>
        <w:ind w:firstLine="420"/>
      </w:pPr>
      <w:r>
        <w:rPr>
          <w:rFonts w:ascii="宋体" w:hAnsi="宋体" w:eastAsia="宋体"/>
          <w:b w:val="0"/>
          <w:sz w:val="22"/>
        </w:rPr>
        <w:t>说明：研究材料未保留部分赛事网页的完整URL。正式提交前，应依据报名页面和官方通知补齐可访问链接、发布日期与访问日期；如学校或赛区下发统一项目书模板，以该模板为准。</w:t>
      </w:r>
    </w:p>
    <w:sectPr w:rsidR="00FC693F" w:rsidRPr="0006063C" w:rsidSect="00034616">
      <w:headerReference w:type="default" r:id="rId9"/>
      <w:footerReference w:type="default" r:id="rId10"/>
      <w:pgSz w:w="12240" w:h="15840"/>
      <w:pgMar w:top="1247" w:right="1247"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46464"/>
        <w:sz w:val="16"/>
      </w:rPr>
      <w:t xml:space="preserve">本项目不执行真实交易，不构成投资建议，不承诺收益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b w:val="0"/>
        <w:color w:val="5A6E73"/>
        <w:sz w:val="16"/>
      </w:rPr>
      <w:t>忆路银龄｜养老金融赛道项目书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微软雅黑" w:hAnsi="微软雅黑" w:eastAsia="微软雅黑"/>
      <w:b/>
      <w:bCs/>
      <w:color w:val="183A43"/>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微软雅黑" w:hAnsi="微软雅黑" w:eastAsia="微软雅黑"/>
      <w:b/>
      <w:bCs/>
      <w:color w:val="1F6B62"/>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微软雅黑" w:hAnsi="微软雅黑" w:eastAsia="微软雅黑"/>
      <w:b/>
      <w:bCs/>
      <w:color w:val="A66A3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忆路银龄项目书</dc:title>
  <dc:subject>面向银行养老金融业务的智能决策与服务增强平台</dc:subject>
  <dc:creator>忆路银龄项目团队</dc:creator>
  <cp:keywords>养老金融, 多智能体, RAG, 银龄服务, 金融安全</cp:keywords>
  <dc:description>generated by python-docx</dc:description>
  <cp:lastModifiedBy/>
  <cp:revision>1</cp:revision>
  <dcterms:created xsi:type="dcterms:W3CDTF">2013-12-23T23:15:00Z</dcterms:created>
  <dcterms:modified xsi:type="dcterms:W3CDTF">2013-12-23T23:15:00Z</dcterms:modified>
  <cp:category/>
</cp:coreProperties>
</file>