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2A2A26"/>
          <w:sz w:val="76"/>
        </w:rPr>
        <w:t>PramaanCV</w:t>
      </w:r>
    </w:p>
    <w:p>
      <w:pPr>
        <w:pStyle w:val="Subtitle"/>
      </w:pPr>
      <w:r>
        <w:t>SIH26228 · Team briefing and presentation playbook</w:t>
      </w:r>
    </w:p>
    <w:p>
      <w:pPr>
        <w:pStyle w:val="Smallnote"/>
      </w:pPr>
      <w:r>
        <w:t>Internal selection: 10 September 2026  |  6-member team  |  5 presenters  |  9–10 minute presentation</w:t>
      </w:r>
    </w:p>
    <w:p>
      <w:pPr>
        <w:jc w:val="center"/>
      </w:pPr>
      <w:r>
        <w:drawing>
          <wp:inline xmlns:a="http://schemas.openxmlformats.org/drawingml/2006/main" xmlns:pic="http://schemas.openxmlformats.org/drawingml/2006/picture">
            <wp:extent cx="6355080" cy="3576633"/>
            <wp:docPr id="1" name="Picture 1"/>
            <wp:cNvGraphicFramePr>
              <a:graphicFrameLocks noChangeAspect="1"/>
            </wp:cNvGraphicFramePr>
            <a:graphic>
              <a:graphicData uri="http://schemas.openxmlformats.org/drawingml/2006/picture">
                <pic:pic>
                  <pic:nvPicPr>
                    <pic:cNvPr id="0" name="exec-fe4d7501-eacc-4d66-af97-36a079d47b2a.png"/>
                    <pic:cNvPicPr/>
                  </pic:nvPicPr>
                  <pic:blipFill>
                    <a:blip r:embed="rId9"/>
                    <a:stretch>
                      <a:fillRect/>
                    </a:stretch>
                  </pic:blipFill>
                  <pic:spPr>
                    <a:xfrm>
                      <a:off x="0" y="0"/>
                      <a:ext cx="6355080" cy="3576633"/>
                    </a:xfrm>
                    <a:prstGeom prst="rect"/>
                  </pic:spPr>
                </pic:pic>
              </a:graphicData>
            </a:graphic>
          </wp:inline>
        </w:drawing>
      </w:r>
    </w:p>
    <w:p>
      <w:r>
        <w:rPr>
          <w:b/>
        </w:rPr>
        <w:t>Purpose</w:t>
      </w:r>
      <w:r/>
    </w:p>
    <w:p>
      <w:r>
        <w:t>Take every member from zero context to a shared, technically defensible story, a working prototype demo and a national-stage build plan. Read Sections 1–6 before rehearsing. Use the script in Section 10 exactly for the first timed run, then make it sound natural.</w:t>
      </w:r>
    </w:p>
    <w:p>
      <w:pPr>
        <w:pStyle w:val="Smallnote"/>
      </w:pPr>
      <w:r>
        <w:t>Version 1.0 · Prepared 9 September 2026</w:t>
      </w:r>
    </w:p>
    <w:p>
      <w:r>
        <w:br w:type="page"/>
      </w:r>
    </w:p>
    <w:p>
      <w:pPr>
        <w:pStyle w:val="Heading1"/>
      </w:pPr>
      <w:r>
        <w:t>How to use this playbook tonight</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144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Time</w:t>
            </w:r>
          </w:p>
        </w:tc>
        <w:tc>
          <w:tcPr>
            <w:tcW w:type="dxa" w:w="669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Whole team</w:t>
            </w:r>
          </w:p>
        </w:tc>
        <w:tc>
          <w:tcPr>
            <w:tcW w:type="dxa" w:w="158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Owner</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0:00–0:25</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Read the one-page brief and problem story. Stop and resolve vocabulary gaps.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Member 1</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0:25–0:50</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Run the prototype once. Every member must create, tamper and verify a receipt.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Member 4</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0:50–1:20</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Read the architecture and benchmark plan. Challenge every unsupported claim.</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Members 2–3</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1:20–2:00</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Rehearse the 9:20 script with slide handoffs.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All</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2:00–2:25</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Run rapid-fire Q&amp;A. Answer directly before explaining.</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Member 6</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2:25–2:45</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Rehearse the live demo with Wi-Fi off and a fresh browser.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Member 4</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Tomorrow</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Complete two full timed rehearsals. Freeze slides and demo assets.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All</w:t>
            </w:r>
          </w:p>
        </w:tc>
      </w:tr>
    </w:tbl>
    <w:p>
      <w:pPr>
        <w:spacing w:after="0"/>
      </w:pPr>
    </w:p>
    <w:p>
      <w:pPr>
        <w:pStyle w:val="Heading2"/>
      </w:pPr>
      <w:r>
        <w:t>The team’s non-negotiable claims</w:t>
      </w:r>
    </w:p>
    <w:p>
      <w:pPr>
        <w:pStyle w:val="ListBullet"/>
        <w:spacing w:after="60"/>
      </w:pPr>
      <w:r>
        <w:t>PramaanCV is an offline assurance-case compiler for computer-vision data, models and inference records.</w:t>
      </w:r>
    </w:p>
    <w:p>
      <w:pPr>
        <w:pStyle w:val="ListBullet"/>
        <w:spacing w:after="60"/>
      </w:pPr>
      <w:r>
        <w:t>Its differentiator is evidence handoff across layers, not a promise to detect every attack.</w:t>
      </w:r>
    </w:p>
    <w:p>
      <w:pPr>
        <w:pStyle w:val="ListBullet"/>
        <w:spacing w:after="60"/>
      </w:pPr>
      <w:r>
        <w:t>The main benchmark is NIST TrojAI Round 13. COCO-O supplies natural distribution shift. We do not invent the primary benchmark dataset.</w:t>
      </w:r>
    </w:p>
    <w:p>
      <w:pPr>
        <w:pStyle w:val="ListBullet"/>
        <w:spacing w:after="60"/>
      </w:pPr>
      <w:r>
        <w:t>A valid cryptographic receipt makes alteration or replay detectable under a declared key and execution trust model. It does not prove that the model is benign.</w:t>
      </w:r>
    </w:p>
    <w:p>
      <w:pPr>
        <w:pStyle w:val="ListBullet"/>
        <w:spacing w:after="60"/>
      </w:pPr>
      <w:r>
        <w:t>INCONCLUSIVE is a correct result when access or evidence cannot support a claim.</w:t>
      </w:r>
    </w:p>
    <w:p>
      <w:pPr>
        <w:pStyle w:val="Heading2"/>
      </w:pPr>
      <w:r>
        <w:t>Words the team must never use</w:t>
      </w:r>
    </w:p>
    <w:tbl>
      <w:tblPr>
        <w:tblW w:type="auto" w:w="0"/>
        <w:jc w:val="center"/>
        <w:tblLayout w:type="fixed"/>
        <w:tblLook w:firstColumn="1" w:firstRow="1" w:lastColumn="0" w:lastRow="0" w:noHBand="0" w:noVBand="1" w:val="04A0"/>
      </w:tblPr>
      <w:tblGrid>
        <w:gridCol w:w="5026"/>
        <w:gridCol w:w="5026"/>
      </w:tblGrid>
      <w:tr>
        <w:trPr>
          <w:cantSplit/>
        </w:trPr>
        <w:tc>
          <w:tcPr>
            <w:tcW w:type="dxa" w:w="345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Avoid</w:t>
            </w:r>
          </w:p>
        </w:tc>
        <w:tc>
          <w:tcPr>
            <w:tcW w:type="dxa" w:w="626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Say instead</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“100% secure”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“Supported threats are listed; unsupported threats remain inconclusive.”</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“Detects every backdoor”</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“Evaluates declared attack families with access-aware methods.”</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“Blockchain makes it trusted”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“Signed, hash-chained records provide tamper evidence offline.”</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“C2PA compliant”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“The receipt borrows provenance principles; compliance has not been assessed.”</w:t>
            </w:r>
          </w:p>
        </w:tc>
      </w:tr>
      <w:tr>
        <w:trPr>
          <w:cantSplit/>
        </w:trP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“Our model achieved…” before measurement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“Our evaluation target is…; we will report the measured result.”</w:t>
            </w:r>
          </w:p>
        </w:tc>
      </w:tr>
    </w:tbl>
    <w:p>
      <w:pPr>
        <w:spacing w:after="0"/>
      </w:pPr>
    </w:p>
    <w:p>
      <w:r>
        <w:br w:type="page"/>
      </w:r>
    </w:p>
    <w:p>
      <w:pPr>
        <w:pStyle w:val="Heading1"/>
      </w:pPr>
      <w:r>
        <w:t>1. The problem in plain language</w:t>
      </w:r>
    </w:p>
    <w:p>
      <w:r>
        <w:t>A computer-vision system can look accurate while its chain of trust is broken. Images may arrive from many contributors. Some labels can be wrong, samples can be duplicated to dominate training, or a small trigger can be inserted. A vendor model can be replaced or carry hidden behaviour. An output can later be altered or replayed unless it is bound to the exact input, model and configuration that produced it.</w:t>
      </w:r>
    </w:p>
    <w:p>
      <w:r>
        <w:t>The analyst therefore faces a different question from “What is the model’s mAP?” The real question is: “What evidence supports trusting this data, this model and this exact inference record for this use?”</w:t>
      </w:r>
    </w:p>
    <w:p>
      <w:pPr>
        <w:pStyle w:val="Heading2"/>
      </w:pPr>
      <w:r>
        <w:t>A concrete story everyone can explain</w:t>
      </w:r>
    </w:p>
    <w:p>
      <w:pPr>
        <w:pStyle w:val="ListNumber"/>
        <w:spacing w:after="60"/>
      </w:pPr>
      <w:r>
        <w:t>Contributor C-07 supplies a batch containing repeated images with the same small patch.</w:t>
      </w:r>
    </w:p>
    <w:p>
      <w:pPr>
        <w:pStyle w:val="ListNumber"/>
        <w:spacing w:after="60"/>
      </w:pPr>
      <w:r>
        <w:t>Routine clean validation looks normal because the hidden behaviour needs the patch.</w:t>
      </w:r>
    </w:p>
    <w:p>
      <w:pPr>
        <w:pStyle w:val="ListNumber"/>
        <w:spacing w:after="60"/>
      </w:pPr>
      <w:r>
        <w:t>When the patch appears, the detector suppresses or changes one target class.</w:t>
      </w:r>
    </w:p>
    <w:p>
      <w:pPr>
        <w:pStyle w:val="ListNumber"/>
        <w:spacing w:after="60"/>
      </w:pPr>
      <w:r>
        <w:t>An inference record is later copied or altered, but the current system cannot prove which input, weights and preprocessing produced it.</w:t>
      </w:r>
    </w:p>
    <w:p>
      <w:pPr>
        <w:pStyle w:val="ListNumber"/>
        <w:spacing w:after="60"/>
      </w:pPr>
      <w:r>
        <w:t>An analyst receives a confident output without a defensible reason to accept or quarantine the asset.</w:t>
      </w:r>
    </w:p>
    <w:p>
      <w:r>
        <w:t>PramaanCV’s job is to preserve the complete evidence trail and make the recommended action reviewable.</w:t>
      </w:r>
    </w:p>
    <w:p>
      <w:pPr>
        <w:pStyle w:val="Heading2"/>
      </w:pPr>
      <w:r>
        <w:t>The five questions in SIH26228</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165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Layer</w:t>
            </w:r>
          </w:p>
        </w:tc>
        <w:tc>
          <w:tcPr>
            <w:tcW w:type="dxa" w:w="324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Question</w:t>
            </w:r>
          </w:p>
        </w:tc>
        <w:tc>
          <w:tcPr>
            <w:tcW w:type="dxa" w:w="482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Expected evidence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Training data</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Which samples or contributors are suspicious?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Label, box, duplicate, OOD and trigger evidence aggregated by source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Model</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Does the supplied model exhibit anomalous behaviour?</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File identity, access mode, reference-battery results, parameters/activations when available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Inference record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Can alteration, substitution or replay be detected?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Input/model/config/output digests, signature, nonce, sequence and previous-record hash</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Distribution shift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Did acquisition conditions move away from the reference?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Shift type, calibrated confidence and operational-versus-malicious interpretation only when supported</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Analyst governance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should happen next?</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Reason, evidence, confidence, affected asset, disposition and audit trail</w:t>
            </w:r>
          </w:p>
        </w:tc>
      </w:tr>
    </w:tbl>
    <w:p>
      <w:pPr>
        <w:spacing w:after="0"/>
      </w:pPr>
    </w:p>
    <w:p>
      <w:r>
        <w:br w:type="page"/>
      </w:r>
    </w:p>
    <w:p>
      <w:pPr>
        <w:pStyle w:val="Heading1"/>
      </w:pPr>
      <w:r>
        <w:t>2. Evidence that validates the problem</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338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Evidence</w:t>
            </w:r>
          </w:p>
        </w:tc>
        <w:tc>
          <w:tcPr>
            <w:tcW w:type="dxa" w:w="525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What it tells us</w:t>
            </w:r>
          </w:p>
        </w:tc>
        <w:tc>
          <w:tcPr>
            <w:tcW w:type="dxa" w:w="108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Source</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NIST had released more than 14,000 AI models for public Trojan-detection research by its February 2025 update.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This is an established research and evaluation problem, not a hypothetical student use case.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[S2]</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NIST Round 13 has 128 train, 192 test and 192 holdout object-detection models using SSD, Faster R-CNN and DETR.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There is a reproducible, architecture-diverse benchmark with clean and poisoned ground truth.</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[S3]</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Round 13 covers misclassification, evasion, localisation and injection, including conditional and spurious triggers.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 detector must handle different effects and clean controls, not just find a visible patch.</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[S3]</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IARPA final report says only one Round 13 team produced detectors meeting the threshold; its 10 detectors averaged 0.898 ROC-AUC.</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State-of-the-art detection remains difficult even in a structured benchmark.</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[S4]</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COCO-O has 6,782 real images in six domains and produced a 55.7% relative drop for a Faster R-CNN detector.</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Natural shift alone can resemble a security failure and must be characterised separately.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[S5]</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AISTATS 2024 proves universal adversary-unaware backdoor detection impossible except for very small alphabets.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product must be threat-aware and honest about unsupported cases.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[S7]</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PyTorch warns that running untrusted models is equivalent to running untrusted code.</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Model intake needs isolation and safe handling before deeper inspection.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[S10]</w:t>
            </w:r>
          </w:p>
        </w:tc>
      </w:tr>
    </w:tbl>
    <w:p>
      <w:pPr>
        <w:spacing w:after="0"/>
      </w:pPr>
    </w:p>
    <w:p>
      <w:pPr>
        <w:pStyle w:val="Heading2"/>
      </w:pPr>
      <w:r>
        <w:t>The current operational gaps</w:t>
      </w:r>
    </w:p>
    <w:p>
      <w:pPr>
        <w:pStyle w:val="ListBullet"/>
        <w:spacing w:after="60"/>
      </w:pPr>
      <w:r>
        <w:t>Data-quality tools prioritise annotation review but do not prove model or inference integrity.</w:t>
      </w:r>
    </w:p>
    <w:p>
      <w:pPr>
        <w:pStyle w:val="ListBullet"/>
        <w:spacing w:after="60"/>
      </w:pPr>
      <w:r>
        <w:t>Backdoor benchmarks evaluate model detectors but usually do not aggregate contributor behaviour or protect inference records.</w:t>
      </w:r>
    </w:p>
    <w:p>
      <w:pPr>
        <w:pStyle w:val="ListBullet"/>
        <w:spacing w:after="60"/>
      </w:pPr>
      <w:r>
        <w:t>Provenance standards bind artifacts and assertions but do not decide whether the underlying claim is true or safe.</w:t>
      </w:r>
    </w:p>
    <w:p>
      <w:pPr>
        <w:pStyle w:val="ListBullet"/>
        <w:spacing w:after="60"/>
      </w:pPr>
      <w:r>
        <w:t>Drift detection can report distribution change, but it cannot automatically label every change as malicious.</w:t>
      </w:r>
    </w:p>
    <w:p>
      <w:pPr>
        <w:pStyle w:val="ListBullet"/>
        <w:spacing w:after="60"/>
      </w:pPr>
      <w:r>
        <w:t>Analysts must join separate alerts manually, which loses context, confidence calibration and auditability.</w:t>
      </w:r>
    </w:p>
    <w:p>
      <w:pPr>
        <w:pStyle w:val="Heading2"/>
      </w:pPr>
      <w:r>
        <w:t>Why the problem statement is well designed</w:t>
      </w:r>
    </w:p>
    <w:p>
      <w:r>
        <w:t>SIH26228 explicitly asks for access assumptions, limitations, offline operation and unsupported attack classes. That prevents a shallow “AI security score” and rewards a system that compiles evidence into a defensible assurance case.</w:t>
      </w:r>
    </w:p>
    <w:p>
      <w:r>
        <w:br w:type="page"/>
      </w:r>
    </w:p>
    <w:p>
      <w:pPr>
        <w:pStyle w:val="Heading1"/>
      </w:pPr>
      <w:r>
        <w:t>3. The solution: PramaanCV</w:t>
      </w:r>
    </w:p>
    <w:p>
      <w:r>
        <w:t>PramaanCV sits before deployment as an offline release gate. It ingests contributed data, a supplied model and inference records. Sandboxed analysers produce typed evidence. An evidence graph links related findings. A policy engine returns ACCEPT, REVIEW, QUARANTINE or INCONCLUSIVE, along with the reasons and limitations.</w:t>
      </w:r>
    </w:p>
    <w:p>
      <w:pPr>
        <w:pStyle w:val="Heading2"/>
      </w:pPr>
      <w:r>
        <w:t>The architecture</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194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Stage</w:t>
            </w:r>
          </w:p>
        </w:tc>
        <w:tc>
          <w:tcPr>
            <w:tcW w:type="dxa" w:w="6048"/>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What happens</w:t>
            </w:r>
          </w:p>
        </w:tc>
        <w:tc>
          <w:tcPr>
            <w:tcW w:type="dxa" w:w="187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Output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 Untrusted intake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Normalise COCO/YOLO manifests and identify ONNX, PyTorch or TorchScript model assets. Compute immutable digests.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Asset inventory and access declaration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2. Sandboxed analysers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Run schema/label/duplicate checks, behavioural batteries, shift measurements and permitted white-box tests.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Typed findings with method, severity and confidence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3. Evidence graph</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Connect contributors, samples, triggers, model behaviour, receipts and affected outputs.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An assurance case that shows corroboration and conflict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4. Analyst gate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Apply transparent policy rules and preserve the human disposition.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Accept, review, quarantine or inconclusive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5. Audit ledger</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Sign canonical receipts and chain them by sequence, nonce and previous-record hash.</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Tamper-evident reproducible history</w:t>
            </w:r>
          </w:p>
        </w:tc>
      </w:tr>
    </w:tbl>
    <w:p>
      <w:pPr>
        <w:spacing w:after="0"/>
      </w:pPr>
    </w:p>
    <w:p>
      <w:pPr>
        <w:pStyle w:val="Heading2"/>
      </w:pPr>
      <w:r>
        <w:t>Trusted roots</w:t>
      </w:r>
    </w:p>
    <w:p>
      <w:pPr>
        <w:pStyle w:val="ListBullet"/>
        <w:spacing w:after="60"/>
      </w:pPr>
      <w:r>
        <w:t>Signed baseline manifest: identifies approved models, configurations and reference batteries.</w:t>
      </w:r>
    </w:p>
    <w:p>
      <w:pPr>
        <w:pStyle w:val="ListBullet"/>
        <w:spacing w:after="60"/>
      </w:pPr>
      <w:r>
        <w:t>Public-key store: verifies who signed a protected inference receipt.</w:t>
      </w:r>
    </w:p>
    <w:p>
      <w:pPr>
        <w:pStyle w:val="ListBullet"/>
        <w:spacing w:after="60"/>
      </w:pPr>
      <w:r>
        <w:t>Versioned reference battery: records which queries and expected behaviours support a model assessment.</w:t>
      </w:r>
    </w:p>
    <w:p>
      <w:pPr>
        <w:pStyle w:val="Heading2"/>
      </w:pPr>
      <w:r>
        <w:t>Access-aware behaviour</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165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Access</w:t>
            </w:r>
          </w:p>
        </w:tc>
        <w:tc>
          <w:tcPr>
            <w:tcW w:type="dxa" w:w="511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Available checks</w:t>
            </w:r>
          </w:p>
        </w:tc>
        <w:tc>
          <w:tcPr>
            <w:tcW w:type="dxa" w:w="309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Required wording</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White-box</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Weight digest, parameter and activation statistics, behavioural tests, conditional trigger search.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“Supported under this framework and model access.”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Black-box</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Output behavioural battery, consistency checks, limited trigger search and receipt verification.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“Coverage depends on the query set; internal behaviour was not inspected.”</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No executable runtime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File identity, provenance and declared metadata only.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“Model behaviour assessment unavailable.”</w:t>
            </w:r>
          </w:p>
        </w:tc>
      </w:tr>
    </w:tbl>
    <w:p>
      <w:pPr>
        <w:spacing w:after="0"/>
      </w:pPr>
    </w:p>
    <w:p>
      <w:r>
        <w:br w:type="page"/>
      </w:r>
    </w:p>
    <w:p>
      <w:pPr>
        <w:pStyle w:val="Heading1"/>
      </w:pPr>
      <w:r>
        <w:t>4. The innovation that must win the room</w:t>
      </w:r>
    </w:p>
    <w:p>
      <w:pPr>
        <w:pStyle w:val="Heading2"/>
      </w:pPr>
      <w:r>
        <w:t>Evidence handoff</w:t>
      </w:r>
    </w:p>
    <w:p>
      <w:r>
        <w:t>Most tools emit independent alerts. PramaanCV lets one layer decide the most informative test in the next layer. A repeated patch cluster in one contributor’s data becomes a concrete hypothesis for the model battery. If triggered behaviour correlates with the same class and patch condition, the assurance case gains strength. The signed inference receipt then preserves which model and configuration produced each protected output.</w:t>
      </w:r>
    </w:p>
    <w:p>
      <w:pPr>
        <w:pStyle w:val="Heading2"/>
      </w:pPr>
      <w:r>
        <w:t>A testable innovation hypothesis</w:t>
      </w:r>
    </w:p>
    <w:p>
      <w:r>
        <w:t>Cross-layer evidence will improve attack detection or reduce analyst review time at the same clean false-positive rate compared with isolated detectors. This is the claim to measure. If results do not support it, narrow the claim and retain only the components that earn evidence.</w:t>
      </w:r>
    </w:p>
    <w:p>
      <w:pPr>
        <w:pStyle w:val="Heading2"/>
      </w:pPr>
      <w:r>
        <w:t>Why this is different</w:t>
      </w:r>
    </w:p>
    <w:tbl>
      <w:tblPr>
        <w:tblW w:type="auto" w:w="0"/>
        <w:jc w:val="center"/>
        <w:tblLayout w:type="fixed"/>
        <w:tblLook w:firstColumn="1" w:firstRow="1" w:lastColumn="0" w:lastRow="0" w:noHBand="0" w:noVBand="1" w:val="04A0"/>
      </w:tblPr>
      <w:tblGrid>
        <w:gridCol w:w="5026"/>
        <w:gridCol w:w="5026"/>
      </w:tblGrid>
      <w:tr>
        <w:trPr>
          <w:cantSplit/>
        </w:trPr>
        <w:tc>
          <w:tcPr>
            <w:tcW w:type="dxa" w:w="453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Conventional approach</w:t>
            </w:r>
          </w:p>
        </w:tc>
        <w:tc>
          <w:tcPr>
            <w:tcW w:type="dxa" w:w="518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PramaanCV</w:t>
            </w:r>
          </w:p>
        </w:tc>
      </w:tr>
      <w:tr>
        <w:trPr>
          <w:cantSplit/>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One anomaly score per tool</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Typed evidence linked to assets, contributors and downstream records</w:t>
            </w:r>
          </w:p>
        </w:tc>
      </w:tr>
      <w:tr>
        <w:trPr>
          <w:cantSplit/>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Every warning looks equally important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Corroboration, conflict and limitations remain visible</w:t>
            </w:r>
          </w:p>
        </w:tc>
      </w:tr>
      <w:tr>
        <w:trPr>
          <w:cantSplit/>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Static one-size detector</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Analyser selection follows threat hypothesis and access mode</w:t>
            </w:r>
          </w:p>
        </w:tc>
      </w:tr>
      <w:tr>
        <w:trPr>
          <w:cantSplit/>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Binary safe/unsafe language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Accept, review, quarantine and inconclusive</w:t>
            </w:r>
          </w:p>
        </w:tc>
      </w:tr>
      <w:tr>
        <w:trPr>
          <w:cantSplit/>
        </w:trPr>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Logs that describe actions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Signed receipts that bind the exact input, model, configuration and output</w:t>
            </w:r>
          </w:p>
        </w:tc>
      </w:tr>
    </w:tbl>
    <w:p>
      <w:pPr>
        <w:spacing w:after="0"/>
      </w:pPr>
    </w:p>
    <w:p>
      <w:pPr>
        <w:pStyle w:val="Heading2"/>
      </w:pPr>
      <w:r>
        <w:t>Why no blockchain is required for the core</w:t>
      </w:r>
    </w:p>
    <w:p>
      <w:r>
        <w:t>The system needs tamper evidence inside an air-gapped environment. A signed append-only hash chain provides that property with lower operational complexity. A distributed ledger can be added only when multiple mutually distrustful organisations must reach shared consensus. The SIH theme does not force blockchain into the architecture.</w:t>
      </w:r>
    </w:p>
    <w:p>
      <w:r>
        <w:br w:type="page"/>
      </w:r>
    </w:p>
    <w:p>
      <w:pPr>
        <w:pStyle w:val="Heading1"/>
      </w:pPr>
      <w:r>
        <w:t>5. Benchmark and data plan</w:t>
      </w:r>
    </w:p>
    <w:p>
      <w:pPr>
        <w:pStyle w:val="Heading2"/>
      </w:pPr>
      <w:r>
        <w:t>There is no universal dataset for all five capabilities</w:t>
      </w:r>
    </w:p>
    <w:p>
      <w:r>
        <w:t>Model backdoors, label quality, natural drift and cryptographic replay are different evaluation problems. The correct choice is a benchmark suite with a separate source for each claim, while keeping one primary benchmark for the project story.</w:t>
      </w:r>
    </w:p>
    <w:tbl>
      <w:tblPr>
        <w:tblW w:type="auto" w:w="0"/>
        <w:jc w:val="center"/>
        <w:tblLayout w:type="fixed"/>
        <w:tblLook w:firstColumn="1" w:firstRow="1" w:lastColumn="0" w:lastRow="0" w:noHBand="0" w:noVBand="1" w:val="04A0"/>
      </w:tblPr>
      <w:tblGrid>
        <w:gridCol w:w="2513"/>
        <w:gridCol w:w="2513"/>
        <w:gridCol w:w="2513"/>
        <w:gridCol w:w="2513"/>
      </w:tblGrid>
      <w:tr>
        <w:trPr>
          <w:cantSplit/>
        </w:trPr>
        <w:tc>
          <w:tcPr>
            <w:tcW w:type="dxa" w:w="194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Benchmark</w:t>
            </w:r>
          </w:p>
        </w:tc>
        <w:tc>
          <w:tcPr>
            <w:tcW w:type="dxa" w:w="259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Use in PramaanCV</w:t>
            </w:r>
          </w:p>
        </w:tc>
        <w:tc>
          <w:tcPr>
            <w:tcW w:type="dxa" w:w="381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Exact facts</w:t>
            </w:r>
          </w:p>
        </w:tc>
        <w:tc>
          <w:tcPr>
            <w:tcW w:type="dxa" w:w="165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Do not claim</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NIST TrojAI Round 13</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Primary clean/poisoned object-detection benchmark</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128 train, 192 test, 192 holdout; SSD, Faster R-CNN, DETR; four broad trigger effects; spurious clean triggers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Performance until our code measures it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NIST TrojAI Round 10</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Smaller fallback and COCO-based rehearsal</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144 models in each split; SSD and Faster R-CNN; COCO source data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That it replaces Round 13 national evaluation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COCO-O</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Natural distribution-shift calibration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6,782 real images; 80 COCO classes; six domains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That every shift is malicious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COCO 2017 + ObjectLab method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Clean controls and label/box quality checks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COCO-format evaluation; ObjectLab targets overlooked, badly located and incorrect-class boxes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That COCO supplies poison ground truth</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Receipt attack harness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Alteration, substitution and replay tests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Deterministic transformations of protected records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That this is a replacement ML dataset</w:t>
            </w:r>
          </w:p>
        </w:tc>
      </w:tr>
    </w:tbl>
    <w:p>
      <w:pPr>
        <w:spacing w:after="0"/>
      </w:pPr>
    </w:p>
    <w:p>
      <w:pPr>
        <w:pStyle w:val="Heading2"/>
      </w:pPr>
      <w:r>
        <w:t>Round 13 split discipline</w:t>
      </w:r>
    </w:p>
    <w:p>
      <w:pPr>
        <w:pStyle w:val="ListBullet"/>
        <w:spacing w:after="60"/>
      </w:pPr>
      <w:r>
        <w:t>Develop on the public training models and freeze detector thresholds before the holdout.</w:t>
      </w:r>
    </w:p>
    <w:p>
      <w:pPr>
        <w:pStyle w:val="ListBullet"/>
        <w:spacing w:after="60"/>
      </w:pPr>
      <w:r>
        <w:t>Use clean and poisoned ground truth for evaluation, but do not leak the answer into features.</w:t>
      </w:r>
    </w:p>
    <w:p>
      <w:pPr>
        <w:pStyle w:val="ListBullet"/>
        <w:spacing w:after="60"/>
      </w:pPr>
      <w:r>
        <w:t>Report metrics by architecture, source domain and attack family, not only one average.</w:t>
      </w:r>
    </w:p>
    <w:p>
      <w:pPr>
        <w:pStyle w:val="ListBullet"/>
        <w:spacing w:after="60"/>
      </w:pPr>
      <w:r>
        <w:t>Keep a clean-control path with spurious triggers so trigger presence alone does not cause quarantine.</w:t>
      </w:r>
    </w:p>
    <w:p>
      <w:pPr>
        <w:pStyle w:val="ListBullet"/>
        <w:spacing w:after="60"/>
      </w:pPr>
      <w:r>
        <w:t>Do not commit benchmark binaries to Git. Record source URL, licence, checksum and local path in a manifest.</w:t>
      </w:r>
    </w:p>
    <w:p>
      <w:r>
        <w:br w:type="page"/>
      </w:r>
    </w:p>
    <w:p>
      <w:pPr>
        <w:pStyle w:val="Heading2"/>
      </w:pPr>
      <w:r>
        <w:t>Metrics that decide whether the idea survives</w:t>
      </w:r>
    </w:p>
    <w:tbl>
      <w:tblPr>
        <w:tblW w:type="auto" w:w="0"/>
        <w:jc w:val="center"/>
        <w:tblLayout w:type="fixed"/>
        <w:tblLook w:firstColumn="1" w:firstRow="1" w:lastColumn="0" w:lastRow="0" w:noHBand="0" w:noVBand="1" w:val="04A0"/>
      </w:tblPr>
      <w:tblGrid>
        <w:gridCol w:w="5026"/>
        <w:gridCol w:w="5026"/>
      </w:tblGrid>
      <w:tr>
        <w:trPr>
          <w:cantSplit/>
        </w:trPr>
        <w:tc>
          <w:tcPr>
            <w:tcW w:type="dxa" w:w="223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Capability</w:t>
            </w:r>
          </w:p>
        </w:tc>
        <w:tc>
          <w:tcPr>
            <w:tcW w:type="dxa" w:w="756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Primary metrics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Model integrity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TPR at fixed 1% and 5% FPR; AUROC; AUPRC; results by attack family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Data and contributors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Label-issue precision/recall; duplicate precision; contributor ranking recall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Distribution shift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Detection AUROC; calibration error; clean false alarms by domain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Provenance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100% detection for defined tamper and replay transformations; verification latency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Analyst utility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Review time, agreement, evidence opened per case and disposition reversals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System</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CPU time, peak RAM and storage per 1,000 images and per model</w:t>
            </w:r>
          </w:p>
        </w:tc>
      </w:tr>
    </w:tbl>
    <w:p>
      <w:pPr>
        <w:spacing w:after="0"/>
      </w:pPr>
    </w:p>
    <w:p>
      <w:r>
        <w:br w:type="page"/>
      </w:r>
    </w:p>
    <w:p>
      <w:pPr>
        <w:pStyle w:val="Heading1"/>
      </w:pPr>
      <w:r>
        <w:t>6. What the prototype does now</w:t>
      </w:r>
    </w:p>
    <w:p>
      <w:r>
        <w:t>Repository: https://github.com/labishbardiya/pramaan</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1728"/>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Capability</w:t>
            </w:r>
          </w:p>
        </w:tc>
        <w:tc>
          <w:tcPr>
            <w:tcW w:type="dxa" w:w="432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Current implementation</w:t>
            </w:r>
          </w:p>
        </w:tc>
        <w:tc>
          <w:tcPr>
            <w:tcW w:type="dxa" w:w="381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National benchmark gate</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COCO intake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Parses a COCO manifest; detects schema errors, unknown categories, invalid/out-of-bounds boxes, orphan annotations and duplicate annotations; aggregates by contributor/source.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Add image perceptual duplicates, ObjectLab scoring and trigger-cluster evidence on official data.</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Model battery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Imports declared clean/triggered output summaries and detects evasion, injection/misclassification and localisation deltas.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Run the battery directly against selected NIST Round 13 clean and poisoned models.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Provenance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Hashes input/model/preprocessing/output; signs canonical JSON with Ed25519; records nonce, sequence and previous-record hash.</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Protect keys, verify complete ledger chains and bind approved execution environments.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Analyst gate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Compiles data, model and receipt findings into four dispositions with confidence and limitations.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Add policy profiles, evidence graph navigation and analyst-study measurement.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Offline UI</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Dependency-free Node server on 127.0.0.1 with responsive browser interface.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Package dependencies and benchmark assets for air-gapped installation.</w:t>
            </w:r>
          </w:p>
        </w:tc>
      </w:tr>
    </w:tbl>
    <w:p>
      <w:pPr>
        <w:spacing w:after="0"/>
      </w:pPr>
    </w:p>
    <w:p>
      <w:pPr>
        <w:pStyle w:val="Heading2"/>
      </w:pPr>
      <w:r>
        <w:t>Run it</w:t>
      </w:r>
    </w:p>
    <w:p>
      <w:r>
        <w:t>git clone https://github.com/labishbardiya/pramaan.git</w:t>
      </w:r>
    </w:p>
    <w:p>
      <w:r>
        <w:t>cd pramaan &amp;&amp; npm test &amp;&amp; npm start</w:t>
      </w:r>
    </w:p>
    <w:p>
      <w:r>
        <w:t>Open http://127.0.0.1:8787. The application binds only to the local loopback interface.</w:t>
      </w:r>
    </w:p>
    <w:p>
      <w:r>
        <w:br w:type="page"/>
      </w:r>
    </w:p>
    <w:p>
      <w:pPr>
        <w:pStyle w:val="Heading2"/>
      </w:pPr>
      <w:r>
        <w:t>The 90-second live demo</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129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Time</w:t>
            </w:r>
          </w:p>
        </w:tc>
        <w:tc>
          <w:tcPr>
            <w:tcW w:type="dxa" w:w="360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Action</w:t>
            </w:r>
          </w:p>
        </w:tc>
        <w:tc>
          <w:tcPr>
            <w:tcW w:type="dxa" w:w="4968"/>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What to say</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0:00–0:15</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Open the Receipt tab. Select a local image and a model file.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“Both assets remain local. PramaanCV will bind their exact bytes to the result.”</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0:15–0:30</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Click Sign receipt.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receipt now contains input and model digests, configuration, output digest, nonce, sequence and previous-record hash.”</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0:30–0:48</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Click Tamper output digest.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“We changed one protected field. Signature verification fails immediately.”</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0:48–1:03</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Click Replay record.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 valid old signature still fails the freshness policy because the nonce or sequence is reused.”</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1:03–1:20</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Open Evidence and click Compile decision.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“The analyst sees QUARANTINE, the exact reason and the limitation.”</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1:20–1:30</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Open Accepted benchmark suite.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same interface is wired to NIST Round 13 and COCO-O as our proof gates.”</w:t>
            </w:r>
          </w:p>
        </w:tc>
      </w:tr>
    </w:tbl>
    <w:p>
      <w:pPr>
        <w:spacing w:after="0"/>
      </w:pPr>
    </w:p>
    <w:p>
      <w:pPr>
        <w:pStyle w:val="Heading2"/>
      </w:pPr>
      <w:r>
        <w:t>Demo honesty</w:t>
      </w:r>
    </w:p>
    <w:p>
      <w:r>
        <w:t>The receipt and tamper/replay checks run live. The current behavioural battery evaluates imported detector outputs. Do not claim that the browser has already executed all 128 NIST training models. Say that direct NIST execution is the next benchmark gate and show the repository contract.</w:t>
      </w:r>
    </w:p>
    <w:p>
      <w:r>
        <w:br w:type="page"/>
      </w:r>
    </w:p>
    <w:p>
      <w:pPr>
        <w:pStyle w:val="Heading1"/>
      </w:pPr>
      <w:r>
        <w:t>7. Prototype build plan for the national submission</w:t>
      </w:r>
    </w:p>
    <w:tbl>
      <w:tblPr>
        <w:tblW w:type="auto" w:w="0"/>
        <w:jc w:val="center"/>
        <w:tblLayout w:type="fixed"/>
        <w:tblLook w:firstColumn="1" w:firstRow="1" w:lastColumn="0" w:lastRow="0" w:noHBand="0" w:noVBand="1" w:val="04A0"/>
      </w:tblPr>
      <w:tblGrid>
        <w:gridCol w:w="2513"/>
        <w:gridCol w:w="2513"/>
        <w:gridCol w:w="2513"/>
        <w:gridCol w:w="2513"/>
      </w:tblGrid>
      <w:tr>
        <w:trPr>
          <w:cantSplit/>
        </w:trPr>
        <w:tc>
          <w:tcPr>
            <w:tcW w:type="dxa" w:w="115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Gate</w:t>
            </w:r>
          </w:p>
        </w:tc>
        <w:tc>
          <w:tcPr>
            <w:tcW w:type="dxa" w:w="295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Deliverable</w:t>
            </w:r>
          </w:p>
        </w:tc>
        <w:tc>
          <w:tcPr>
            <w:tcW w:type="dxa" w:w="446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Evidence to proceed</w:t>
            </w:r>
          </w:p>
        </w:tc>
        <w:tc>
          <w:tcPr>
            <w:tcW w:type="dxa" w:w="129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Owner</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 End-to-end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One clean and one poisoned NIST model pass through intake, battery, receipt and disposition.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Reproducible run and correct clean/poison distinction for the selected pair.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Members 2, 3, 4</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B. Data evidence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COCO/YOLO adapters, exact and perceptual duplicates, label/box checks, contributor aggregation.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Precision/recall on published label issues plus clean false-alarm rate.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 1</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 Model benchmark</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Batch runner for Round 13 with output deltas and optional white-box plugins.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TPR at fixed FPR by attack family and architecture.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2</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D. Shift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COCO versus COCO-O embedding and detector-statistics calibration.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Calibrated shift score with domain-specific false alarms.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Members 1–2</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E. Provenance hardening</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Persistent keys, complete ledger verification, signed baseline manifest and exportable receipt.</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All defined alteration, substitution and replay tests detected.</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3</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F. Analyst evaluation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Evidence graph, filters, dispositions and exportable coverage statement.</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Reduced median review time without lower decision accuracy.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Members 4–5</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G. Air-gapped package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Pinned dependencies, reproducible setup, SBOM, offline assets and threat coverage.</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Fresh-machine installation with networking disabled.</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All</w:t>
            </w:r>
          </w:p>
        </w:tc>
      </w:tr>
    </w:tbl>
    <w:p>
      <w:pPr>
        <w:spacing w:after="0"/>
      </w:pPr>
    </w:p>
    <w:p>
      <w:pPr>
        <w:pStyle w:val="Heading2"/>
      </w:pPr>
      <w:r>
        <w:t>Recommended module boundaries</w:t>
      </w:r>
    </w:p>
    <w:p>
      <w:pPr>
        <w:pStyle w:val="ListBullet"/>
        <w:spacing w:after="60"/>
      </w:pPr>
      <w:r>
        <w:t>adapters/: COCO, YOLO, ONNX, PyTorch/TorchScript metadata and execution wrappers.</w:t>
      </w:r>
    </w:p>
    <w:p>
      <w:pPr>
        <w:pStyle w:val="ListBullet"/>
        <w:spacing w:after="60"/>
      </w:pPr>
      <w:r>
        <w:t>analysers/data/: schema, duplicates, label quality, out-of-distribution and contributor aggregation.</w:t>
      </w:r>
    </w:p>
    <w:p>
      <w:pPr>
        <w:pStyle w:val="ListBullet"/>
        <w:spacing w:after="60"/>
      </w:pPr>
      <w:r>
        <w:t>analysers/model/: reference battery, fingerprints, trigger search and white-box statistics.</w:t>
      </w:r>
    </w:p>
    <w:p>
      <w:pPr>
        <w:pStyle w:val="ListBullet"/>
        <w:spacing w:after="60"/>
      </w:pPr>
      <w:r>
        <w:t>provenance/: canonical schema, signatures, nonce/sequence rules, baseline manifests and ledger verification.</w:t>
      </w:r>
    </w:p>
    <w:p>
      <w:pPr>
        <w:pStyle w:val="ListBullet"/>
        <w:spacing w:after="60"/>
      </w:pPr>
      <w:r>
        <w:t>evidence/: typed findings, graph links, confidence calibration, policy and coverage statements.</w:t>
      </w:r>
    </w:p>
    <w:p>
      <w:pPr>
        <w:pStyle w:val="ListBullet"/>
        <w:spacing w:after="60"/>
      </w:pPr>
      <w:r>
        <w:t>ui/: analyst workflow, evidence detail, comparison and disposition history.</w:t>
      </w:r>
    </w:p>
    <w:p>
      <w:pPr>
        <w:pStyle w:val="ListBullet"/>
        <w:spacing w:after="60"/>
      </w:pPr>
      <w:r>
        <w:t>benchmarks/: manifests, split rules, evaluation code and result tables. Large assets remain external.</w:t>
      </w:r>
    </w:p>
    <w:p>
      <w:pPr>
        <w:pStyle w:val="Heading2"/>
      </w:pPr>
      <w:r>
        <w:t>Security work that cannot wait</w:t>
      </w:r>
    </w:p>
    <w:p>
      <w:pPr>
        <w:pStyle w:val="ListBullet"/>
        <w:spacing w:after="60"/>
      </w:pPr>
      <w:r>
        <w:t>Never deserialize an untrusted PyTorch model in the main process. Run model code inside a restricted worker or convert through a controlled path.</w:t>
      </w:r>
    </w:p>
    <w:p>
      <w:pPr>
        <w:pStyle w:val="ListBullet"/>
        <w:spacing w:after="60"/>
      </w:pPr>
      <w:r>
        <w:t>Canonicalise every signed field and version the receipt schema.</w:t>
      </w:r>
    </w:p>
    <w:p>
      <w:pPr>
        <w:pStyle w:val="ListBullet"/>
        <w:spacing w:after="60"/>
      </w:pPr>
      <w:r>
        <w:t>Persist keys with access control; rotate and revoke them; include the key identifier in each receipt.</w:t>
      </w:r>
    </w:p>
    <w:p>
      <w:pPr>
        <w:pStyle w:val="ListBullet"/>
        <w:spacing w:after="60"/>
      </w:pPr>
      <w:r>
        <w:t>Verify the entire ledger chain, not only a single signature.</w:t>
      </w:r>
    </w:p>
    <w:p>
      <w:pPr>
        <w:pStyle w:val="ListBullet"/>
        <w:spacing w:after="60"/>
      </w:pPr>
      <w:r>
        <w:t>Treat every analyser as fallible. Preserve method version, input digest and coverage in each finding.</w:t>
      </w:r>
    </w:p>
    <w:p>
      <w:r>
        <w:br w:type="page"/>
      </w:r>
    </w:p>
    <w:p>
      <w:pPr>
        <w:pStyle w:val="Heading1"/>
      </w:pPr>
      <w:r>
        <w:t>8. Six-member ownership, five presenters</w:t>
      </w:r>
    </w:p>
    <w:tbl>
      <w:tblPr>
        <w:tblW w:type="auto" w:w="0"/>
        <w:jc w:val="center"/>
        <w:tblLayout w:type="fixed"/>
        <w:tblLook w:firstColumn="1" w:firstRow="1" w:lastColumn="0" w:lastRow="0" w:noHBand="0" w:noVBand="1" w:val="04A0"/>
      </w:tblPr>
      <w:tblGrid>
        <w:gridCol w:w="2513"/>
        <w:gridCol w:w="2513"/>
        <w:gridCol w:w="2513"/>
        <w:gridCol w:w="2513"/>
      </w:tblGrid>
      <w:tr>
        <w:trPr>
          <w:cantSplit/>
        </w:trPr>
        <w:tc>
          <w:tcPr>
            <w:tcW w:type="dxa" w:w="144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Member</w:t>
            </w:r>
          </w:p>
        </w:tc>
        <w:tc>
          <w:tcPr>
            <w:tcW w:type="dxa" w:w="309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Primary ownership</w:t>
            </w:r>
          </w:p>
        </w:tc>
        <w:tc>
          <w:tcPr>
            <w:tcW w:type="dxa" w:w="338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Must understand for Q&amp;A</w:t>
            </w:r>
          </w:p>
        </w:tc>
        <w:tc>
          <w:tcPr>
            <w:tcW w:type="dxa" w:w="194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Tonight’s output</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 · Problem and data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Problem story, COCO/YOLO intake, data-quality checks, contributor aggregation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Why clean accuracy fails; dataset licences and split discipline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Can explain Slides 1–3 and run a COCO audit</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2 · Model integrity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NIST Round 13, behavioural battery, white/black-box methods, attack coverage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No-free-lunch limitation and evaluation metrics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Can explain Slides 4–6 and answer attack questions</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3 · Provenance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Receipt schema, SHA-256, Ed25519, nonce, sequence, hash chain, key trust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Difference between tamper evidence and truth</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Can whiteboard the receipt and verify tamper/replay</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4 · Platform and demo</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Offline server, UI, evidence graph and live demo choreography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Threat boundary, sandboxing and 10× scaling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Can recover the demo after any failed click</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5 · Impact and delivery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Roadmap, metrics, cost, analyst study and presentation timing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All four dispositions and why INCONCLUSIVE matters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Can close the pitch and answer impact questions</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6 · Validation and red team</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Claim audit, source traceability, failure injection, demo recovery and backup speaking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Every unsupported claim, benchmark boundary and recovery path</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Can challenge the full pitch and replace any presenter if needed</w:t>
            </w:r>
          </w:p>
        </w:tc>
      </w:tr>
    </w:tbl>
    <w:p>
      <w:pPr>
        <w:spacing w:after="0"/>
      </w:pPr>
    </w:p>
    <w:p>
      <w:pPr>
        <w:pStyle w:val="Smallnote"/>
      </w:pPr>
      <w:r>
        <w:t>Members 1–5 deliver the planned 9:25 presentation. Member 6 remains the evidence controller and demo-recovery backup; they join Q&amp;A and can replace any speaker if required.</w:t>
      </w:r>
    </w:p>
    <w:p>
      <w:pPr>
        <w:pStyle w:val="Heading2"/>
      </w:pPr>
      <w:r>
        <w:t>All six members must be able to answer these five questions</w:t>
      </w:r>
    </w:p>
    <w:p>
      <w:r>
        <w:t>1.  What exact problem does PramaanCV solve in one sentence?</w:t>
      </w:r>
    </w:p>
    <w:p>
      <w:r>
        <w:t>2.  What is the key differentiator?</w:t>
      </w:r>
    </w:p>
    <w:p>
      <w:r>
        <w:t>3.  Which datasets and benchmarks prove the claims?</w:t>
      </w:r>
    </w:p>
    <w:p>
      <w:r>
        <w:t>4.  What works in the prototype today?</w:t>
      </w:r>
    </w:p>
    <w:p>
      <w:r>
        <w:t>5.  What result would cause the team to reduce or abandon the innovation claim?</w:t>
      </w:r>
    </w:p>
    <w:p>
      <w:r>
        <w:br w:type="page"/>
      </w:r>
    </w:p>
    <w:p>
      <w:pPr>
        <w:pStyle w:val="Heading1"/>
      </w:pPr>
      <w:r>
        <w:t>9. Presentation map and timing</w:t>
      </w:r>
    </w:p>
    <w:tbl>
      <w:tblPr>
        <w:tblW w:type="auto" w:w="0"/>
        <w:jc w:val="center"/>
        <w:tblLayout w:type="fixed"/>
        <w:tblLook w:firstColumn="1" w:firstRow="1" w:lastColumn="0" w:lastRow="0" w:noHBand="0" w:noVBand="1" w:val="04A0"/>
      </w:tblPr>
      <w:tblGrid>
        <w:gridCol w:w="2513"/>
        <w:gridCol w:w="2513"/>
        <w:gridCol w:w="2513"/>
        <w:gridCol w:w="2513"/>
      </w:tblGrid>
      <w:tr>
        <w:trPr>
          <w:cantSplit/>
        </w:trPr>
        <w:tc>
          <w:tcPr>
            <w:tcW w:type="dxa" w:w="144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Slide</w:t>
            </w:r>
          </w:p>
        </w:tc>
        <w:tc>
          <w:tcPr>
            <w:tcW w:type="dxa" w:w="5328"/>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Purpose</w:t>
            </w:r>
          </w:p>
        </w:tc>
        <w:tc>
          <w:tcPr>
            <w:tcW w:type="dxa" w:w="1728"/>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Presenter</w:t>
            </w:r>
          </w:p>
        </w:tc>
        <w:tc>
          <w:tcPr>
            <w:tcW w:type="dxa" w:w="122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End time</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 PramaanCV</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Name the product and one-line outcome.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1</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0:30</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2. Let’s Talk</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Give the audience four questions to hold.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 1</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0:55</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3. Why this matters now</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Validate the problem with three data points and one research limit.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1</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1:45</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4. Hidden failure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Tell one concrete contributor-to-decision story.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 2</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2:35</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5. Five questions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Map the official requirements to product questions.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2</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3:15</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6. Existing gap</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Show why current tools do not provide lifecycle assurance.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 2</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3:55</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7. PramaanCV idea</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Explain the offline release-gate architecture.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3</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4:50</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8. Differentiator</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Explain evidence handoff and the measurable innovation hypothesis.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 3</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5:40</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9. Proof plan</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Name NIST Round 13, COCO-O and the evaluation discipline.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4</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6:30</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10. Live prototype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Run the 90-second proof or show the slide if time is constrained.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 4</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7:45</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11. Feasibility and scale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Explain adapters, caching, parallel jobs and cost drivers.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Member 5</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8:30</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12. Impact and next steps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Close with evidence gates and measurable impact.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Member 5</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9:25</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13–14. Appendix</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Use only in Q&amp;A.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Best owner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t>
            </w:r>
          </w:p>
        </w:tc>
      </w:tr>
    </w:tbl>
    <w:p>
      <w:pPr>
        <w:spacing w:after="0"/>
      </w:pPr>
    </w:p>
    <w:p>
      <w:r>
        <w:t>Target talk time: 9 minutes 25 seconds. This leaves roughly 35 seconds for a slow handoff or one brief interruption. If the live demo exceeds 90 seconds, stop and return to Slide 10.</w:t>
      </w:r>
    </w:p>
    <w:p>
      <w:r>
        <w:br w:type="page"/>
      </w:r>
    </w:p>
    <w:p>
      <w:pPr>
        <w:pStyle w:val="Heading1"/>
      </w:pPr>
      <w:r>
        <w:t>10. Exact speaker script</w:t>
      </w:r>
    </w:p>
    <w:p>
      <w:pPr>
        <w:pStyle w:val="Heading2"/>
      </w:pPr>
      <w:r>
        <w:t>Slide 1 · Member 1 · 30 seconds</w:t>
      </w:r>
    </w:p>
    <w:p>
      <w:r>
        <w:t>“Good morning. Operational computer vision can fail even when model accuracy looks normal. A contributor can poison training samples, a supplied model can carry hidden behaviour, or an inference record can change after generation. PramaanCV gives an analyst one offline chain of evidence across those points, then recommends accept, review, quarantine or inconclusive.”</w:t>
      </w:r>
    </w:p>
    <w:p>
      <w:pPr>
        <w:pStyle w:val="Heading2"/>
      </w:pPr>
      <w:r>
        <w:t>Slide 2 · Member 1 · 25 seconds</w:t>
      </w:r>
    </w:p>
    <w:p>
      <w:r>
        <w:t>“We will answer four questions. What can go wrong? Why do current controls miss the complete failure? How does PramaanCV connect the evidence? And can we prove it with a live offline prototype and accepted public benchmarks?”</w:t>
      </w:r>
    </w:p>
    <w:p>
      <w:pPr>
        <w:pStyle w:val="Heading2"/>
      </w:pPr>
      <w:r>
        <w:t>Slide 3 · Member 1 · 50 seconds</w:t>
      </w:r>
    </w:p>
    <w:p>
      <w:r>
        <w:t>“This is an established hard problem. NIST had released more than fourteen thousand AI models for Trojan-detection research by its 2025 update. In object-detection Round 13, the IARPA final report says only one team met the threshold; its ten detectors averaged 0.898 ROC-AUC. Natural shift also matters: COCO-O caused a 55.7 percent relative drop for Faster R-CNN. Research shows a universal adversary-unaware backdoor detector is impossible. So a credible system must combine evidence and declare its threat model.”</w:t>
      </w:r>
    </w:p>
    <w:p>
      <w:pPr>
        <w:pStyle w:val="Heading2"/>
      </w:pPr>
      <w:r>
        <w:t>Slide 4 · Member 2 · 50 seconds</w:t>
      </w:r>
    </w:p>
    <w:p>
      <w:r>
        <w:t>“Follow one failure. Contributor C-07 uploads many images containing the same small patch. The model passes clean validation because the hidden behaviour needs that patch. When it appears, the detector misses the target. Later, an output can be replaced or replayed because no protected record binds the input, weights, preprocessing and result. The analyst sees confidence without the chain of evidence needed for a decision.”</w:t>
      </w:r>
    </w:p>
    <w:p>
      <w:pPr>
        <w:pStyle w:val="Heading2"/>
      </w:pPr>
      <w:r>
        <w:t>Slide 5 · Member 2 · 40 seconds</w:t>
      </w:r>
    </w:p>
    <w:p>
      <w:r>
        <w:t>“The official statement becomes five questions: which samples or contributors look suspicious; whether the model shows anomalous behaviour; whether output tampering or replay is detectable; whether the operating distribution has shifted; and what evidence supports the analyst’s action. The workflow must remain offline, support common formats and report unavailable or inconclusive when access is insufficient.”</w:t>
      </w:r>
    </w:p>
    <w:p>
      <w:pPr>
        <w:pStyle w:val="Heading2"/>
      </w:pPr>
      <w:r>
        <w:t>Slide 6 · Member 2 · 40 seconds</w:t>
      </w:r>
    </w:p>
    <w:p>
      <w:r>
        <w:t>“Existing tools help, but separately. Data-quality tools prioritise label review. TrojAI and BackdoorBench benchmark model attacks. Provenance standards bind artifacts. None gives the analyst one contributor-aware lifecycle case. PramaanCV coordinates those signals. Our innovation claim is deliberately testable: the connected evidence must improve detection or review efficiency at the same false-positive rate.”</w:t>
      </w:r>
    </w:p>
    <w:p>
      <w:pPr>
        <w:pStyle w:val="Heading2"/>
      </w:pPr>
      <w:r>
        <w:t>Slide 7 · Member 3 · 55 seconds</w:t>
      </w:r>
    </w:p>
    <w:p>
      <w:r>
        <w:t>“PramaanCV is an offline release gate. Untrusted data and models enter a sandbox. Adapters normalise COCO, YOLO, ONNX and TorchScript. Analysers run only when their access requirements are satisfied. Their findings enter an evidence graph, which links assets, contributors and downstream records. Transparent rules produce accept, review, quarantine or inconclusive. The trusted roots are a signed baseline manifest, the public-key store and a versioned reference battery.”</w:t>
      </w:r>
    </w:p>
    <w:p>
      <w:pPr>
        <w:pStyle w:val="Heading2"/>
      </w:pPr>
      <w:r>
        <w:t>Slide 8 · Member 3 · 50 seconds</w:t>
      </w:r>
    </w:p>
    <w:p>
      <w:r>
        <w:t>“The differentiator is evidence handoff. A repeated patch cluster in one contributor’s images becomes a specific model test. If the same patch changes the same class behaviour, the case becomes stronger. The signed receipt then binds the input hash, model digest, preprocessing, output, nonce, sequence and previous-record hash. We preserve the finding and its limitation. We will compare this coordinated flow with isolated detectors at matched clean false-positive rates.”</w:t>
      </w:r>
    </w:p>
    <w:p>
      <w:pPr>
        <w:pStyle w:val="Heading2"/>
      </w:pPr>
      <w:r>
        <w:t>Slide 9 · Member 4 · 50 seconds</w:t>
      </w:r>
    </w:p>
    <w:p>
      <w:r>
        <w:t>“We will not invent the main benchmark. NIST TrojAI Round 13 gives 128 training, 192 test and 192 holdout object-detection models using SSD, Faster R-CNN and DETR. It covers misclassification, evasion, localisation and injection with spurious clean controls. COCO-O supplies 6,782 real images across six natural-shift domains. COCO and the ObjectLab method support label and box-quality evaluation.”</w:t>
      </w:r>
    </w:p>
    <w:p>
      <w:pPr>
        <w:pStyle w:val="Heading2"/>
      </w:pPr>
      <w:r>
        <w:t>Slide 10 · Member 4 · 75 seconds plus clicks</w:t>
      </w:r>
    </w:p>
    <w:p>
      <w:r>
        <w:t>“Our working prototype already audits COCO manifests, evaluates a declared behavioural battery, signs inference receipts and detects tampering or replay. I will bind this image and model file to an output. Now I change the protected output digest. The Ed25519 signature fails. If I replay the original record, freshness controls fail. The evidence compiler returns quarantine and shows the reason. Direct execution across selected NIST clean and poisoned models is our next benchmark gate.”</w:t>
      </w:r>
    </w:p>
    <w:p>
      <w:pPr>
        <w:pStyle w:val="Heading2"/>
      </w:pPr>
      <w:r>
        <w:t>Slide 11 · Member 5 · 45 seconds</w:t>
      </w:r>
    </w:p>
    <w:p>
      <w:r>
        <w:t>“The design scales through adapters and content hashes. Unchanged evidence is reused. Contributors, models and reference tests become independent jobs for CPUs or GPUs. The prototype runs on team laptops with an open-source stack and no cloud dependency. We will report CPU time, memory and storage per unit rather than invent a fixed cost before measuring the deployment workload.”</w:t>
      </w:r>
    </w:p>
    <w:p>
      <w:pPr>
        <w:pStyle w:val="Heading2"/>
      </w:pPr>
      <w:r>
        <w:t>Slide 12 · Member 5 · 55 seconds</w:t>
      </w:r>
    </w:p>
    <w:p>
      <w:r>
        <w:t>“Our roadmap earns stronger claims through evidence gates. First, the end-to-end NIST slice. Then attack-family metrics and clean quarantine rate. Next, COCO-O calibration, ONNX support and black-box fallback. Finally, a reproducible air-gapped package and analyst study. If cross-layer evidence does not improve detection or review time, we reduce the claim. PramaanCV gives the analyst a defensible reason to accept, review, quarantine or say that the evidence is inconclusive. Thank you.”</w:t>
      </w:r>
    </w:p>
    <w:p>
      <w:r>
        <w:br w:type="page"/>
      </w:r>
    </w:p>
    <w:p>
      <w:pPr>
        <w:pStyle w:val="Heading1"/>
      </w:pPr>
      <w:r>
        <w:t>11. Jury Q&amp;A: direct answer first</w:t>
      </w:r>
    </w:p>
    <w:tbl>
      <w:tblPr>
        <w:tblW w:type="auto" w:w="0"/>
        <w:jc w:val="center"/>
        <w:tblLayout w:type="fixed"/>
        <w:tblLook w:firstColumn="1" w:firstRow="1" w:lastColumn="0" w:lastRow="0" w:noHBand="0" w:noVBand="1" w:val="04A0"/>
      </w:tblPr>
      <w:tblGrid>
        <w:gridCol w:w="5026"/>
        <w:gridCol w:w="5026"/>
      </w:tblGrid>
      <w:tr>
        <w:trPr>
          <w:cantSplit/>
        </w:trPr>
        <w:tc>
          <w:tcPr>
            <w:tcW w:type="dxa" w:w="324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Question</w:t>
            </w:r>
          </w:p>
        </w:tc>
        <w:tc>
          <w:tcPr>
            <w:tcW w:type="dxa" w:w="662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Direct answer</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is your solution in one sentence?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PramaanCV is an offline release gate that connects integrity evidence from computer-vision data, models and inference records into an analyst disposition.</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What is the key differentiator?</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Evidence handoff. A clue found in contributor data becomes a targeted model test, and the resulting inference remains bound to the exact assets and configuration.</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is your source of data?</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NIST TrojAI Round 13 is the primary clean/poisoned model benchmark. COCO-O measures natural distribution shift. COCO-format data and ObjectLab-style checks cover label and box quality.</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Why not generate your own poisoned dataset?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 public benchmark gives accepted ground truth and comparable splits. We may add reproducible attack transformations only to test coverage beyond the benchmark, clearly separated from primary results.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Can you detect every backdoor?</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No. Universal adversary-unaware detection is impossible under broad assumptions. We list supported attack families, access assumptions and inconclusive cases.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How does it work with black-box models?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We run behavioural reference queries and verify artifact identity and receipts. We report white-box checks such as activation analysis as unavailable.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How do you distinguish drift from malicious manipulation?</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We first characterise the shift against a declared reference. We label it malicious only when other evidence, such as contributor concentration or trigger-correlated model behaviour, supports that conclusion.</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How does contributor aggregation help?</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It shows whether weak sample-level signals concentrate in one source or batch. That prioritises investigation and provides a hypothesis for model testing.</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Why is the receipt secure?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Ed25519 signs a canonical record containing digests for the input, model, preprocessing, configuration and output. A nonce, sequence and previous-record hash make defined replay and later alteration detectable.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Does a valid receipt mean the output is correct?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No. It proves the protected association and tamper state under the key and execution trust model. Model correctness requires separate evidence.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Why no blockchain?</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An offline signed hash chain satisfies the core tamper-evidence requirement with less complexity. A distributed ledger becomes useful only if mutually distrustful organisations need shared consensus.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What happens if the data is suspicious but the model test is clean?</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disposition remains review or quarantine according to policy and severity. The system records conflicting evidence instead of forcing one binary answer.</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happens if you have too little evidence?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The system returns INCONCLUSIVE and identifies the missing access or test.</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How do you control false positives?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We select thresholds on training data, freeze them, and report true-positive rate at fixed clean false-positive rates plus clean quarantine rate.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How will it perform at 10× scale?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Content-addressed caching avoids rescanning unchanged assets. Jobs partition by contributor, model and reference test and can run across an offline worker pool.</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What are the costs?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software stack is open source. Cost depends mainly on model-test compute, retained evidence and throughput. We will report CPU/GPU time, peak memory and storage per unit.</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Why is it model-agnostic?</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The evidence schema and policy are independent of architecture. Format adapters and analyser plug-ins isolate ONNX, PyTorch and TorchScript details.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Can the current prototype run a NIST model?</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current release imports behavioural output summaries and performs the full receipt and evidence flow. Direct Round 13 execution is the next benchmark integration gate, and we state that clearly.</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works live today?</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COCO manifest audit, contributor aggregation, behavioural delta rules, SHA-256 identity, Ed25519 receipts, tamper/replay tests and the four-state decision compiler.</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How do you handle malicious PyTorch files?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We do not deserialize them in the main service. Deeper inspection must run in a restricted worker because untrusted model loading can execute code.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How do you protect signing keys?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The prototype uses a process-local key. Deployment requires protected persistent storage, key identifiers, rotation and revocation.</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What exactly will you measure at national level?</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TPR at fixed FPR, AUROC/AUPRC by attack family, clean quarantine rate, contributor ranking recall, calibration, runtime, memory, tamper/replay detection and analyst review time.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if the evidence graph adds no value?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We reduce the novelty claim. The kill signal is failure to improve detection or analyst review time at matched false-positive rate.</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Why is this useful beyond defence?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Any multi-party computer-vision supply chain can use the same assurance layer, including transport, industrial inspection and public infrastructure, subject to domain-specific batteries.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Is the system replacing the analyst?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No. It packages evidence, confidence and limitations so the analyst can make and audit the disposition.</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How will you prove reproducibility?</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Every finding records asset digests, analyser version, configuration and evidence. The benchmark runner preserves the NIST split and the audit ledger records each decision.</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is your strongest limitation?</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Coverage depends on the attack model and available access. Novel adaptive attacks can remain undetected, so the system must never claim universal safety.</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Why is offline operation important?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The stated environment is air-gapped. Local execution also prevents sensitive images and models from being sent to external APIs.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What makes this feasible for six students?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The product decomposes into data, model, provenance, platform, evaluation and red-team workstreams, while the first milestone remains one complete vertical slice so integration risk appears early.</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What will you complete next?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Run the existing pipeline on one clean and one poisoned NIST Round 13 training model, then replace the schema example with measured behaviour evidence.</w:t>
            </w:r>
          </w:p>
        </w:tc>
      </w:tr>
    </w:tbl>
    <w:p>
      <w:pPr>
        <w:spacing w:after="0"/>
      </w:pPr>
    </w:p>
    <w:p>
      <w:r>
        <w:br w:type="page"/>
      </w:r>
    </w:p>
    <w:p>
      <w:pPr>
        <w:pStyle w:val="Heading1"/>
      </w:pPr>
      <w:r>
        <w:t>12. Failure modes and recovery</w:t>
      </w:r>
    </w:p>
    <w:tbl>
      <w:tblPr>
        <w:tblW w:type="auto" w:w="0"/>
        <w:jc w:val="center"/>
        <w:tblLayout w:type="fixed"/>
        <w:tblLook w:firstColumn="1" w:firstRow="1" w:lastColumn="0" w:lastRow="0" w:noHBand="0" w:noVBand="1" w:val="04A0"/>
      </w:tblPr>
      <w:tblGrid>
        <w:gridCol w:w="3351"/>
        <w:gridCol w:w="3351"/>
        <w:gridCol w:w="3351"/>
      </w:tblGrid>
      <w:tr>
        <w:trPr>
          <w:cantSplit/>
        </w:trPr>
        <w:tc>
          <w:tcPr>
            <w:tcW w:type="dxa" w:w="2304"/>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Risk</w:t>
            </w:r>
          </w:p>
        </w:tc>
        <w:tc>
          <w:tcPr>
            <w:tcW w:type="dxa" w:w="3888"/>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Prevention</w:t>
            </w:r>
          </w:p>
        </w:tc>
        <w:tc>
          <w:tcPr>
            <w:tcW w:type="dxa" w:w="367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7"/>
              </w:rPr>
              <w:t>Recovery in front of jury</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Prototype server does not start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Run npm test and npm start on the presentation laptop before entering; keep terminal open.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Use the verified screenshots and explain the exact API result. Do not debug for more than 20 seconds.</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File chooser cannot find assets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Keep demo files in one local folder with short ASCII names.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Use the already-generated receipt in the ledger view.</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Signature attack does not show</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Refresh, create a new receipt, then tamper only after the button enables.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Show the unit test output proving the changed digest fails verification.</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No NIST model is ready</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Do not imply direct execution. Use the live provenance flow and the declared battery schema.</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State that NIST execution is the next benchmark gate.</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Question exposes unsupported attack</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Know the coverage matrix and no-free-lunch result.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7"/>
              </w:rPr>
              <w:t>Answer “unsupported under the current threat model” and describe the plug-in or validation needed.</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Presentation runs long</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Rehearse to 9:25 and assign one timekeeper.</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7"/>
              </w:rPr>
              <w:t>Skip verbal detail on Slides 5 and 11; never rush the demo or close.</w:t>
            </w:r>
          </w:p>
        </w:tc>
      </w:tr>
    </w:tbl>
    <w:p>
      <w:pPr>
        <w:spacing w:after="0"/>
      </w:pPr>
    </w:p>
    <w:p>
      <w:pPr>
        <w:pStyle w:val="Heading2"/>
      </w:pPr>
      <w:r>
        <w:t>Rehearsal checklist</w:t>
      </w:r>
    </w:p>
    <w:p>
      <w:pPr>
        <w:pStyle w:val="ListBullet"/>
        <w:spacing w:after="60"/>
      </w:pPr>
      <w:r>
        <w:t>Deck opens locally and fonts render correctly.</w:t>
      </w:r>
    </w:p>
    <w:p>
      <w:pPr>
        <w:pStyle w:val="ListBullet"/>
        <w:spacing w:after="60"/>
      </w:pPr>
      <w:r>
        <w:t>Browser opens http://127.0.0.1:8787 with Wi-Fi disabled.</w:t>
      </w:r>
    </w:p>
    <w:p>
      <w:pPr>
        <w:pStyle w:val="ListBullet"/>
        <w:spacing w:after="60"/>
      </w:pPr>
      <w:r>
        <w:t>npm test passes. The server terminal remains visible to the demo owner.</w:t>
      </w:r>
    </w:p>
    <w:p>
      <w:pPr>
        <w:pStyle w:val="ListBullet"/>
        <w:spacing w:after="60"/>
      </w:pPr>
      <w:r>
        <w:t>Demo image and model file are local and under the upload size limit.</w:t>
      </w:r>
    </w:p>
    <w:p>
      <w:pPr>
        <w:pStyle w:val="ListBullet"/>
        <w:spacing w:after="60"/>
      </w:pPr>
      <w:r>
        <w:t>Each presenter knows the previous speaker’s final sentence and their own first sentence.</w:t>
      </w:r>
    </w:p>
    <w:p>
      <w:pPr>
        <w:pStyle w:val="ListBullet"/>
        <w:spacing w:after="60"/>
      </w:pPr>
      <w:r>
        <w:t>One member tracks time and signals at 7:30 and 9:00.</w:t>
      </w:r>
    </w:p>
    <w:p>
      <w:pPr>
        <w:pStyle w:val="ListBullet"/>
        <w:spacing w:after="60"/>
      </w:pPr>
      <w:r>
        <w:t>Appendix owners know which slide answers access coverage and metrics.</w:t>
      </w:r>
    </w:p>
    <w:p>
      <w:pPr>
        <w:pStyle w:val="ListBullet"/>
        <w:spacing w:after="60"/>
      </w:pPr>
      <w:r>
        <w:t>Every member gives the same one-sentence product definition and dataset answer.</w:t>
      </w:r>
    </w:p>
    <w:p>
      <w:r>
        <w:br w:type="page"/>
      </w:r>
    </w:p>
    <w:p>
      <w:pPr>
        <w:pStyle w:val="Heading1"/>
      </w:pPr>
      <w:r>
        <w:t>13. Technical reference</w:t>
      </w:r>
    </w:p>
    <w:p>
      <w:pPr>
        <w:pStyle w:val="Heading2"/>
      </w:pPr>
      <w:r>
        <w:t>Receipt schema</w:t>
      </w:r>
    </w:p>
    <w:tbl>
      <w:tblPr>
        <w:tblW w:type="auto" w:w="0"/>
        <w:jc w:val="center"/>
        <w:tblLayout w:type="fixed"/>
        <w:tblLook w:firstColumn="1" w:firstRow="1" w:lastColumn="0" w:lastRow="0" w:noHBand="0" w:noVBand="1" w:val="04A0"/>
      </w:tblPr>
      <w:tblGrid>
        <w:gridCol w:w="5026"/>
        <w:gridCol w:w="5026"/>
      </w:tblGrid>
      <w:tr>
        <w:trPr>
          <w:cantSplit/>
        </w:trPr>
        <w:tc>
          <w:tcPr>
            <w:tcW w:type="dxa" w:w="2520"/>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Field</w:t>
            </w:r>
          </w:p>
        </w:tc>
        <w:tc>
          <w:tcPr>
            <w:tcW w:type="dxa" w:w="7272"/>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Purpose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schema</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Versioned canonical receipt contract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inputDigest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SHA-256 of the exact input bytes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modelDigest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SHA-256 of the exact model bytes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preprocessingDigest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Digest of resize, normalisation and other declared processing</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configuration</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Named inference parameters and asset identifiers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outputDigest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Digest of the complete result object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timestamp</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Declared generation time; policy must define clock trust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nonce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Unique freshness value used to detect replay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sequence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Monotonic record number within the ledger scope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previousRecordHash</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Binds the record to the prior canonical receipt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signature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Ed25519 signature over canonical receipt JSON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publicKey / keyId</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Verifier identity; deployment should store a key identifier rather than repeat the key</w:t>
            </w:r>
          </w:p>
        </w:tc>
      </w:tr>
    </w:tbl>
    <w:p>
      <w:pPr>
        <w:spacing w:after="0"/>
      </w:pPr>
    </w:p>
    <w:p>
      <w:pPr>
        <w:pStyle w:val="Heading2"/>
      </w:pPr>
      <w:r>
        <w:t>Prototype endpoints</w:t>
      </w:r>
    </w:p>
    <w:tbl>
      <w:tblPr>
        <w:tblW w:type="auto" w:w="0"/>
        <w:jc w:val="center"/>
        <w:tblLayout w:type="fixed"/>
        <w:tblLook w:firstColumn="1" w:firstRow="1" w:lastColumn="0" w:lastRow="0" w:noHBand="0" w:noVBand="1" w:val="04A0"/>
      </w:tblPr>
      <w:tblGrid>
        <w:gridCol w:w="5026"/>
        <w:gridCol w:w="5026"/>
      </w:tblGrid>
      <w:tr>
        <w:trPr>
          <w:cantSplit/>
        </w:trPr>
        <w:tc>
          <w:tcPr>
            <w:tcW w:type="dxa" w:w="309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Endpoint</w:t>
            </w:r>
          </w:p>
        </w:tc>
        <w:tc>
          <w:tcPr>
            <w:tcW w:type="dxa" w:w="6696"/>
            <w:shd w:fill="1F27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pPr>
            <w:r>
              <w:rPr>
                <w:b/>
                <w:color w:val="FFFFFF"/>
                <w:sz w:val="19"/>
              </w:rPr>
              <w:t>Purpose</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GET /api/benchmarks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Return the accepted benchmark registry and source links.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GET /api/ledger</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Return local signed receipt records and current public key.</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POST /api/audit/coco</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Validate COCO annotations and aggregate findings by contributor.</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POST /api/audit/battery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Evaluate declared clean/triggered output deltas.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POST /api/receipt</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Create and append a signed canonical receipt.</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POST /api/verify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keepLines/>
              <w:spacing w:after="0"/>
            </w:pPr>
            <w:r>
              <w:rPr>
                <w:color w:val="2A2A26"/>
                <w:sz w:val="18"/>
              </w:rPr>
              <w:t>Verify signature and defined replay controls.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POST /api/decision</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1E9DE"/>
          </w:tcPr>
          <w:p>
            <w:pPr>
              <w:keepLines/>
              <w:spacing w:after="0"/>
            </w:pPr>
            <w:r>
              <w:rPr>
                <w:color w:val="2A2A26"/>
                <w:sz w:val="18"/>
              </w:rPr>
              <w:t>Compile available findings into an analyst disposition.</w:t>
            </w:r>
          </w:p>
        </w:tc>
      </w:tr>
    </w:tbl>
    <w:p>
      <w:pPr>
        <w:spacing w:after="0"/>
      </w:pPr>
    </w:p>
    <w:p>
      <w:r>
        <w:br w:type="page"/>
      </w:r>
    </w:p>
    <w:p>
      <w:pPr>
        <w:pStyle w:val="Heading2"/>
      </w:pPr>
      <w:r>
        <w:t>Disposition rules in the current vertical slice</w:t>
      </w:r>
    </w:p>
    <w:p>
      <w:pPr>
        <w:pStyle w:val="ListBullet"/>
        <w:spacing w:after="60"/>
      </w:pPr>
      <w:r>
        <w:t>QUARANTINE when a receipt is invalid, or when high-severity data and model evidence corroborate each other.</w:t>
      </w:r>
    </w:p>
    <w:p>
      <w:pPr>
        <w:pStyle w:val="ListBullet"/>
        <w:spacing w:after="60"/>
      </w:pPr>
      <w:r>
        <w:t>REVIEW when one high-severity layer or lower-severity evidence remains unresolved.</w:t>
      </w:r>
    </w:p>
    <w:p>
      <w:pPr>
        <w:pStyle w:val="ListBullet"/>
        <w:spacing w:after="60"/>
      </w:pPr>
      <w:r>
        <w:t>ACCEPT when supported checks return no findings and evidence is present.</w:t>
      </w:r>
    </w:p>
    <w:p>
      <w:pPr>
        <w:pStyle w:val="ListBullet"/>
        <w:spacing w:after="60"/>
      </w:pPr>
      <w:r>
        <w:t>INCONCLUSIVE when no relevant assessment is available.</w:t>
      </w:r>
    </w:p>
    <w:p>
      <w:pPr>
        <w:pStyle w:val="Heading2"/>
      </w:pPr>
      <w:r>
        <w:t>14. Sources</w:t>
      </w:r>
    </w:p>
    <w:p>
      <w:pPr>
        <w:spacing w:after="120"/>
      </w:pPr>
      <w:r>
        <w:rPr>
          <w:b/>
        </w:rPr>
        <w:t xml:space="preserve">[S1] Official SIH26228 text — </w:t>
      </w:r>
      <w:r>
        <w:t>Problem statement supplied from the SIH portal; public mirror: https://sih2026.vuce.in/ps/SIH26228</w:t>
      </w:r>
    </w:p>
    <w:p>
      <w:pPr>
        <w:spacing w:after="120"/>
      </w:pPr>
      <w:r>
        <w:rPr>
          <w:b/>
        </w:rPr>
        <w:t xml:space="preserve">[S2] NIST Trojan challenge spotlight — </w:t>
      </w:r>
      <w:r>
        <w:t>https://www.nist.gov/news-events/news/2023/09/spotlight-challenge-detect-stealthy-attacks-against-ai-data</w:t>
      </w:r>
    </w:p>
    <w:p>
      <w:pPr>
        <w:spacing w:after="120"/>
      </w:pPr>
      <w:r>
        <w:rPr>
          <w:b/>
        </w:rPr>
        <w:t xml:space="preserve">[S3] NIST TrojAI Round 13 object detection — </w:t>
      </w:r>
      <w:r>
        <w:t>https://pages.nist.gov/trojai/docs/object-detection-feb2023.html</w:t>
      </w:r>
    </w:p>
    <w:p>
      <w:pPr>
        <w:spacing w:after="120"/>
      </w:pPr>
      <w:r>
        <w:rPr>
          <w:b/>
        </w:rPr>
        <w:t xml:space="preserve">[S4] IARPA TrojAI final report — </w:t>
      </w:r>
      <w:r>
        <w:t>https://www.iarpa.gov/images/pdfs/TrojAI/TrojAI_Final_Report_Final_Version_20260123-compressed.pdf</w:t>
      </w:r>
    </w:p>
    <w:p>
      <w:pPr>
        <w:spacing w:after="120"/>
      </w:pPr>
      <w:r>
        <w:rPr>
          <w:b/>
        </w:rPr>
        <w:t xml:space="preserve">[S5] COCO-O, ICCV 2023 — </w:t>
      </w:r>
      <w:r>
        <w:t>https://openaccess.thecvf.com/content/ICCV2023/papers/Mao_COCO-O_A_Benchmark_for_Object_Detectors_under_Natural_Distribution_Shifts_ICCV_2023_paper.pdf</w:t>
      </w:r>
    </w:p>
    <w:p>
      <w:pPr>
        <w:spacing w:after="120"/>
      </w:pPr>
      <w:r>
        <w:rPr>
          <w:b/>
        </w:rPr>
        <w:t xml:space="preserve">[S6] ObjectLab — </w:t>
      </w:r>
      <w:r>
        <w:t>https://arxiv.org/abs/2309.00832</w:t>
      </w:r>
    </w:p>
    <w:p>
      <w:pPr>
        <w:spacing w:after="120"/>
      </w:pPr>
      <w:r>
        <w:rPr>
          <w:b/>
        </w:rPr>
        <w:t xml:space="preserve">[S7] Backdoor-detection feasibility limits, AISTATS 2024 — </w:t>
      </w:r>
      <w:r>
        <w:t>https://proceedings.mlr.press/v238/pichler24a.html</w:t>
      </w:r>
    </w:p>
    <w:p>
      <w:pPr>
        <w:spacing w:after="120"/>
      </w:pPr>
      <w:r>
        <w:rPr>
          <w:b/>
        </w:rPr>
        <w:t xml:space="preserve">[S8] NIST adversarial ML taxonomy — </w:t>
      </w:r>
      <w:r>
        <w:t>https://csrc.nist.gov/pubs/ai/100/2/e2025/final</w:t>
      </w:r>
    </w:p>
    <w:p>
      <w:pPr>
        <w:spacing w:after="120"/>
      </w:pPr>
      <w:r>
        <w:rPr>
          <w:b/>
        </w:rPr>
        <w:t xml:space="preserve">[S9] C2PA specification — </w:t>
      </w:r>
      <w:r>
        <w:t>https://spec.c2pa.org/specifications/specifications/2.4/specs/C2PA_Specification.html</w:t>
      </w:r>
    </w:p>
    <w:p>
      <w:pPr>
        <w:spacing w:after="120"/>
      </w:pPr>
      <w:r>
        <w:rPr>
          <w:b/>
        </w:rPr>
        <w:t xml:space="preserve">[S10] PyTorch security policy — </w:t>
      </w:r>
      <w:r>
        <w:t>https://github.com/pytorch/pytorch/security/policy</w:t>
      </w:r>
    </w:p>
    <w:p>
      <w:pPr>
        <w:spacing w:after="120"/>
      </w:pPr>
      <w:r>
        <w:rPr>
          <w:b/>
        </w:rPr>
        <w:t xml:space="preserve">[S11] SLSA build provenance — </w:t>
      </w:r>
      <w:r>
        <w:t>https://github.com/slsa-framework/slsa/blob/main/spec/build-provenance.md</w:t>
      </w:r>
    </w:p>
    <w:p>
      <w:pPr>
        <w:spacing w:after="120"/>
      </w:pPr>
      <w:r>
        <w:rPr>
          <w:b/>
        </w:rPr>
        <w:t xml:space="preserve">[S12] NIST TrojAI Round 10 object detection — </w:t>
      </w:r>
      <w:r>
        <w:t>https://pages.nist.gov/trojai/docs/object-detection-jul2022.html</w:t>
      </w:r>
    </w:p>
    <w:p>
      <w:pPr>
        <w:pStyle w:val="Smallnote"/>
      </w:pPr>
      <w:r>
        <w:t>Source discipline: cite the primary source nearest to the claim. Do not turn target metrics, illustrative UI values or roadmap goals into achieved results.</w:t>
      </w:r>
    </w:p>
    <w:sectPr w:rsidR="00FC693F" w:rsidRPr="0006063C" w:rsidSect="00034616">
      <w:headerReference w:type="default" r:id="rId10"/>
      <w:footerReference w:type="default" r:id="rId11"/>
      <w:pgSz w:w="12240" w:h="15840"/>
      <w:pgMar w:top="1008"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25B"/>
        <w:sz w:val="16"/>
      </w:rPr>
      <w:t>Team briefing · 10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0625B"/>
        <w:sz w:val="16"/>
      </w:rPr>
      <w:t>PramaanCV · SIH26228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A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E605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