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règlement-intérieur"/>
    <w:p>
      <w:pPr>
        <w:pStyle w:val="Heading1"/>
      </w:pPr>
      <w:r>
        <w:t xml:space="preserve">Règlement intérieur</w:t>
      </w:r>
    </w:p>
    <w:bookmarkStart w:id="20" w:name="association-poivre-sens"/>
    <w:p>
      <w:pPr>
        <w:pStyle w:val="Heading2"/>
      </w:pPr>
      <w:r>
        <w:t xml:space="preserve">Association</w:t>
      </w:r>
      <w:r>
        <w:t xml:space="preserve"> </w:t>
      </w:r>
      <w:r>
        <w:rPr>
          <w:bCs/>
          <w:b/>
        </w:rPr>
        <w:t xml:space="preserve">Poivre &amp; Sens</w:t>
      </w:r>
    </w:p>
    <w:p>
      <w:pPr>
        <w:pStyle w:val="FirstParagraph"/>
      </w:pPr>
      <w:r>
        <w:rPr>
          <w:iCs/>
          <w:i/>
        </w:rPr>
        <w:t xml:space="preserve">Adopté par l’assemblée générale constitutive du</w:t>
      </w:r>
      <w:r>
        <w:rPr>
          <w:iCs/>
          <w:i/>
        </w:rPr>
        <w:t xml:space="preserve"> </w:t>
      </w:r>
      <w:r>
        <w:t xml:space="preserve">(date à compléter)**</w:t>
      </w:r>
    </w:p>
    <w:p>
      <w:r>
        <w:pict>
          <v:rect style="width:0;height:1.5pt" o:hralign="center" o:hrstd="t" o:hr="t"/>
        </w:pict>
      </w:r>
    </w:p>
    <w:bookmarkEnd w:id="20"/>
    <w:bookmarkStart w:id="21" w:name="article-1-objet-du-règlement-intérieur"/>
    <w:p>
      <w:pPr>
        <w:pStyle w:val="Heading2"/>
      </w:pPr>
      <w:r>
        <w:t xml:space="preserve">Article 1 — Objet du règlement intérieur</w:t>
      </w:r>
    </w:p>
    <w:p>
      <w:pPr>
        <w:pStyle w:val="FirstParagraph"/>
      </w:pPr>
      <w:r>
        <w:t xml:space="preserve">Le présent règlement intérieur précise et complète les statuts de l’association</w:t>
      </w:r>
      <w:r>
        <w:t xml:space="preserve"> </w:t>
      </w:r>
      <w:r>
        <w:rPr>
          <w:bCs/>
          <w:b/>
        </w:rPr>
        <w:t xml:space="preserve">Poivre &amp; Sens</w:t>
      </w:r>
      <w:r>
        <w:t xml:space="preserve">. Il est applicable à tous les membres dès son adoption par l’assemblée générale.</w:t>
      </w:r>
    </w:p>
    <w:p>
      <w:r>
        <w:pict>
          <v:rect style="width:0;height:1.5pt" o:hralign="center" o:hrstd="t" o:hr="t"/>
        </w:pict>
      </w:r>
    </w:p>
    <w:bookmarkEnd w:id="21"/>
    <w:bookmarkStart w:id="25" w:name="article-2-adhésion-et-cotisations"/>
    <w:p>
      <w:pPr>
        <w:pStyle w:val="Heading2"/>
      </w:pPr>
      <w:r>
        <w:t xml:space="preserve">Article 2 — Adhésion et cotisations</w:t>
      </w:r>
    </w:p>
    <w:bookmarkStart w:id="22" w:name="demande-dadhésion"/>
    <w:p>
      <w:pPr>
        <w:pStyle w:val="Heading3"/>
      </w:pPr>
      <w:r>
        <w:t xml:space="preserve">2.1 Demande d’adhésion</w:t>
      </w:r>
    </w:p>
    <w:p>
      <w:pPr>
        <w:pStyle w:val="FirstParagraph"/>
      </w:pPr>
      <w:r>
        <w:t xml:space="preserve">Toute personne souhaitant adhérer à l’association adresse une demande écrite (courrier ou courriel) au bureau. Le conseil d’administration statue lors de la réunion suivante. En cas de refus, le bureau n’est pas tenu d’en communiquer les motifs.</w:t>
      </w:r>
    </w:p>
    <w:bookmarkEnd w:id="22"/>
    <w:bookmarkStart w:id="23" w:name="montant-et-paiement-des-cotisations"/>
    <w:p>
      <w:pPr>
        <w:pStyle w:val="Heading3"/>
      </w:pPr>
      <w:r>
        <w:t xml:space="preserve">2.2 Montant et paiement des cotisations</w:t>
      </w:r>
    </w:p>
    <w:p>
      <w:pPr>
        <w:pStyle w:val="FirstParagraph"/>
      </w:pPr>
      <w:r>
        <w:t xml:space="preserve">Le montant des cotisations est fixé chaque année en assemblée générale. Le paiement est exigible au 1er septembre de chaque année pour les membres renouvelant leur adhésion, et au moment de l’adhésion pour les nouveaux membres. Les cotisations peuvent être réglées par chèque, virement, espèces ou tout autre moyen accepté par le trésorier ou la trésorière.</w:t>
      </w:r>
    </w:p>
    <w:bookmarkEnd w:id="23"/>
    <w:bookmarkStart w:id="24" w:name="exercice-dadhésion"/>
    <w:p>
      <w:pPr>
        <w:pStyle w:val="Heading3"/>
      </w:pPr>
      <w:r>
        <w:t xml:space="preserve">2.3 Exercice d’adhésion</w:t>
      </w:r>
    </w:p>
    <w:p>
      <w:pPr>
        <w:pStyle w:val="FirstParagraph"/>
      </w:pPr>
      <w:r>
        <w:t xml:space="preserve">L’exercice d’adhésion est calé sur l’année civile (1er janvier – 31 décembre). Toute adhésion souscrite après le 1er octobre vaut pour l’exercice suivant.</w:t>
      </w:r>
    </w:p>
    <w:p>
      <w:r>
        <w:pict>
          <v:rect style="width:0;height:1.5pt" o:hralign="center" o:hrstd="t" o:hr="t"/>
        </w:pict>
      </w:r>
    </w:p>
    <w:bookmarkEnd w:id="24"/>
    <w:bookmarkEnd w:id="25"/>
    <w:bookmarkStart w:id="29" w:name="Xcdeb219f47df33f0c009541be9a5fe13e6205d4"/>
    <w:p>
      <w:pPr>
        <w:pStyle w:val="Heading2"/>
      </w:pPr>
      <w:r>
        <w:t xml:space="preserve">Article 3 — Fonctionnement du conseil d’administration</w:t>
      </w:r>
    </w:p>
    <w:bookmarkStart w:id="26" w:name="convocations"/>
    <w:p>
      <w:pPr>
        <w:pStyle w:val="Heading3"/>
      </w:pPr>
      <w:r>
        <w:t xml:space="preserve">3.1 Convocations</w:t>
      </w:r>
    </w:p>
    <w:p>
      <w:pPr>
        <w:pStyle w:val="FirstParagraph"/>
      </w:pPr>
      <w:r>
        <w:t xml:space="preserve">Les convocations aux réunions du conseil d’administration sont adressées par courrier électronique au moins</w:t>
      </w:r>
      <w:r>
        <w:t xml:space="preserve"> </w:t>
      </w:r>
      <w:r>
        <w:rPr>
          <w:bCs/>
          <w:b/>
        </w:rPr>
        <w:t xml:space="preserve">huit jours</w:t>
      </w:r>
      <w:r>
        <w:t xml:space="preserve"> </w:t>
      </w:r>
      <w:r>
        <w:t xml:space="preserve">avant la réunion.</w:t>
      </w:r>
    </w:p>
    <w:bookmarkEnd w:id="26"/>
    <w:bookmarkStart w:id="27" w:name="représentation"/>
    <w:p>
      <w:pPr>
        <w:pStyle w:val="Heading3"/>
      </w:pPr>
      <w:r>
        <w:t xml:space="preserve">3.2 Représentation</w:t>
      </w:r>
    </w:p>
    <w:p>
      <w:pPr>
        <w:pStyle w:val="FirstParagraph"/>
      </w:pPr>
      <w:r>
        <w:t xml:space="preserve">Un membre du conseil d’administration empêché peut donner pouvoir à un autre membre, par écrit. Chaque membre ne peut détenir qu’un seul pouvoir.</w:t>
      </w:r>
    </w:p>
    <w:bookmarkEnd w:id="27"/>
    <w:bookmarkStart w:id="28" w:name="prises-de-décision"/>
    <w:p>
      <w:pPr>
        <w:pStyle w:val="Heading3"/>
      </w:pPr>
      <w:r>
        <w:t xml:space="preserve">3.3 Prises de décision</w:t>
      </w:r>
    </w:p>
    <w:p>
      <w:pPr>
        <w:pStyle w:val="FirstParagraph"/>
      </w:pPr>
      <w:r>
        <w:t xml:space="preserve">Les décisions courantes (programmation, engagements financiers courants) peuvent être prises par la présidence entre deux réunions du conseil, sous réserve de ratification lors de la réunion suivante.</w:t>
      </w:r>
    </w:p>
    <w:p>
      <w:r>
        <w:pict>
          <v:rect style="width:0;height:1.5pt" o:hralign="center" o:hrstd="t" o:hr="t"/>
        </w:pict>
      </w:r>
    </w:p>
    <w:bookmarkEnd w:id="28"/>
    <w:bookmarkEnd w:id="29"/>
    <w:bookmarkStart w:id="33" w:name="article-4-assemblées-générales"/>
    <w:p>
      <w:pPr>
        <w:pStyle w:val="Heading2"/>
      </w:pPr>
      <w:r>
        <w:t xml:space="preserve">Article 4 — Assemblées générales</w:t>
      </w:r>
    </w:p>
    <w:bookmarkStart w:id="30" w:name="convocations-1"/>
    <w:p>
      <w:pPr>
        <w:pStyle w:val="Heading3"/>
      </w:pPr>
      <w:r>
        <w:t xml:space="preserve">4.1 Convocations</w:t>
      </w:r>
    </w:p>
    <w:p>
      <w:pPr>
        <w:pStyle w:val="FirstParagraph"/>
      </w:pPr>
      <w:r>
        <w:t xml:space="preserve">Les membres sont convoqués par courrier électronique, ou à défaut par courrier postal, au moins</w:t>
      </w:r>
      <w:r>
        <w:t xml:space="preserve"> </w:t>
      </w:r>
      <w:r>
        <w:rPr>
          <w:bCs/>
          <w:b/>
        </w:rPr>
        <w:t xml:space="preserve">quinze jours</w:t>
      </w:r>
      <w:r>
        <w:t xml:space="preserve"> </w:t>
      </w:r>
      <w:r>
        <w:t xml:space="preserve">avant la date de l’assemblée. La convocation précise l’ordre du jour, la date, l’heure et le lieu de la réunion.</w:t>
      </w:r>
    </w:p>
    <w:bookmarkEnd w:id="30"/>
    <w:bookmarkStart w:id="31" w:name="pouvoirs"/>
    <w:p>
      <w:pPr>
        <w:pStyle w:val="Heading3"/>
      </w:pPr>
      <w:r>
        <w:t xml:space="preserve">4.2 Pouvoirs</w:t>
      </w:r>
    </w:p>
    <w:p>
      <w:pPr>
        <w:pStyle w:val="FirstParagraph"/>
      </w:pPr>
      <w:r>
        <w:t xml:space="preserve">Chaque membre présent peut disposer de</w:t>
      </w:r>
      <w:r>
        <w:t xml:space="preserve"> </w:t>
      </w:r>
      <w:r>
        <w:rPr>
          <w:bCs/>
          <w:b/>
        </w:rPr>
        <w:t xml:space="preserve">deux pouvoirs</w:t>
      </w:r>
      <w:r>
        <w:t xml:space="preserve"> </w:t>
      </w:r>
      <w:r>
        <w:t xml:space="preserve">maximum en plus de sa propre voix.</w:t>
      </w:r>
    </w:p>
    <w:bookmarkEnd w:id="31"/>
    <w:bookmarkStart w:id="32" w:name="vote"/>
    <w:p>
      <w:pPr>
        <w:pStyle w:val="Heading3"/>
      </w:pPr>
      <w:r>
        <w:t xml:space="preserve">4.3 Vote</w:t>
      </w:r>
    </w:p>
    <w:p>
      <w:pPr>
        <w:pStyle w:val="FirstParagraph"/>
      </w:pPr>
      <w:r>
        <w:t xml:space="preserve">Les votes ont lieu à main levée, sauf si un tiers des membres présents demande un vote à bulletins secrets.</w:t>
      </w:r>
    </w:p>
    <w:p>
      <w:r>
        <w:pict>
          <v:rect style="width:0;height:1.5pt" o:hralign="center" o:hrstd="t" o:hr="t"/>
        </w:pict>
      </w:r>
    </w:p>
    <w:bookmarkEnd w:id="32"/>
    <w:bookmarkEnd w:id="33"/>
    <w:bookmarkStart w:id="37" w:name="X552d3949763e55499f261f5066f7783128a8ac8"/>
    <w:p>
      <w:pPr>
        <w:pStyle w:val="Heading2"/>
      </w:pPr>
      <w:r>
        <w:t xml:space="preserve">Article 5 — Activités artistiques et pédagogiques</w:t>
      </w:r>
    </w:p>
    <w:bookmarkStart w:id="34" w:name="projets-de-création"/>
    <w:p>
      <w:pPr>
        <w:pStyle w:val="Heading3"/>
      </w:pPr>
      <w:r>
        <w:t xml:space="preserve">5.1 Projets de création</w:t>
      </w:r>
    </w:p>
    <w:p>
      <w:pPr>
        <w:pStyle w:val="FirstParagraph"/>
      </w:pPr>
      <w:r>
        <w:t xml:space="preserve">Tout projet de spectacle ou de création associant le nom de</w:t>
      </w:r>
      <w:r>
        <w:t xml:space="preserve"> </w:t>
      </w:r>
      <w:r>
        <w:rPr>
          <w:bCs/>
          <w:b/>
        </w:rPr>
        <w:t xml:space="preserve">Poivre &amp; Sens</w:t>
      </w:r>
      <w:r>
        <w:t xml:space="preserve"> </w:t>
      </w:r>
      <w:r>
        <w:t xml:space="preserve">doit être préalablement validé par le conseil d’administration.</w:t>
      </w:r>
    </w:p>
    <w:bookmarkEnd w:id="34"/>
    <w:bookmarkStart w:id="35" w:name="ateliers-et-stages"/>
    <w:p>
      <w:pPr>
        <w:pStyle w:val="Heading3"/>
      </w:pPr>
      <w:r>
        <w:t xml:space="preserve">5.2 Ateliers et stages</w:t>
      </w:r>
    </w:p>
    <w:p>
      <w:pPr>
        <w:pStyle w:val="FirstParagraph"/>
      </w:pPr>
      <w:r>
        <w:t xml:space="preserve">Les membres porteurs d’un projet pédagogique (atelier, stage, résidence) souhaitant l’organiser sous l’égide de l’association adressent une note de projet au bureau. Le bureau peut soutenir logistiquement et financièrement le projet, selon les disponibilités budgétaires.</w:t>
      </w:r>
    </w:p>
    <w:bookmarkEnd w:id="35"/>
    <w:bookmarkStart w:id="36" w:name="intervenants-extérieurs"/>
    <w:p>
      <w:pPr>
        <w:pStyle w:val="Heading3"/>
      </w:pPr>
      <w:r>
        <w:t xml:space="preserve">5.3 Intervenants extérieurs</w:t>
      </w:r>
    </w:p>
    <w:p>
      <w:pPr>
        <w:pStyle w:val="FirstParagraph"/>
      </w:pPr>
      <w:r>
        <w:t xml:space="preserve">Les intervenants extérieurs (artistes, pédagogues invités) sont rémunérés conformément à la réglementation en vigueur (contrat de cession, convention de mise à disposition, contrat de travail intermittent via le GUSO ou directement, selon les cas).</w:t>
      </w:r>
    </w:p>
    <w:p>
      <w:r>
        <w:pict>
          <v:rect style="width:0;height:1.5pt" o:hralign="center" o:hrstd="t" o:hr="t"/>
        </w:pict>
      </w:r>
    </w:p>
    <w:bookmarkEnd w:id="36"/>
    <w:bookmarkEnd w:id="37"/>
    <w:bookmarkStart w:id="41" w:name="article-6-gestion-financière"/>
    <w:p>
      <w:pPr>
        <w:pStyle w:val="Heading2"/>
      </w:pPr>
      <w:r>
        <w:t xml:space="preserve">Article 6 — Gestion financière</w:t>
      </w:r>
    </w:p>
    <w:bookmarkStart w:id="38" w:name="engagements-financiers"/>
    <w:p>
      <w:pPr>
        <w:pStyle w:val="Heading3"/>
      </w:pPr>
      <w:r>
        <w:t xml:space="preserve">6.1 Engagements financiers</w:t>
      </w:r>
    </w:p>
    <w:p>
      <w:pPr>
        <w:pStyle w:val="FirstParagraph"/>
      </w:pPr>
      <w:r>
        <w:t xml:space="preserve">Tout engagement de dépense supérieur à</w:t>
      </w:r>
      <w:r>
        <w:t xml:space="preserve"> </w:t>
      </w:r>
      <w:r>
        <w:rPr>
          <w:bCs/>
          <w:b/>
        </w:rPr>
        <w:t xml:space="preserve">500 €</w:t>
      </w:r>
      <w:r>
        <w:t xml:space="preserve"> </w:t>
      </w:r>
      <w:r>
        <w:t xml:space="preserve">requiert la validation conjointe de la présidence et du trésorier ou de la trésorière.</w:t>
      </w:r>
    </w:p>
    <w:bookmarkEnd w:id="38"/>
    <w:bookmarkStart w:id="39" w:name="remboursement-de-frais"/>
    <w:p>
      <w:pPr>
        <w:pStyle w:val="Heading3"/>
      </w:pPr>
      <w:r>
        <w:t xml:space="preserve">6.2 Remboursement de frais</w:t>
      </w:r>
    </w:p>
    <w:p>
      <w:pPr>
        <w:pStyle w:val="FirstParagraph"/>
      </w:pPr>
      <w:r>
        <w:t xml:space="preserve">Les membres bénévoles peuvent être remboursés de leurs frais sur présentation de justificatifs (billets de transport, factures d’hébergement, etc.), dans la limite des budgets validés en conseil d’administration.</w:t>
      </w:r>
    </w:p>
    <w:bookmarkEnd w:id="39"/>
    <w:bookmarkStart w:id="40" w:name="notes-de-frais"/>
    <w:p>
      <w:pPr>
        <w:pStyle w:val="Heading3"/>
      </w:pPr>
      <w:r>
        <w:t xml:space="preserve">6.3 Notes de frais</w:t>
      </w:r>
    </w:p>
    <w:p>
      <w:pPr>
        <w:pStyle w:val="FirstParagraph"/>
      </w:pPr>
      <w:r>
        <w:t xml:space="preserve">Les notes de frais sont remises au trésorier ou à la trésorière accompagnées des justificatifs originaux, dans un délai d’un mois suivant la dépense.</w:t>
      </w:r>
    </w:p>
    <w:p>
      <w:r>
        <w:pict>
          <v:rect style="width:0;height:1.5pt" o:hralign="center" o:hrstd="t" o:hr="t"/>
        </w:pict>
      </w:r>
    </w:p>
    <w:bookmarkEnd w:id="40"/>
    <w:bookmarkEnd w:id="41"/>
    <w:bookmarkStart w:id="44" w:name="article-7-communication-et-image"/>
    <w:p>
      <w:pPr>
        <w:pStyle w:val="Heading2"/>
      </w:pPr>
      <w:r>
        <w:t xml:space="preserve">Article 7 — Communication et image</w:t>
      </w:r>
    </w:p>
    <w:bookmarkStart w:id="42" w:name="représentation-externe"/>
    <w:p>
      <w:pPr>
        <w:pStyle w:val="Heading3"/>
      </w:pPr>
      <w:r>
        <w:t xml:space="preserve">7.1 Représentation externe</w:t>
      </w:r>
    </w:p>
    <w:p>
      <w:pPr>
        <w:pStyle w:val="FirstParagraph"/>
      </w:pPr>
      <w:r>
        <w:t xml:space="preserve">Seuls la présidence ou les personnes mandatées par le conseil d’administration peuvent s’exprimer au nom de l’association dans les médias ou dans le cadre de partenariats institutionnels.</w:t>
      </w:r>
    </w:p>
    <w:bookmarkEnd w:id="42"/>
    <w:bookmarkStart w:id="43" w:name="utilisation-du-nom-et-du-logo"/>
    <w:p>
      <w:pPr>
        <w:pStyle w:val="Heading3"/>
      </w:pPr>
      <w:r>
        <w:t xml:space="preserve">7.2 Utilisation du nom et du logo</w:t>
      </w:r>
    </w:p>
    <w:p>
      <w:pPr>
        <w:pStyle w:val="FirstParagraph"/>
      </w:pPr>
      <w:r>
        <w:t xml:space="preserve">L’utilisation du nom et du logo de</w:t>
      </w:r>
      <w:r>
        <w:t xml:space="preserve"> </w:t>
      </w:r>
      <w:r>
        <w:rPr>
          <w:bCs/>
          <w:b/>
        </w:rPr>
        <w:t xml:space="preserve">Poivre &amp; Sens</w:t>
      </w:r>
      <w:r>
        <w:t xml:space="preserve"> </w:t>
      </w:r>
      <w:r>
        <w:t xml:space="preserve">sur tout support de communication (affiches, réseaux sociaux, publications) doit être validée par le bureau.</w:t>
      </w:r>
    </w:p>
    <w:p>
      <w:r>
        <w:pict>
          <v:rect style="width:0;height:1.5pt" o:hralign="center" o:hrstd="t" o:hr="t"/>
        </w:pict>
      </w:r>
    </w:p>
    <w:bookmarkEnd w:id="43"/>
    <w:bookmarkEnd w:id="44"/>
    <w:bookmarkStart w:id="47" w:name="article-8-discipline"/>
    <w:p>
      <w:pPr>
        <w:pStyle w:val="Heading2"/>
      </w:pPr>
      <w:r>
        <w:t xml:space="preserve">Article 8 — Discipline</w:t>
      </w:r>
    </w:p>
    <w:bookmarkStart w:id="45" w:name="avertissement"/>
    <w:p>
      <w:pPr>
        <w:pStyle w:val="Heading3"/>
      </w:pPr>
      <w:r>
        <w:t xml:space="preserve">8.1 Avertissement</w:t>
      </w:r>
    </w:p>
    <w:p>
      <w:pPr>
        <w:pStyle w:val="FirstParagraph"/>
      </w:pPr>
      <w:r>
        <w:t xml:space="preserve">En cas de comportement contraire aux valeurs de l’association (respect des personnes, bienveillance, non-discrimination), le bureau adresse un avertissement écrit au membre concerné.</w:t>
      </w:r>
    </w:p>
    <w:bookmarkEnd w:id="45"/>
    <w:bookmarkStart w:id="46" w:name="exclusion"/>
    <w:p>
      <w:pPr>
        <w:pStyle w:val="Heading3"/>
      </w:pPr>
      <w:r>
        <w:t xml:space="preserve">8.2 Exclusion</w:t>
      </w:r>
    </w:p>
    <w:p>
      <w:pPr>
        <w:pStyle w:val="FirstParagraph"/>
      </w:pPr>
      <w:r>
        <w:t xml:space="preserve">En cas de récidive ou de faute grave, le conseil d’administration peut prononcer l’exclusion du membre, qui est invité à présenter ses observations avant la décision.</w:t>
      </w:r>
    </w:p>
    <w:p>
      <w:r>
        <w:pict>
          <v:rect style="width:0;height:1.5pt" o:hralign="center" o:hrstd="t" o:hr="t"/>
        </w:pict>
      </w:r>
    </w:p>
    <w:bookmarkEnd w:id="46"/>
    <w:bookmarkEnd w:id="47"/>
    <w:bookmarkStart w:id="48" w:name="X1d8cffbd9c608175f63e62e0dee3b39fad5d1df"/>
    <w:p>
      <w:pPr>
        <w:pStyle w:val="Heading2"/>
      </w:pPr>
      <w:r>
        <w:t xml:space="preserve">Article 9 — Modifications du règlement intérieur</w:t>
      </w:r>
    </w:p>
    <w:p>
      <w:pPr>
        <w:pStyle w:val="FirstParagraph"/>
      </w:pPr>
      <w:r>
        <w:t xml:space="preserve">Le présent règlement intérieur peut être modifié par le conseil d’administration et doit être soumis pour ratification à la prochaine assemblée générale.</w:t>
      </w:r>
    </w:p>
    <w:p>
      <w:r>
        <w:pict>
          <v:rect style="width:0;height:1.5pt" o:hralign="center" o:hrstd="t" o:hr="t"/>
        </w:pict>
      </w:r>
    </w:p>
    <w:p>
      <w:pPr>
        <w:pStyle w:val="FirstParagraph"/>
      </w:pPr>
      <w:r>
        <w:rPr>
          <w:bCs/>
          <w:b/>
        </w:rPr>
        <w:t xml:space="preserve">Approuvé par l’assemblée générale constitutive</w:t>
      </w:r>
    </w:p>
    <w:p>
      <w:pPr>
        <w:pStyle w:val="BodyText"/>
      </w:pPr>
      <w:r>
        <w:rPr>
          <w:bCs/>
          <w:b/>
        </w:rPr>
        <w:t xml:space="preserve">Fait à __________, le __________</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Fonction</w:t>
            </w:r>
          </w:p>
        </w:tc>
        <w:tc>
          <w:tcPr/>
          <w:p>
            <w:pPr>
              <w:pStyle w:val="Compact"/>
              <w:jc w:val="left"/>
            </w:pPr>
            <w:r>
              <w:t xml:space="preserve">Nom &amp; Prénom</w:t>
            </w:r>
          </w:p>
        </w:tc>
        <w:tc>
          <w:tcPr/>
          <w:p>
            <w:pPr>
              <w:pStyle w:val="Compact"/>
              <w:jc w:val="left"/>
            </w:pPr>
            <w:r>
              <w:t xml:space="preserve">Signature</w:t>
            </w:r>
          </w:p>
        </w:tc>
      </w:tr>
      <w:tr>
        <w:tc>
          <w:tcPr/>
          <w:p>
            <w:pPr>
              <w:pStyle w:val="Compact"/>
              <w:jc w:val="left"/>
            </w:pPr>
            <w:r>
              <w:t xml:space="preserve">Présidente</w:t>
            </w:r>
          </w:p>
        </w:tc>
        <w:tc>
          <w:tcPr/>
          <w:p>
            <w:pPr>
              <w:pStyle w:val="Compact"/>
              <w:jc w:val="left"/>
            </w:pPr>
            <w:r>
              <w:t xml:space="preserve">Ambre Lavignac</w:t>
            </w:r>
          </w:p>
        </w:tc>
        <w:tc>
          <w:tcPr/>
          <w:p>
            <w:pPr>
              <w:pStyle w:val="Compact"/>
            </w:pPr>
          </w:p>
        </w:tc>
      </w:tr>
      <w:tr>
        <w:tc>
          <w:tcPr/>
          <w:p>
            <w:pPr>
              <w:pStyle w:val="Compact"/>
              <w:jc w:val="left"/>
            </w:pPr>
            <w:r>
              <w:t xml:space="preserve">Secrétaire</w:t>
            </w:r>
          </w:p>
        </w:tc>
        <w:tc>
          <w:tcPr/>
          <w:p>
            <w:pPr>
              <w:pStyle w:val="Compact"/>
              <w:jc w:val="left"/>
            </w:pPr>
            <w:r>
              <w:t xml:space="preserve">Ewen d’Aviau</w:t>
            </w:r>
          </w:p>
        </w:tc>
        <w:tc>
          <w:tcPr/>
          <w:p>
            <w:pPr>
              <w:pStyle w:val="Compact"/>
            </w:pPr>
          </w:p>
        </w:tc>
      </w:tr>
    </w:tbl>
    <w:bookmarkEnd w:id="48"/>
    <w:bookmarkEnd w:id="49"/>
    <w:sect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Calibri" w:hAnsi="Calibri"/>
      <w:b w:val="0"/>
      <w:color w:val="40404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Calibri" w:asciiTheme="majorHAnsi" w:cstheme="majorBidi" w:eastAsiaTheme="majorEastAsia" w:hAnsi="Calibri" w:hAnsiTheme="majorHAnsi"/>
      <w:b/>
      <w:bCs/>
      <w:color w:val="1F396B"/>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1F396B"/>
      <w:sz w:val="26"/>
      <w:szCs w:val="28"/>
    </w:rPr>
  </w:style>
  <w:style w:styleId="Heading3" w:type="paragraph">
    <w:name w:val="Heading 3"/>
    <w:basedOn w:val="Normal"/>
    <w:next w:val="BodyText"/>
    <w:uiPriority w:val="9"/>
    <w:unhideWhenUsed/>
    <w:qFormat/>
    <w:pPr>
      <w:keepNext/>
      <w:keepLines/>
      <w:spacing w:after="80" w:before="200"/>
      <w:outlineLvl w:val="2"/>
    </w:pPr>
    <w:rPr>
      <w:rFonts w:ascii="Calibri" w:asciiTheme="majorHAnsi" w:cstheme="majorBidi" w:eastAsiaTheme="majorEastAsia" w:hAnsi="Calibri" w:hAnsiTheme="majorHAnsi"/>
      <w:b/>
      <w:bCs/>
      <w:color w:val="8B1A1A"/>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2026-03-25T14:09:33Z</dcterms:created>
  <dcterms:modified xsi:type="dcterms:W3CDTF">2026-03-25T14:09:33Z</dcterms:modified>
</cp:coreProperties>
</file>

<file path=docProps/custom.xml><?xml version="1.0" encoding="utf-8"?>
<Properties xmlns="http://schemas.openxmlformats.org/officeDocument/2006/custom-properties" xmlns:vt="http://schemas.openxmlformats.org/officeDocument/2006/docPropsVTypes"/>
</file>