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statuts-de-lassociation-poivre-sens"/>
    <w:p>
      <w:pPr>
        <w:pStyle w:val="Heading1"/>
      </w:pPr>
      <w:r>
        <w:t xml:space="preserve">Statuts de l’Association</w:t>
      </w:r>
      <w:r>
        <w:t xml:space="preserve"> </w:t>
      </w:r>
      <w:r>
        <w:rPr>
          <w:bCs/>
          <w:b/>
        </w:rPr>
        <w:t xml:space="preserve">Poivre &amp; Sens</w:t>
      </w:r>
    </w:p>
    <w:p>
      <w:pPr>
        <w:pStyle w:val="FirstParagraph"/>
      </w:pPr>
      <w:r>
        <w:rPr>
          <w:iCs/>
          <w:i/>
        </w:rPr>
        <w:t xml:space="preserve">Compagnie de danse et musique improvisées</w:t>
      </w:r>
    </w:p>
    <w:p>
      <w:r>
        <w:pict>
          <v:rect style="width:0;height:1.5pt" o:hralign="center" o:hrstd="t" o:hr="t"/>
        </w:pict>
      </w:r>
    </w:p>
    <w:bookmarkStart w:id="24" w:name="titre-i-constitution-et-objet"/>
    <w:p>
      <w:pPr>
        <w:pStyle w:val="Heading2"/>
      </w:pPr>
      <w:r>
        <w:t xml:space="preserve">Titre I — Constitution et objet</w:t>
      </w:r>
    </w:p>
    <w:bookmarkStart w:id="20" w:name="article-1-dénomination"/>
    <w:p>
      <w:pPr>
        <w:pStyle w:val="Heading3"/>
      </w:pPr>
      <w:r>
        <w:t xml:space="preserve">Article 1 — Dénomination</w:t>
      </w:r>
    </w:p>
    <w:p>
      <w:pPr>
        <w:pStyle w:val="FirstParagraph"/>
      </w:pPr>
      <w:r>
        <w:t xml:space="preserve">Il est fondé entre les adhérentes et adhérents aux présents statuts une association régie par la loi du 1er juillet 1901 et le décret du 16 août 1901, ayant pour titre :</w:t>
      </w:r>
    </w:p>
    <w:p>
      <w:pPr>
        <w:pStyle w:val="BodyText"/>
      </w:pPr>
      <w:r>
        <w:rPr>
          <w:bCs/>
          <w:b/>
        </w:rPr>
        <w:t xml:space="preserve">Poivre &amp; Sens</w:t>
      </w:r>
    </w:p>
    <w:bookmarkEnd w:id="20"/>
    <w:bookmarkStart w:id="21" w:name="article-2-objet"/>
    <w:p>
      <w:pPr>
        <w:pStyle w:val="Heading3"/>
      </w:pPr>
      <w:r>
        <w:t xml:space="preserve">Article 2 — Objet</w:t>
      </w:r>
    </w:p>
    <w:p>
      <w:pPr>
        <w:pStyle w:val="FirstParagraph"/>
      </w:pPr>
      <w:r>
        <w:t xml:space="preserve">L’association a pour objet :</w:t>
      </w:r>
    </w:p>
    <w:p>
      <w:pPr>
        <w:numPr>
          <w:ilvl w:val="0"/>
          <w:numId w:val="1001"/>
        </w:numPr>
        <w:pStyle w:val="Compact"/>
      </w:pPr>
      <w:r>
        <w:t xml:space="preserve">La création, la production et la diffusion de spectacles vivants mêlant danse contemporaine, danse contact-improvisation et musique improvisée.</w:t>
      </w:r>
    </w:p>
    <w:p>
      <w:pPr>
        <w:numPr>
          <w:ilvl w:val="0"/>
          <w:numId w:val="1001"/>
        </w:numPr>
        <w:pStyle w:val="Compact"/>
      </w:pPr>
      <w:r>
        <w:t xml:space="preserve">L’enseignement et la transmission des pratiques du mouvement improvisé, du contact-improvisation, des arts somatiques et de la musique improvisée.</w:t>
      </w:r>
    </w:p>
    <w:p>
      <w:pPr>
        <w:numPr>
          <w:ilvl w:val="0"/>
          <w:numId w:val="1001"/>
        </w:numPr>
        <w:pStyle w:val="Compact"/>
      </w:pPr>
      <w:r>
        <w:t xml:space="preserve">L’organisation de stages, ateliers, résidences, laboratoires de recherche artistique et rencontres publiques.</w:t>
      </w:r>
    </w:p>
    <w:p>
      <w:pPr>
        <w:numPr>
          <w:ilvl w:val="0"/>
          <w:numId w:val="1001"/>
        </w:numPr>
        <w:pStyle w:val="Compact"/>
      </w:pPr>
      <w:r>
        <w:t xml:space="preserve">La mise en réseau d’artistes, pédagogues et praticiens du mouvement et du son, en France et à l’international.</w:t>
      </w:r>
    </w:p>
    <w:p>
      <w:pPr>
        <w:numPr>
          <w:ilvl w:val="0"/>
          <w:numId w:val="1001"/>
        </w:numPr>
        <w:pStyle w:val="Compact"/>
      </w:pPr>
      <w:r>
        <w:t xml:space="preserve">Toute action favorisant l’accès à ces pratiques artistiques et corporelles pour tous les publics.</w:t>
      </w:r>
    </w:p>
    <w:bookmarkEnd w:id="21"/>
    <w:bookmarkStart w:id="22" w:name="article-3-siège-social"/>
    <w:p>
      <w:pPr>
        <w:pStyle w:val="Heading3"/>
      </w:pPr>
      <w:r>
        <w:t xml:space="preserve">Article 3 — Siège social</w:t>
      </w:r>
    </w:p>
    <w:p>
      <w:pPr>
        <w:pStyle w:val="FirstParagraph"/>
      </w:pPr>
      <w:r>
        <w:t xml:space="preserve">Le siège social est fixé à l’adresse suivante :</w:t>
      </w:r>
    </w:p>
    <w:p>
      <w:pPr>
        <w:pStyle w:val="BlockText"/>
      </w:pPr>
      <w:r>
        <w:rPr>
          <w:iCs/>
          <w:i/>
        </w:rPr>
        <w:t xml:space="preserve">(à compléter lors de l’assemblée constitutive)</w:t>
      </w:r>
    </w:p>
    <w:p>
      <w:pPr>
        <w:pStyle w:val="FirstParagraph"/>
      </w:pPr>
      <w:r>
        <w:t xml:space="preserve">Il pourra être transféré par simple décision du conseil d’administration.</w:t>
      </w:r>
    </w:p>
    <w:bookmarkEnd w:id="22"/>
    <w:bookmarkStart w:id="23" w:name="article-4-durée"/>
    <w:p>
      <w:pPr>
        <w:pStyle w:val="Heading3"/>
      </w:pPr>
      <w:r>
        <w:t xml:space="preserve">Article 4 — Durée</w:t>
      </w:r>
    </w:p>
    <w:p>
      <w:pPr>
        <w:pStyle w:val="FirstParagraph"/>
      </w:pPr>
      <w:r>
        <w:t xml:space="preserve">L’association est constituée pour une durée illimitée.</w:t>
      </w:r>
    </w:p>
    <w:p>
      <w:r>
        <w:pict>
          <v:rect style="width:0;height:1.5pt" o:hralign="center" o:hrstd="t" o:hr="t"/>
        </w:pict>
      </w:r>
    </w:p>
    <w:bookmarkEnd w:id="23"/>
    <w:bookmarkEnd w:id="24"/>
    <w:bookmarkStart w:id="29" w:name="titre-ii-membres"/>
    <w:p>
      <w:pPr>
        <w:pStyle w:val="Heading2"/>
      </w:pPr>
      <w:r>
        <w:t xml:space="preserve">Titre II — Membres</w:t>
      </w:r>
    </w:p>
    <w:bookmarkStart w:id="25" w:name="article-5-composition"/>
    <w:p>
      <w:pPr>
        <w:pStyle w:val="Heading3"/>
      </w:pPr>
      <w:r>
        <w:t xml:space="preserve">Article 5 — Composition</w:t>
      </w:r>
    </w:p>
    <w:p>
      <w:pPr>
        <w:pStyle w:val="FirstParagraph"/>
      </w:pPr>
      <w:r>
        <w:t xml:space="preserve">L’association se compose de :</w:t>
      </w:r>
    </w:p>
    <w:p>
      <w:pPr>
        <w:numPr>
          <w:ilvl w:val="0"/>
          <w:numId w:val="1002"/>
        </w:numPr>
        <w:pStyle w:val="Compact"/>
      </w:pPr>
      <w:r>
        <w:rPr>
          <w:bCs/>
          <w:b/>
        </w:rPr>
        <w:t xml:space="preserve">Membres fondateurs</w:t>
      </w:r>
      <w:r>
        <w:t xml:space="preserve"> </w:t>
      </w:r>
      <w:r>
        <w:t xml:space="preserve">: personnes physiques ayant participé à la création de l’association.</w:t>
      </w:r>
    </w:p>
    <w:p>
      <w:pPr>
        <w:numPr>
          <w:ilvl w:val="0"/>
          <w:numId w:val="1002"/>
        </w:numPr>
        <w:pStyle w:val="Compact"/>
      </w:pPr>
      <w:r>
        <w:rPr>
          <w:bCs/>
          <w:b/>
        </w:rPr>
        <w:t xml:space="preserve">Membres actifs</w:t>
      </w:r>
      <w:r>
        <w:t xml:space="preserve"> </w:t>
      </w:r>
      <w:r>
        <w:t xml:space="preserve">: personnes physiques ou morales à jour de leur cotisation annuelle et participant activement à la vie de l’association.</w:t>
      </w:r>
    </w:p>
    <w:p>
      <w:pPr>
        <w:numPr>
          <w:ilvl w:val="0"/>
          <w:numId w:val="1002"/>
        </w:numPr>
        <w:pStyle w:val="Compact"/>
      </w:pPr>
      <w:r>
        <w:rPr>
          <w:bCs/>
          <w:b/>
        </w:rPr>
        <w:t xml:space="preserve">Membres bienfaiteurs</w:t>
      </w:r>
      <w:r>
        <w:t xml:space="preserve"> </w:t>
      </w:r>
      <w:r>
        <w:t xml:space="preserve">: personnes physiques ou morales versant une cotisation supérieure au montant fixé par le conseil d’administration.</w:t>
      </w:r>
    </w:p>
    <w:p>
      <w:pPr>
        <w:numPr>
          <w:ilvl w:val="0"/>
          <w:numId w:val="1002"/>
        </w:numPr>
        <w:pStyle w:val="Compact"/>
      </w:pPr>
      <w:r>
        <w:rPr>
          <w:bCs/>
          <w:b/>
        </w:rPr>
        <w:t xml:space="preserve">Membres d’honneur</w:t>
      </w:r>
      <w:r>
        <w:t xml:space="preserve"> </w:t>
      </w:r>
      <w:r>
        <w:t xml:space="preserve">: personnes ayant rendu des services signalés à l’association ; elles sont dispensées de cotisation.</w:t>
      </w:r>
    </w:p>
    <w:bookmarkEnd w:id="25"/>
    <w:bookmarkStart w:id="26" w:name="article-6-admission"/>
    <w:p>
      <w:pPr>
        <w:pStyle w:val="Heading3"/>
      </w:pPr>
      <w:r>
        <w:t xml:space="preserve">Article 6 — Admission</w:t>
      </w:r>
    </w:p>
    <w:p>
      <w:pPr>
        <w:pStyle w:val="FirstParagraph"/>
      </w:pPr>
      <w:r>
        <w:t xml:space="preserve">Pour faire partie de l’association, il faut être agréé par le conseil d’administration, qui statue lors de chacune de ses réunions sur les demandes d’admission présentées. En cas de refus, le conseil d’administration n’a pas à en faire connaître les raisons.</w:t>
      </w:r>
    </w:p>
    <w:bookmarkEnd w:id="26"/>
    <w:bookmarkStart w:id="27" w:name="article-7-cotisations"/>
    <w:p>
      <w:pPr>
        <w:pStyle w:val="Heading3"/>
      </w:pPr>
      <w:r>
        <w:t xml:space="preserve">Article 7 — Cotisations</w:t>
      </w:r>
    </w:p>
    <w:p>
      <w:pPr>
        <w:pStyle w:val="FirstParagraph"/>
      </w:pPr>
      <w:r>
        <w:t xml:space="preserve">Le montant des cotisations annuelles est fixé chaque année par l’assemblée générale, sur proposition du conseil d’administration.</w:t>
      </w:r>
    </w:p>
    <w:bookmarkEnd w:id="27"/>
    <w:bookmarkStart w:id="28" w:name="article-8-perte-de-la-qualité-de-membre"/>
    <w:p>
      <w:pPr>
        <w:pStyle w:val="Heading3"/>
      </w:pPr>
      <w:r>
        <w:t xml:space="preserve">Article 8 — Perte de la qualité de membre</w:t>
      </w:r>
    </w:p>
    <w:p>
      <w:pPr>
        <w:pStyle w:val="FirstParagraph"/>
      </w:pPr>
      <w:r>
        <w:t xml:space="preserve">La qualité de membre se perd par :</w:t>
      </w:r>
    </w:p>
    <w:p>
      <w:pPr>
        <w:numPr>
          <w:ilvl w:val="0"/>
          <w:numId w:val="1003"/>
        </w:numPr>
        <w:pStyle w:val="Compact"/>
      </w:pPr>
      <w:r>
        <w:t xml:space="preserve">La démission adressée par écrit au président ou à la présidente.</w:t>
      </w:r>
    </w:p>
    <w:p>
      <w:pPr>
        <w:numPr>
          <w:ilvl w:val="0"/>
          <w:numId w:val="1003"/>
        </w:numPr>
        <w:pStyle w:val="Compact"/>
      </w:pPr>
      <w:r>
        <w:t xml:space="preserve">Le décès.</w:t>
      </w:r>
    </w:p>
    <w:p>
      <w:pPr>
        <w:numPr>
          <w:ilvl w:val="0"/>
          <w:numId w:val="1003"/>
        </w:numPr>
        <w:pStyle w:val="Compact"/>
      </w:pPr>
      <w:r>
        <w:t xml:space="preserve">La radiation prononcée par le conseil d’administration pour non-paiement de la cotisation ou pour motif grave, l’intéressé(e) ayant été invité(e) par lettre recommandée à se présenter devant le bureau pour fournir des explications.</w:t>
      </w:r>
    </w:p>
    <w:p>
      <w:r>
        <w:pict>
          <v:rect style="width:0;height:1.5pt" o:hralign="center" o:hrstd="t" o:hr="t"/>
        </w:pict>
      </w:r>
    </w:p>
    <w:bookmarkEnd w:id="28"/>
    <w:bookmarkEnd w:id="29"/>
    <w:bookmarkStart w:id="37" w:name="Xfd416bc365a5848b86f94cef8b79e058534a7c1"/>
    <w:p>
      <w:pPr>
        <w:pStyle w:val="Heading2"/>
      </w:pPr>
      <w:r>
        <w:t xml:space="preserve">Titre III — Administration et fonctionnement</w:t>
      </w:r>
    </w:p>
    <w:bookmarkStart w:id="30" w:name="article-9-conseil-dadministration"/>
    <w:p>
      <w:pPr>
        <w:pStyle w:val="Heading3"/>
      </w:pPr>
      <w:r>
        <w:t xml:space="preserve">Article 9 — Conseil d’administration</w:t>
      </w:r>
    </w:p>
    <w:p>
      <w:pPr>
        <w:pStyle w:val="FirstParagraph"/>
      </w:pPr>
      <w:r>
        <w:t xml:space="preserve">L’association est dirigée par un conseil d’administration composé de</w:t>
      </w:r>
      <w:r>
        <w:t xml:space="preserve"> </w:t>
      </w:r>
      <w:r>
        <w:rPr>
          <w:bCs/>
          <w:b/>
        </w:rPr>
        <w:t xml:space="preserve">3 à 9 membres</w:t>
      </w:r>
      <w:r>
        <w:t xml:space="preserve"> </w:t>
      </w:r>
      <w:r>
        <w:t xml:space="preserve">élus pour</w:t>
      </w:r>
      <w:r>
        <w:t xml:space="preserve"> </w:t>
      </w:r>
      <w:r>
        <w:rPr>
          <w:bCs/>
          <w:b/>
        </w:rPr>
        <w:t xml:space="preserve">deux ans</w:t>
      </w:r>
      <w:r>
        <w:t xml:space="preserve"> </w:t>
      </w:r>
      <w:r>
        <w:t xml:space="preserve">par l’assemblée générale. Les membres sortants sont rééligibles.</w:t>
      </w:r>
    </w:p>
    <w:p>
      <w:pPr>
        <w:pStyle w:val="BodyText"/>
      </w:pPr>
      <w:r>
        <w:t xml:space="preserve">En cas de vacance, le conseil pourvoit provisoirement au remplacement de ses membres. Il est procédé à leur remplacement définitif lors de la prochaine assemblée générale.</w:t>
      </w:r>
    </w:p>
    <w:bookmarkEnd w:id="30"/>
    <w:bookmarkStart w:id="31" w:name="article-10-bureau"/>
    <w:p>
      <w:pPr>
        <w:pStyle w:val="Heading3"/>
      </w:pPr>
      <w:r>
        <w:t xml:space="preserve">Article 10 — Bureau</w:t>
      </w:r>
    </w:p>
    <w:p>
      <w:pPr>
        <w:pStyle w:val="FirstParagraph"/>
      </w:pPr>
      <w:r>
        <w:t xml:space="preserve">Le conseil d’administration élit parmi ses membres un bureau composé de :</w:t>
      </w:r>
    </w:p>
    <w:p>
      <w:pPr>
        <w:numPr>
          <w:ilvl w:val="0"/>
          <w:numId w:val="1004"/>
        </w:numPr>
        <w:pStyle w:val="Compact"/>
      </w:pPr>
      <w:r>
        <w:t xml:space="preserve">Un(e)</w:t>
      </w:r>
      <w:r>
        <w:t xml:space="preserve"> </w:t>
      </w:r>
      <w:r>
        <w:rPr>
          <w:bCs/>
          <w:b/>
        </w:rPr>
        <w:t xml:space="preserve">président(e)</w:t>
      </w:r>
      <w:r>
        <w:t xml:space="preserve">.</w:t>
      </w:r>
    </w:p>
    <w:p>
      <w:pPr>
        <w:numPr>
          <w:ilvl w:val="0"/>
          <w:numId w:val="1004"/>
        </w:numPr>
        <w:pStyle w:val="Compact"/>
      </w:pPr>
      <w:r>
        <w:t xml:space="preserve">Un(e) ou plusieurs</w:t>
      </w:r>
      <w:r>
        <w:t xml:space="preserve"> </w:t>
      </w:r>
      <w:r>
        <w:rPr>
          <w:bCs/>
          <w:b/>
        </w:rPr>
        <w:t xml:space="preserve">vice-président(es)</w:t>
      </w:r>
      <w:r>
        <w:t xml:space="preserve"> </w:t>
      </w:r>
      <w:r>
        <w:t xml:space="preserve">(facultatif).</w:t>
      </w:r>
    </w:p>
    <w:p>
      <w:pPr>
        <w:numPr>
          <w:ilvl w:val="0"/>
          <w:numId w:val="1004"/>
        </w:numPr>
        <w:pStyle w:val="Compact"/>
      </w:pPr>
      <w:r>
        <w:t xml:space="preserve">Un(e)</w:t>
      </w:r>
      <w:r>
        <w:t xml:space="preserve"> </w:t>
      </w:r>
      <w:r>
        <w:rPr>
          <w:bCs/>
          <w:b/>
        </w:rPr>
        <w:t xml:space="preserve">secrétaire</w:t>
      </w:r>
      <w:r>
        <w:t xml:space="preserve"> </w:t>
      </w:r>
      <w:r>
        <w:t xml:space="preserve">et, si besoin, un(e)</w:t>
      </w:r>
      <w:r>
        <w:t xml:space="preserve"> </w:t>
      </w:r>
      <w:r>
        <w:rPr>
          <w:bCs/>
          <w:b/>
        </w:rPr>
        <w:t xml:space="preserve">secrétaire adjoint(e)</w:t>
      </w:r>
      <w:r>
        <w:t xml:space="preserve">.</w:t>
      </w:r>
    </w:p>
    <w:p>
      <w:pPr>
        <w:numPr>
          <w:ilvl w:val="0"/>
          <w:numId w:val="1004"/>
        </w:numPr>
        <w:pStyle w:val="Compact"/>
      </w:pPr>
      <w:r>
        <w:t xml:space="preserve">Un(e)</w:t>
      </w:r>
      <w:r>
        <w:t xml:space="preserve"> </w:t>
      </w:r>
      <w:r>
        <w:rPr>
          <w:bCs/>
          <w:b/>
        </w:rPr>
        <w:t xml:space="preserve">trésorier(ère)</w:t>
      </w:r>
      <w:r>
        <w:t xml:space="preserve"> </w:t>
      </w:r>
      <w:r>
        <w:t xml:space="preserve">et, si besoin, un(e)</w:t>
      </w:r>
      <w:r>
        <w:t xml:space="preserve"> </w:t>
      </w:r>
      <w:r>
        <w:rPr>
          <w:bCs/>
          <w:b/>
        </w:rPr>
        <w:t xml:space="preserve">trésorier(ère) adjoint(e)</w:t>
      </w:r>
      <w:r>
        <w:t xml:space="preserve">.</w:t>
      </w:r>
    </w:p>
    <w:bookmarkEnd w:id="31"/>
    <w:bookmarkStart w:id="32" w:name="X62d996bbd7a75a6c28d83d145a5c5ca7cc76aa5"/>
    <w:p>
      <w:pPr>
        <w:pStyle w:val="Heading3"/>
      </w:pPr>
      <w:r>
        <w:t xml:space="preserve">Article 11 — Réunions du conseil d’administration</w:t>
      </w:r>
    </w:p>
    <w:p>
      <w:pPr>
        <w:pStyle w:val="FirstParagraph"/>
      </w:pPr>
      <w:r>
        <w:t xml:space="preserve">Le conseil d’administration se réunit au moins</w:t>
      </w:r>
      <w:r>
        <w:t xml:space="preserve"> </w:t>
      </w:r>
      <w:r>
        <w:rPr>
          <w:bCs/>
          <w:b/>
        </w:rPr>
        <w:t xml:space="preserve">deux fois par an</w:t>
      </w:r>
      <w:r>
        <w:t xml:space="preserve"> </w:t>
      </w:r>
      <w:r>
        <w:t xml:space="preserve">sur convocation de la présidence, ou à la demande de la moitié de ses membres.</w:t>
      </w:r>
    </w:p>
    <w:p>
      <w:pPr>
        <w:pStyle w:val="BodyText"/>
      </w:pPr>
      <w:r>
        <w:t xml:space="preserve">Les délibérations sont prises à la majorité des voix des membres présents ou représentés. En cas de partage, la voix de la présidence est prépondérante.</w:t>
      </w:r>
    </w:p>
    <w:p>
      <w:pPr>
        <w:pStyle w:val="BodyText"/>
      </w:pPr>
      <w:r>
        <w:t xml:space="preserve">Il est tenu un procès-verbal des séances, signé par la présidence et la secrétaire ou le secrétaire.</w:t>
      </w:r>
    </w:p>
    <w:bookmarkEnd w:id="32"/>
    <w:bookmarkStart w:id="33" w:name="article-12-assemblée-générale-ordinaire"/>
    <w:p>
      <w:pPr>
        <w:pStyle w:val="Heading3"/>
      </w:pPr>
      <w:r>
        <w:t xml:space="preserve">Article 12 — Assemblée générale ordinaire</w:t>
      </w:r>
    </w:p>
    <w:p>
      <w:pPr>
        <w:pStyle w:val="FirstParagraph"/>
      </w:pPr>
      <w:r>
        <w:t xml:space="preserve">L’assemblée générale ordinaire comprend tous les membres de l’association à quelque titre qu’ils y soient affiliés. Elle se réunit au moins</w:t>
      </w:r>
      <w:r>
        <w:t xml:space="preserve"> </w:t>
      </w:r>
      <w:r>
        <w:rPr>
          <w:bCs/>
          <w:b/>
        </w:rPr>
        <w:t xml:space="preserve">une fois par an</w:t>
      </w:r>
      <w:r>
        <w:t xml:space="preserve">.</w:t>
      </w:r>
    </w:p>
    <w:p>
      <w:pPr>
        <w:pStyle w:val="BodyText"/>
      </w:pPr>
      <w:r>
        <w:t xml:space="preserve">Quinze jours au moins avant la date fixée, les membres de l’association sont convoqués par les soins de la secrétaire ou du secrétaire. L’ordre du jour est indiqué sur les convocations.</w:t>
      </w:r>
    </w:p>
    <w:p>
      <w:pPr>
        <w:pStyle w:val="BodyText"/>
      </w:pPr>
      <w:r>
        <w:t xml:space="preserve">L’assemblée générale ordinaire :</w:t>
      </w:r>
      <w:r>
        <w:t xml:space="preserve"> </w:t>
      </w:r>
      <w:r>
        <w:t xml:space="preserve">- Entend les rapports sur la gestion du conseil d’administration et sur la situation financière et morale de l’association.</w:t>
      </w:r>
      <w:r>
        <w:t xml:space="preserve"> </w:t>
      </w:r>
      <w:r>
        <w:t xml:space="preserve">- Approuve les comptes de l’exercice clos.</w:t>
      </w:r>
      <w:r>
        <w:t xml:space="preserve"> </w:t>
      </w:r>
      <w:r>
        <w:t xml:space="preserve">- Vote le budget prévisionnel de l’exercice suivant.</w:t>
      </w:r>
      <w:r>
        <w:t xml:space="preserve"> </w:t>
      </w:r>
      <w:r>
        <w:t xml:space="preserve">- Délibère sur les questions mises à l’ordre du jour.</w:t>
      </w:r>
      <w:r>
        <w:t xml:space="preserve"> </w:t>
      </w:r>
      <w:r>
        <w:t xml:space="preserve">- Procède, s’il y a lieu, au renouvellement des membres du conseil d’administration.</w:t>
      </w:r>
    </w:p>
    <w:p>
      <w:pPr>
        <w:pStyle w:val="BodyText"/>
      </w:pPr>
      <w:r>
        <w:t xml:space="preserve">Les décisions sont prises à la majorité absolue des voix des membres présents ou représentés. Pour la validité des délibérations, la présence ou la représentation d’au moins</w:t>
      </w:r>
      <w:r>
        <w:t xml:space="preserve"> </w:t>
      </w:r>
      <w:r>
        <w:rPr>
          <w:bCs/>
          <w:b/>
        </w:rPr>
        <w:t xml:space="preserve">un quart</w:t>
      </w:r>
      <w:r>
        <w:t xml:space="preserve"> </w:t>
      </w:r>
      <w:r>
        <w:t xml:space="preserve">des membres ayant le droit de vote est nécessaire. Si ce quorum n’est pas atteint, une nouvelle assemblée est convoquée à quinze jours d’intervalle et peut valablement délibérer quel que soit le nombre de membres présents.</w:t>
      </w:r>
    </w:p>
    <w:bookmarkEnd w:id="33"/>
    <w:bookmarkStart w:id="34" w:name="X733ad91c5d32b1f9ab18fa8ec64297da60602e4"/>
    <w:p>
      <w:pPr>
        <w:pStyle w:val="Heading3"/>
      </w:pPr>
      <w:r>
        <w:t xml:space="preserve">Article 13 — Assemblée générale extraordinaire</w:t>
      </w:r>
    </w:p>
    <w:p>
      <w:pPr>
        <w:pStyle w:val="FirstParagraph"/>
      </w:pPr>
      <w:r>
        <w:t xml:space="preserve">Si besoin est, ou sur demande de la moitié plus un des membres inscrits, le ou la président(e) convoque une assemblée générale extraordinaire.</w:t>
      </w:r>
    </w:p>
    <w:p>
      <w:pPr>
        <w:pStyle w:val="BodyText"/>
      </w:pPr>
      <w:r>
        <w:t xml:space="preserve">Les conditions de convocation sont identiques à celles de l’assemblée générale ordinaire.</w:t>
      </w:r>
    </w:p>
    <w:p>
      <w:pPr>
        <w:pStyle w:val="BodyText"/>
      </w:pPr>
      <w:r>
        <w:t xml:space="preserve">L’assemblée générale extraordinaire est seule compétente pour :</w:t>
      </w:r>
      <w:r>
        <w:t xml:space="preserve"> </w:t>
      </w:r>
      <w:r>
        <w:t xml:space="preserve">- Modifier les statuts.</w:t>
      </w:r>
      <w:r>
        <w:t xml:space="preserve"> </w:t>
      </w:r>
      <w:r>
        <w:t xml:space="preserve">- Dissoudre l’association.</w:t>
      </w:r>
      <w:r>
        <w:t xml:space="preserve"> </w:t>
      </w:r>
      <w:r>
        <w:t xml:space="preserve">- Décider la fusion ou l’absorption de l’association.</w:t>
      </w:r>
    </w:p>
    <w:p>
      <w:pPr>
        <w:pStyle w:val="BodyText"/>
      </w:pPr>
      <w:r>
        <w:t xml:space="preserve">Les délibérations sont prises à la</w:t>
      </w:r>
      <w:r>
        <w:t xml:space="preserve"> </w:t>
      </w:r>
      <w:r>
        <w:rPr>
          <w:bCs/>
          <w:b/>
        </w:rPr>
        <w:t xml:space="preserve">majorité des deux tiers</w:t>
      </w:r>
      <w:r>
        <w:t xml:space="preserve"> </w:t>
      </w:r>
      <w:r>
        <w:t xml:space="preserve">des membres présents ou représentés.</w:t>
      </w:r>
    </w:p>
    <w:bookmarkEnd w:id="34"/>
    <w:bookmarkStart w:id="35" w:name="article-14-ressources"/>
    <w:p>
      <w:pPr>
        <w:pStyle w:val="Heading3"/>
      </w:pPr>
      <w:r>
        <w:t xml:space="preserve">Article 14 — Ressources</w:t>
      </w:r>
    </w:p>
    <w:p>
      <w:pPr>
        <w:pStyle w:val="FirstParagraph"/>
      </w:pPr>
      <w:r>
        <w:t xml:space="preserve">Les ressources de l’association comprennent :</w:t>
      </w:r>
    </w:p>
    <w:p>
      <w:pPr>
        <w:numPr>
          <w:ilvl w:val="0"/>
          <w:numId w:val="1005"/>
        </w:numPr>
        <w:pStyle w:val="Compact"/>
      </w:pPr>
      <w:r>
        <w:t xml:space="preserve">Les cotisations des membres.</w:t>
      </w:r>
    </w:p>
    <w:p>
      <w:pPr>
        <w:numPr>
          <w:ilvl w:val="0"/>
          <w:numId w:val="1005"/>
        </w:numPr>
        <w:pStyle w:val="Compact"/>
      </w:pPr>
      <w:r>
        <w:t xml:space="preserve">Les subventions de l’État, des collectivités territoriales et des organismes publics ou privés.</w:t>
      </w:r>
    </w:p>
    <w:p>
      <w:pPr>
        <w:numPr>
          <w:ilvl w:val="0"/>
          <w:numId w:val="1005"/>
        </w:numPr>
        <w:pStyle w:val="Compact"/>
      </w:pPr>
      <w:r>
        <w:t xml:space="preserve">Les recettes provenant des spectacles, ateliers, stages et toute autre manifestation organisée par l’association.</w:t>
      </w:r>
    </w:p>
    <w:p>
      <w:pPr>
        <w:numPr>
          <w:ilvl w:val="0"/>
          <w:numId w:val="1005"/>
        </w:numPr>
        <w:pStyle w:val="Compact"/>
      </w:pPr>
      <w:r>
        <w:t xml:space="preserve">Les dons et legs.</w:t>
      </w:r>
    </w:p>
    <w:p>
      <w:pPr>
        <w:numPr>
          <w:ilvl w:val="0"/>
          <w:numId w:val="1005"/>
        </w:numPr>
        <w:pStyle w:val="Compact"/>
      </w:pPr>
      <w:r>
        <w:t xml:space="preserve">Les produits des activités artistiques et pédagogiques.</w:t>
      </w:r>
    </w:p>
    <w:p>
      <w:pPr>
        <w:numPr>
          <w:ilvl w:val="0"/>
          <w:numId w:val="1005"/>
        </w:numPr>
        <w:pStyle w:val="Compact"/>
      </w:pPr>
      <w:r>
        <w:t xml:space="preserve">Toute autre ressource autorisée par la loi.</w:t>
      </w:r>
    </w:p>
    <w:bookmarkEnd w:id="35"/>
    <w:bookmarkStart w:id="36" w:name="article-15-comptabilité"/>
    <w:p>
      <w:pPr>
        <w:pStyle w:val="Heading3"/>
      </w:pPr>
      <w:r>
        <w:t xml:space="preserve">Article 15 — Comptabilité</w:t>
      </w:r>
    </w:p>
    <w:p>
      <w:pPr>
        <w:pStyle w:val="FirstParagraph"/>
      </w:pPr>
      <w:r>
        <w:t xml:space="preserve">Il est tenu une comptabilité conforme aux dispositions légales en vigueur. Chaque exercice annuel débute le</w:t>
      </w:r>
      <w:r>
        <w:t xml:space="preserve"> </w:t>
      </w:r>
      <w:r>
        <w:rPr>
          <w:bCs/>
          <w:b/>
        </w:rPr>
        <w:t xml:space="preserve">1er janvier</w:t>
      </w:r>
      <w:r>
        <w:t xml:space="preserve"> </w:t>
      </w:r>
      <w:r>
        <w:t xml:space="preserve">et se clôt le</w:t>
      </w:r>
      <w:r>
        <w:t xml:space="preserve"> </w:t>
      </w:r>
      <w:r>
        <w:rPr>
          <w:bCs/>
          <w:b/>
        </w:rPr>
        <w:t xml:space="preserve">31 décembre</w:t>
      </w:r>
      <w:r>
        <w:t xml:space="preserve">.</w:t>
      </w:r>
    </w:p>
    <w:p>
      <w:r>
        <w:pict>
          <v:rect style="width:0;height:1.5pt" o:hralign="center" o:hrstd="t" o:hr="t"/>
        </w:pict>
      </w:r>
    </w:p>
    <w:bookmarkEnd w:id="36"/>
    <w:bookmarkEnd w:id="37"/>
    <w:bookmarkStart w:id="39" w:name="titre-iv-dissolution"/>
    <w:p>
      <w:pPr>
        <w:pStyle w:val="Heading2"/>
      </w:pPr>
      <w:r>
        <w:t xml:space="preserve">Titre IV — Dissolution</w:t>
      </w:r>
    </w:p>
    <w:bookmarkStart w:id="38" w:name="article-16-dissolution"/>
    <w:p>
      <w:pPr>
        <w:pStyle w:val="Heading3"/>
      </w:pPr>
      <w:r>
        <w:t xml:space="preserve">Article 16 — Dissolution</w:t>
      </w:r>
    </w:p>
    <w:p>
      <w:pPr>
        <w:pStyle w:val="FirstParagraph"/>
      </w:pPr>
      <w:r>
        <w:t xml:space="preserve">En cas de dissolution prononcée par une assemblée générale extraordinaire, un ou plusieurs liquidateurs sont nommés par cette assemblée.</w:t>
      </w:r>
    </w:p>
    <w:p>
      <w:pPr>
        <w:pStyle w:val="BodyText"/>
      </w:pPr>
      <w:r>
        <w:t xml:space="preserve">L’actif net, après paiement des dettes, sera dévolu à une ou plusieurs associations poursuivant un objet similaire, conformément à l’article 9 de la loi du 1er juillet 1901.</w:t>
      </w:r>
    </w:p>
    <w:p>
      <w:r>
        <w:pict>
          <v:rect style="width:0;height:1.5pt" o:hralign="center" o:hrstd="t" o:hr="t"/>
        </w:pict>
      </w:r>
    </w:p>
    <w:bookmarkEnd w:id="38"/>
    <w:bookmarkEnd w:id="39"/>
    <w:bookmarkStart w:id="42" w:name="titre-v-dispositions-diverses"/>
    <w:p>
      <w:pPr>
        <w:pStyle w:val="Heading2"/>
      </w:pPr>
      <w:r>
        <w:t xml:space="preserve">Titre V — Dispositions diverses</w:t>
      </w:r>
    </w:p>
    <w:bookmarkStart w:id="40" w:name="article-17-règlement-intérieur"/>
    <w:p>
      <w:pPr>
        <w:pStyle w:val="Heading3"/>
      </w:pPr>
      <w:r>
        <w:t xml:space="preserve">Article 17 — Règlement intérieur</w:t>
      </w:r>
    </w:p>
    <w:p>
      <w:pPr>
        <w:pStyle w:val="FirstParagraph"/>
      </w:pPr>
      <w:r>
        <w:t xml:space="preserve">Un règlement intérieur peut être établi par le conseil d’administration, qui le fait alors approuver par l’assemblée générale. Ce règlement éventuel est destiné à fixer les divers points non prévus par les statuts, notamment ceux qui ont trait à l’administration interne de l’association.</w:t>
      </w:r>
    </w:p>
    <w:bookmarkEnd w:id="40"/>
    <w:bookmarkStart w:id="41" w:name="article-18-déclaration"/>
    <w:p>
      <w:pPr>
        <w:pStyle w:val="Heading3"/>
      </w:pPr>
      <w:r>
        <w:t xml:space="preserve">Article 18 — Déclaration</w:t>
      </w:r>
    </w:p>
    <w:p>
      <w:pPr>
        <w:pStyle w:val="FirstParagraph"/>
      </w:pPr>
      <w:r>
        <w:t xml:space="preserve">Les présents statuts ont été adoptés lors de l’assemblée générale constitutive tenue le :</w:t>
      </w:r>
    </w:p>
    <w:p>
      <w:pPr>
        <w:pStyle w:val="BlockText"/>
      </w:pPr>
      <w:r>
        <w:rPr>
          <w:iCs/>
          <w:i/>
        </w:rPr>
        <w:t xml:space="preserve">(date à compléter)</w:t>
      </w:r>
    </w:p>
    <w:p>
      <w:pPr>
        <w:pStyle w:val="FirstParagraph"/>
      </w:pPr>
      <w:r>
        <w:t xml:space="preserve">à</w:t>
      </w:r>
      <w:r>
        <w:t xml:space="preserve"> </w:t>
      </w:r>
      <w:r>
        <w:rPr>
          <w:iCs/>
          <w:i/>
        </w:rPr>
        <w:t xml:space="preserve">(lieu à compléter)</w:t>
      </w:r>
      <w:r>
        <w:t xml:space="preserve">.</w:t>
      </w:r>
    </w:p>
    <w:p>
      <w:r>
        <w:pict>
          <v:rect style="width:0;height:1.5pt" o:hralign="center" o:hrstd="t" o:hr="t"/>
        </w:pict>
      </w:r>
    </w:p>
    <w:p>
      <w:pPr>
        <w:pStyle w:val="FirstParagraph"/>
      </w:pPr>
      <w:r>
        <w:rPr>
          <w:bCs/>
          <w:b/>
        </w:rPr>
        <w:t xml:space="preserve">Signatures des membres fondateurs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Nom</w:t>
            </w:r>
          </w:p>
        </w:tc>
        <w:tc>
          <w:tcPr/>
          <w:p>
            <w:pPr>
              <w:pStyle w:val="Compact"/>
              <w:jc w:val="left"/>
            </w:pPr>
            <w:r>
              <w:t xml:space="preserve">Prénom</w:t>
            </w:r>
          </w:p>
        </w:tc>
        <w:tc>
          <w:tcPr/>
          <w:p>
            <w:pPr>
              <w:pStyle w:val="Compact"/>
              <w:jc w:val="left"/>
            </w:pPr>
            <w:r>
              <w:t xml:space="preserve">Qualité</w:t>
            </w:r>
          </w:p>
        </w:tc>
        <w:tc>
          <w:tcPr/>
          <w:p>
            <w:pPr>
              <w:pStyle w:val="Compact"/>
              <w:jc w:val="left"/>
            </w:pPr>
            <w:r>
              <w:t xml:space="preserve">Signature</w:t>
            </w:r>
          </w:p>
        </w:tc>
      </w:tr>
      <w:tr>
        <w:tc>
          <w:tcPr/>
          <w:p>
            <w:pPr>
              <w:pStyle w:val="Compact"/>
              <w:jc w:val="left"/>
            </w:pPr>
            <w:r>
              <w:t xml:space="preserve">Lavignac</w:t>
            </w:r>
          </w:p>
        </w:tc>
        <w:tc>
          <w:tcPr/>
          <w:p>
            <w:pPr>
              <w:pStyle w:val="Compact"/>
              <w:jc w:val="left"/>
            </w:pPr>
            <w:r>
              <w:t xml:space="preserve">Ambre</w:t>
            </w:r>
          </w:p>
        </w:tc>
        <w:tc>
          <w:tcPr/>
          <w:p>
            <w:pPr>
              <w:pStyle w:val="Compact"/>
              <w:jc w:val="left"/>
            </w:pPr>
            <w:r>
              <w:t xml:space="preserve">Co-fondatrice, Présidente</w:t>
            </w:r>
          </w:p>
        </w:tc>
        <w:tc>
          <w:tcPr/>
          <w:p>
            <w:pPr>
              <w:pStyle w:val="Compact"/>
            </w:pPr>
          </w:p>
        </w:tc>
      </w:tr>
      <w:tr>
        <w:tc>
          <w:tcPr/>
          <w:p>
            <w:pPr>
              <w:pStyle w:val="Compact"/>
              <w:jc w:val="left"/>
            </w:pPr>
            <w:r>
              <w:t xml:space="preserve">d’Aviau</w:t>
            </w:r>
          </w:p>
        </w:tc>
        <w:tc>
          <w:tcPr/>
          <w:p>
            <w:pPr>
              <w:pStyle w:val="Compact"/>
              <w:jc w:val="left"/>
            </w:pPr>
            <w:r>
              <w:t xml:space="preserve">Ewen</w:t>
            </w:r>
          </w:p>
        </w:tc>
        <w:tc>
          <w:tcPr/>
          <w:p>
            <w:pPr>
              <w:pStyle w:val="Compact"/>
              <w:jc w:val="left"/>
            </w:pPr>
            <w:r>
              <w:t xml:space="preserve">Co-fondateur, Secrétaire et Trésorier</w:t>
            </w:r>
          </w:p>
        </w:tc>
        <w:tc>
          <w:tcPr/>
          <w:p>
            <w:pPr>
              <w:pStyle w:val="Compact"/>
            </w:pPr>
          </w:p>
        </w:tc>
      </w:tr>
    </w:tbl>
    <w:p>
      <w:pPr>
        <w:pStyle w:val="BodyText"/>
      </w:pPr>
      <w:r>
        <w:rPr>
          <w:iCs/>
          <w:i/>
        </w:rPr>
        <w:t xml:space="preserve">Fait à __________, le __________</w:t>
      </w:r>
    </w:p>
    <w:bookmarkEnd w:id="41"/>
    <w:bookmarkEnd w:id="42"/>
    <w:bookmarkEnd w:id="43"/>
    <w:sectPr>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80" w:lineRule="exact"/>
    </w:pPr>
    <w:rPr>
      <w:rFonts w:ascii="Calibri" w:hAnsi="Calibri"/>
      <w:b w:val="0"/>
      <w:color w:val="404040"/>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60"/>
      <w:outlineLvl w:val="0"/>
    </w:pPr>
    <w:rPr>
      <w:rFonts w:ascii="Calibri" w:asciiTheme="majorHAnsi" w:cstheme="majorBidi" w:eastAsiaTheme="majorEastAsia" w:hAnsi="Calibri" w:hAnsiTheme="majorHAnsi"/>
      <w:b/>
      <w:bCs/>
      <w:color w:val="1F396B"/>
      <w:sz w:val="32"/>
      <w:szCs w:val="32"/>
    </w:rPr>
  </w:style>
  <w:style w:styleId="Heading2" w:type="paragraph">
    <w:name w:val="Heading 2"/>
    <w:basedOn w:val="Normal"/>
    <w:next w:val="BodyText"/>
    <w:uiPriority w:val="9"/>
    <w:unhideWhenUsed/>
    <w:qFormat/>
    <w:pPr>
      <w:keepNext/>
      <w:keepLines/>
      <w:spacing w:after="120" w:before="280"/>
      <w:outlineLvl w:val="1"/>
    </w:pPr>
    <w:rPr>
      <w:rFonts w:ascii="Calibri" w:asciiTheme="majorHAnsi" w:cstheme="majorBidi" w:eastAsiaTheme="majorEastAsia" w:hAnsi="Calibri" w:hAnsiTheme="majorHAnsi"/>
      <w:b/>
      <w:bCs/>
      <w:color w:val="1F396B"/>
      <w:sz w:val="26"/>
      <w:szCs w:val="28"/>
    </w:rPr>
  </w:style>
  <w:style w:styleId="Heading3" w:type="paragraph">
    <w:name w:val="Heading 3"/>
    <w:basedOn w:val="Normal"/>
    <w:next w:val="BodyText"/>
    <w:uiPriority w:val="9"/>
    <w:unhideWhenUsed/>
    <w:qFormat/>
    <w:pPr>
      <w:keepNext/>
      <w:keepLines/>
      <w:spacing w:after="80" w:before="200"/>
      <w:outlineLvl w:val="2"/>
    </w:pPr>
    <w:rPr>
      <w:rFonts w:ascii="Calibri" w:asciiTheme="majorHAnsi" w:cstheme="majorBidi" w:eastAsiaTheme="majorEastAsia" w:hAnsi="Calibri" w:hAnsiTheme="majorHAnsi"/>
      <w:b/>
      <w:bCs/>
      <w:color w:val="8B1A1A"/>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2026-03-25T14:09:33Z</dcterms:created>
  <dcterms:modified xsi:type="dcterms:W3CDTF">2026-03-25T14:09:33Z</dcterms:modified>
</cp:coreProperties>
</file>

<file path=docProps/custom.xml><?xml version="1.0" encoding="utf-8"?>
<Properties xmlns="http://schemas.openxmlformats.org/officeDocument/2006/custom-properties" xmlns:vt="http://schemas.openxmlformats.org/officeDocument/2006/docPropsVTypes"/>
</file>