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课题组双周报2020.12.23-2021.01.06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请大家分别将自己在近段时间内的工作内容做下总结，包括且不限于工作内容、实验结果、代码工具分享、下一步计划等。尽量以#简洁详实#为撰写原则，把工作进度描述清楚即可。以已完成或正在进行的工作内容为主，下一步想法或计划非此文档的主要记录内容，简述即可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i w:val="true"/>
          <w:i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i w:val="true"/>
          <w:iCs w:val="true"/>
          <w:color w:val="333333"/>
          <w:sz w:val="22"/>
          <w:szCs w:val="22"/>
        </w:rPr>
        <w:t>（前期探索还需要一定的磨合，欢迎大家探索提出更好的模式！祝愿课题组越来越好）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往期文档链接：</w:t>
      </w:r>
      <w:hyperlink r:id="rId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https://github.com/laboratory0/KBMS/tree/main/Regular_Reports</w:t>
        </w:r>
      </w:hyperlink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35"/>
        <w:gridCol w:w="2250"/>
      </w:tblGrid>
      <w:tr>
        <w:trPr>
          <w:trHeight w:val="480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333333"/>
                <w:sz w:val="22"/>
                <w:szCs w:val="22"/>
              </w:rPr>
              <w:t>主要研究方向（请根据研究进展随时调整）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袁智超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朱纯博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苑博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王晨旭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目标检测、轻量化、嵌入式系统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目标检测、SAR图像处理、域适应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语义分割、域适应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语义分割、图网络</w:t>
            </w:r>
          </w:p>
        </w:tc>
      </w:tr>
    </w:tbl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课题组To Do: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研究进展</w:t>
      </w:r>
    </w:p>
    <w:p>
      <w:pPr>
        <w:pStyle w:val="heading2"/>
        <w:numPr>
          <w:ilvl w:val="0"/>
          <w:numId w:val="35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袁智超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按照remote sensing格式修改了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刘子铭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论文，添加1组2020年对比方法CBD-E（DIOR上mAP67.8），增加模块介绍图和实验结果图以及部分结果解释。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BBA-Vector算法在DIOR数据集上训练，mAP58.3（SOTA约为73），可能存在的问题有DIOR不含旋转框标注、batch size设置较小训练困难。下一步尝试从代码里屏蔽旋转框以及增加BN层以优化训练。</w:t>
      </w:r>
    </w:p>
    <w:p>
      <w:pPr>
        <w:pStyle w:val="heading2"/>
        <w:numPr>
          <w:ilvl w:val="0"/>
          <w:numId w:val="35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朱纯博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查到了SAR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实例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分割数据集HRSIC，该数据集共包含5604张高分辨率SAR图像和16951个ship实例。ISSID数据集借鉴了Microsoft Common Objects in Context (COCO)数据集的构建过程，包括不同分辨率的SAR图像、极化、海况、海域和沿海港口。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用之前生成的仿真SAR图进行了跨域迁移学习，相较于不使用迁移学习的方式，效果有所提升。在backbone中加入了金字塔卷积后，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实例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分割模型的最终性能超过了数据集提供的baseline。将上述结果进行整理，补充相应消融实验，完成IGARSS初稿，实验结果下。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45"/>
        <w:gridCol w:w="450"/>
        <w:gridCol w:w="630"/>
        <w:gridCol w:w="555"/>
        <w:gridCol w:w="495"/>
        <w:gridCol w:w="540"/>
        <w:gridCol w:w="510"/>
        <w:gridCol w:w="480"/>
        <w:gridCol w:w="555"/>
        <w:gridCol w:w="585"/>
        <w:gridCol w:w="495"/>
        <w:gridCol w:w="570"/>
        <w:gridCol w:w="480"/>
      </w:tblGrid>
      <w:tr>
        <w:trPr>
          <w:trHeight w:val="420" w:hRule="atLeast"/>
        </w:trPr>
        <w:tc>
          <w:tcPr>
            <w:tcW w:w="1845" w:type="dxa"/>
            <w:vMerge w:val="restart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Method</w:t>
            </w:r>
          </w:p>
        </w:tc>
        <w:tc>
          <w:tcPr>
            <w:tcW w:w="318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Instance Segmentation   Mask AP (%)</w:t>
            </w:r>
          </w:p>
        </w:tc>
        <w:tc>
          <w:tcPr>
            <w:tcW w:w="3165" w:type="dxa"/>
            <w:gridSpan w:val="6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Ship Detection Bounding   Box AP (%)</w:t>
            </w:r>
          </w:p>
        </w:tc>
      </w:tr>
      <w:tr>
        <w:trPr>
          <w:trHeight w:val="420" w:hRule="atLeast"/>
        </w:trPr>
        <w:tc>
          <w:tcPr>
            <w:tcW w:w="1845" w:type="dxa"/>
            <w:vMerge w:val="continue"/>
            <w:tcBorders>
              <w:top w:val="single" w:color="000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</w:r>
          </w:p>
        </w:tc>
        <w:tc>
          <w:tcPr>
            <w:tcW w:w="45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</w:p>
        </w:tc>
        <w:tc>
          <w:tcPr>
            <w:tcW w:w="630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50</w:t>
            </w:r>
          </w:p>
        </w:tc>
        <w:tc>
          <w:tcPr>
            <w:tcW w:w="555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75</w:t>
            </w:r>
          </w:p>
        </w:tc>
        <w:tc>
          <w:tcPr>
            <w:tcW w:w="495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S</w:t>
            </w:r>
          </w:p>
        </w:tc>
        <w:tc>
          <w:tcPr>
            <w:tcW w:w="540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M</w:t>
            </w:r>
          </w:p>
        </w:tc>
        <w:tc>
          <w:tcPr>
            <w:tcW w:w="510" w:type="dxa"/>
            <w:tcBorders>
              <w:top w:val="nil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L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</w:p>
        </w:tc>
        <w:tc>
          <w:tcPr>
            <w:tcW w:w="555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50</w:t>
            </w:r>
          </w:p>
        </w:tc>
        <w:tc>
          <w:tcPr>
            <w:tcW w:w="585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75</w:t>
            </w:r>
          </w:p>
        </w:tc>
        <w:tc>
          <w:tcPr>
            <w:tcW w:w="495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S</w:t>
            </w:r>
          </w:p>
        </w:tc>
        <w:tc>
          <w:tcPr>
            <w:tcW w:w="570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M</w:t>
            </w:r>
          </w:p>
        </w:tc>
        <w:tc>
          <w:tcPr>
            <w:tcW w:w="480" w:type="dxa"/>
            <w:tcBorders>
              <w:top w:val="nil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AP</w:t>
            </w: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29"/>
                <w:szCs w:val="29"/>
                <w:vertAlign w:val="subscript"/>
              </w:rPr>
              <w:t>L</w:t>
            </w:r>
          </w:p>
        </w:tc>
      </w:tr>
      <w:tr>
        <w:trPr>
          <w:trHeight w:val="420" w:hRule="atLeast"/>
        </w:trPr>
        <w:tc>
          <w:tcPr>
            <w:tcW w:w="1845" w:type="dxa"/>
            <w:tcBorders>
              <w:top w:val="nil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Mask R-CNN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54.0</w:t>
            </w:r>
          </w:p>
        </w:tc>
        <w:tc>
          <w:tcPr>
            <w:tcW w:w="63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86.0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64.4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53.5</w:t>
            </w:r>
          </w:p>
        </w:tc>
        <w:tc>
          <w:tcPr>
            <w:tcW w:w="54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62.0</w:t>
            </w:r>
          </w:p>
        </w:tc>
        <w:tc>
          <w:tcPr>
            <w:tcW w:w="51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16.4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65.0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88.0</w:t>
            </w:r>
          </w:p>
        </w:tc>
        <w:tc>
          <w:tcPr>
            <w:tcW w:w="58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75.2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66.1</w:t>
            </w:r>
          </w:p>
        </w:tc>
        <w:tc>
          <w:tcPr>
            <w:tcW w:w="57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66.1</w:t>
            </w:r>
          </w:p>
        </w:tc>
        <w:tc>
          <w:tcPr>
            <w:tcW w:w="48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17.3</w:t>
            </w:r>
          </w:p>
        </w:tc>
      </w:tr>
      <w:tr>
        <w:trPr>
          <w:trHeight w:val="420" w:hRule="atLeast"/>
        </w:trPr>
        <w:tc>
          <w:tcPr>
            <w:tcW w:w="184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Mask Scoring R-CNN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53.8</w:t>
            </w:r>
          </w:p>
        </w:tc>
        <w:tc>
          <w:tcPr>
            <w:tcW w:w="63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84.7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64.2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53.3</w:t>
            </w:r>
          </w:p>
        </w:tc>
        <w:tc>
          <w:tcPr>
            <w:tcW w:w="54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61.2</w:t>
            </w:r>
          </w:p>
        </w:tc>
        <w:tc>
          <w:tcPr>
            <w:tcW w:w="51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20.5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64.1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87.6</w:t>
            </w:r>
          </w:p>
        </w:tc>
        <w:tc>
          <w:tcPr>
            <w:tcW w:w="58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75.0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65.3</w:t>
            </w:r>
          </w:p>
        </w:tc>
        <w:tc>
          <w:tcPr>
            <w:tcW w:w="57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65.8</w:t>
            </w:r>
          </w:p>
        </w:tc>
        <w:tc>
          <w:tcPr>
            <w:tcW w:w="48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22.2</w:t>
            </w:r>
          </w:p>
        </w:tc>
      </w:tr>
      <w:tr>
        <w:trPr>
          <w:trHeight w:val="420" w:hRule="atLeast"/>
        </w:trPr>
        <w:tc>
          <w:tcPr>
            <w:tcW w:w="184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Cascade Mask R-CNN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54.6</w:t>
            </w:r>
          </w:p>
        </w:tc>
        <w:tc>
          <w:tcPr>
            <w:tcW w:w="63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86.6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64.7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54.1</w:t>
            </w:r>
          </w:p>
        </w:tc>
        <w:tc>
          <w:tcPr>
            <w:tcW w:w="54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62.4</w:t>
            </w:r>
          </w:p>
        </w:tc>
        <w:tc>
          <w:tcPr>
            <w:tcW w:w="51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19.1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67.5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88.5</w:t>
            </w:r>
          </w:p>
        </w:tc>
        <w:tc>
          <w:tcPr>
            <w:tcW w:w="58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77.4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68.6</w:t>
            </w:r>
          </w:p>
        </w:tc>
        <w:tc>
          <w:tcPr>
            <w:tcW w:w="57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67.4</w:t>
            </w:r>
          </w:p>
        </w:tc>
        <w:tc>
          <w:tcPr>
            <w:tcW w:w="48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22.6</w:t>
            </w:r>
          </w:p>
        </w:tc>
      </w:tr>
      <w:tr>
        <w:trPr>
          <w:trHeight w:val="420" w:hRule="atLeast"/>
        </w:trPr>
        <w:tc>
          <w:tcPr>
            <w:tcW w:w="184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Hybrid Task Cascade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55.2</w:t>
            </w:r>
          </w:p>
        </w:tc>
        <w:tc>
          <w:tcPr>
            <w:tcW w:w="63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86.5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66.1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54.3</w:t>
            </w:r>
          </w:p>
        </w:tc>
        <w:tc>
          <w:tcPr>
            <w:tcW w:w="54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65.4</w:t>
            </w:r>
          </w:p>
        </w:tc>
        <w:tc>
          <w:tcPr>
            <w:tcW w:w="51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28.5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68.2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87.7</w:t>
            </w:r>
          </w:p>
        </w:tc>
        <w:tc>
          <w:tcPr>
            <w:tcW w:w="58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78.8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69.0</w:t>
            </w:r>
          </w:p>
        </w:tc>
        <w:tc>
          <w:tcPr>
            <w:tcW w:w="57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71.2</w:t>
            </w:r>
          </w:p>
        </w:tc>
        <w:tc>
          <w:tcPr>
            <w:tcW w:w="48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38.1</w:t>
            </w:r>
          </w:p>
        </w:tc>
      </w:tr>
      <w:tr>
        <w:trPr>
          <w:trHeight w:val="195" w:hRule="atLeast"/>
        </w:trPr>
        <w:tc>
          <w:tcPr>
            <w:tcW w:w="184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Ours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56.1</w:t>
            </w:r>
          </w:p>
        </w:tc>
        <w:tc>
          <w:tcPr>
            <w:tcW w:w="63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87.2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66.3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55.6</w:t>
            </w:r>
          </w:p>
        </w:tc>
        <w:tc>
          <w:tcPr>
            <w:tcW w:w="54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65.9</w:t>
            </w:r>
          </w:p>
        </w:tc>
        <w:tc>
          <w:tcPr>
            <w:tcW w:w="51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28.1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68.8</w:t>
            </w:r>
          </w:p>
        </w:tc>
        <w:tc>
          <w:tcPr>
            <w:tcW w:w="55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88.9</w:t>
            </w:r>
          </w:p>
        </w:tc>
        <w:tc>
          <w:tcPr>
            <w:tcW w:w="58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78.8</w:t>
            </w:r>
          </w:p>
        </w:tc>
        <w:tc>
          <w:tcPr>
            <w:tcW w:w="495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69.4</w:t>
            </w:r>
          </w:p>
        </w:tc>
        <w:tc>
          <w:tcPr>
            <w:tcW w:w="57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b w:val="true"/>
                <w:bCs w:val="true"/>
                <w:color w:val="000000"/>
                <w:spacing w:val="0"/>
                <w:sz w:val="18"/>
                <w:szCs w:val="18"/>
              </w:rPr>
              <w:t>71.5</w:t>
            </w:r>
          </w:p>
        </w:tc>
        <w:tc>
          <w:tcPr>
            <w:tcW w:w="480" w:type="dxa"/>
            <w:tcBorders>
              <w:top w:val="single" w:color="000000" w:sz="8" w:space="0"/>
              <w:left w:val="nil" w:sz="8" w:space="0"/>
              <w:bottom w:val="single" w:color="000000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Times New Roman,serif" w:hAnsi="Times New Roman,serif" w:eastAsia="Times New Roman,serif"/>
                <w:color w:val="000000"/>
                <w:spacing w:val="0"/>
                <w:sz w:val="18"/>
                <w:szCs w:val="18"/>
              </w:rPr>
              <w:t>37.6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numPr>
          <w:ilvl w:val="0"/>
          <w:numId w:val="35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苑博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完成HRNet在[道路提取]与[建筑物提取]任务上的测试，结果如下：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1800"/>
        <w:gridCol w:w="1800"/>
        <w:gridCol w:w="1800"/>
      </w:tblGrid>
      <w:tr>
        <w:trPr>
          <w:trHeight w:val="61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Dataset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trainset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testset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mIoU(%)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Inria(Building)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2800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800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81.1954</w:t>
            </w:r>
          </w:p>
        </w:tc>
      </w:tr>
      <w:tr>
        <w:trPr>
          <w:trHeight w:val="61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Mass_Road(Road)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1108（5540）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61（315）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80.6336</w:t>
            </w:r>
          </w:p>
        </w:tc>
      </w:tr>
    </w:tbl>
    <w:p>
      <w:pPr>
        <w:snapToGrid w:val="false"/>
        <w:spacing w:before="60" w:after="60" w:line="312" w:lineRule="auto"/>
        <w:ind w:leftChars="4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i w:val="true"/>
          <w:iCs w:val="true"/>
          <w:color w:val="333333"/>
          <w:sz w:val="22"/>
          <w:szCs w:val="22"/>
        </w:rPr>
        <w:t>仅使用HRNet作为baseline其性能便优于DeepLabv3+（Inria mIoU=77.60%）, 后续尽可能以HRNet作为backbone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上手mmsegmentation，完成其在遥感分割数据集上的流程测试，准备用于后续模型的构建和对比实验；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分析了基于Tranformer的语义分割方案的优缺点，准备例会分享</w:t>
      </w:r>
    </w:p>
    <w:p>
      <w:pPr>
        <w:pStyle w:val="heading2"/>
        <w:numPr>
          <w:ilvl w:val="0"/>
          <w:numId w:val="35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王晨旭</w:t>
      </w:r>
    </w:p>
    <w:p>
      <w:pPr>
        <w:numPr>
          <w:ilvl w:val="1"/>
          <w:numId w:val="3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撰写response，已完成reviewer1的一半的意见回复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项目进展：</w:t>
      </w:r>
    </w:p>
    <w:p>
      <w:pPr>
        <w:pStyle w:val="heading2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红外图像处理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完成图像配准与目标识别功能与软件系统的适配；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目标检测与目标跟踪虚警问题待优化；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界面观感待美化；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headerReference w:type="default" r:id="rId10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Style w:val="Header"/>
    </w:pPr>
    <w:sdt>
      <w:sdtPr>
        <w:id w:val="-1589924921"/>
        <w:lock w:val="sdtContentLocked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o:spt="136.0" adj="10800" path="m@7,l@8,m@5,21600l@6,21600e" coordsize="21600,21600" id="_x0000_t136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text="t" shapetype="t" v:ext="edit"/>
            </v:shapetype>
            <v:shape type="#_x0000_t136" style="position:absolute;margin-left:0;margin-top:0;width:527.85pt;height:131.95pt;rotation:315;z-index:-251658752;mso-position-horizontal:center;mso-position-horizontal-relative:margin;mso-position-vertical:center;mso-position-vertical-relative:margin" id="PowerPlusWaterMarkObject357476642" o:spid="_x0000_s2049" o:allowincell="f" stroked="f" fillcolor="silver">
              <v:fill opacity=".5"/>
              <v:textpath string="D718课题组" style="font-family:&quot;微软雅黑&quot;;font-size:1pt"/>
              <w10:wrap anchorx="margin" anchory="margin"/>
            </v:shape>
          </w:pict>
        </w:r>
      </w:sdtContent>
    </w:sdt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github.com/laboratory0/KBMS/tree/main/Regular_Reports" Type="http://schemas.openxmlformats.org/officeDocument/2006/relationships/hyperlink" Id="rId9"/><Relationship Target="header.xml" Type="http://schemas.openxmlformats.org/officeDocument/2006/relationships/header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