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Rule="auto"/>
        <w:ind/>
        <w:jc w:val="left"/>
        <w:rPr>
          <w:rFonts w:ascii="微软雅黑" w:hAnsi="微软雅黑" w:eastAsia="微软雅黑"/>
        </w:rPr>
      </w:pPr>
      <w:r>
        <w:rPr>
          <w:rFonts w:ascii="微软雅黑" w:hAnsi="微软雅黑" w:eastAsia="微软雅黑"/>
        </w:rPr>
        <w:t>课题组双周报2021.01.07-2021.01.20</w:t>
      </w:r>
    </w:p>
    <w:p>
      <w:pPr>
        <w:snapToGrid w:val="false"/>
        <w:spacing w:before="60" w:after="60" w:line="312"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t>请大家分别将自己在近段时间内的工作内容做下总结，包括且不限于工作内容、实验结果、代码工具分享、下一步计划等。尽量以#简洁详实#为撰写原则，把工作进度描述清楚即可。以已完成或正在进行的工作内容为主，下一步想法或计划非此文档的主要记录内容，简述即可。</w:t>
      </w:r>
    </w:p>
    <w:p>
      <w:pPr>
        <w:snapToGrid w:val="false"/>
        <w:spacing w:before="60" w:after="60" w:line="312" w:lineRule="auto"/>
        <w:ind w:left="0"/>
        <w:jc w:val="left"/>
        <w:rPr>
          <w:rFonts w:ascii="微软雅黑" w:hAnsi="微软雅黑" w:eastAsia="微软雅黑"/>
          <w:i w:val="true"/>
          <w:iCs w:val="true"/>
          <w:color w:val="333333"/>
          <w:sz w:val="22"/>
          <w:szCs w:val="22"/>
        </w:rPr>
      </w:pPr>
      <w:r>
        <w:rPr>
          <w:rFonts w:ascii="微软雅黑" w:hAnsi="微软雅黑" w:eastAsia="微软雅黑"/>
          <w:i w:val="true"/>
          <w:iCs w:val="true"/>
          <w:color w:val="333333"/>
          <w:sz w:val="22"/>
          <w:szCs w:val="22"/>
        </w:rPr>
        <w:t>（前期探索还需要一定的磨合，欢迎大家探索提出更好的模式！祝愿课题组越来越好）</w:t>
      </w:r>
    </w:p>
    <w:p>
      <w:pPr>
        <w:snapToGrid w:val="false"/>
        <w:spacing w:before="60" w:after="60" w:line="312"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t>往期文档链接：</w:t>
      </w:r>
      <w:hyperlink r:id="rId9">
        <w:r>
          <w:rPr>
            <w:rFonts w:ascii="微软雅黑" w:hAnsi="微软雅黑" w:eastAsia="微软雅黑"/>
            <w:color w:val="1e6fff"/>
            <w:sz w:val="22"/>
            <w:szCs w:val="22"/>
            <w:u w:val="single"/>
          </w:rPr>
          <w:t>https://github.com/laboratory0/KBMS/tree/main/Regular_Reports</w:t>
        </w:r>
      </w:hyperlink>
    </w:p>
    <w:tbl>
      <w:tblPr>
        <w:tblStyle w:val="a7"/>
        <w:tblW w:w="0" w:type="auto"/>
        <w:tblInd w:w="-7"/>
        <w:tblLayout w:type="fixed"/>
        <w:tblCellMar>
          <w:top w:w="120"/>
          <w:left w:w="60"/>
          <w:bottom w:w="120"/>
          <w:right w:w="60"/>
        </w:tblCellMar>
        <w:tblLook w:firstRow="1" w:lastRow="0" w:firstColumn="1" w:lastColumn="0" w:noHBand="0" w:noVBand="1" w:val="04A0"/>
      </w:tblPr>
      <w:tblGrid>
        <w:gridCol w:w="2250"/>
        <w:gridCol w:w="2250"/>
        <w:gridCol w:w="2235"/>
        <w:gridCol w:w="2250"/>
      </w:tblGrid>
      <w:tr>
        <w:trPr>
          <w:trHeight w:val="480" w:hRule="atLeast"/>
        </w:trPr>
        <w:tc>
          <w:tcPr>
            <w:tcW w:w="8985" w:type="dxa"/>
            <w:gridSpan w:val="4"/>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b w:val="true"/>
                <w:bCs w:val="true"/>
                <w:color w:val="333333"/>
                <w:sz w:val="22"/>
                <w:szCs w:val="22"/>
              </w:rPr>
              <w:t>主要研究方向（请根据研究进展随时调整）</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袁智超</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朱纯博</w:t>
            </w:r>
          </w:p>
        </w:tc>
        <w:tc>
          <w:tcPr>
            <w:tcW w:w="22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苑博</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王晨旭</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目标检测、轻量化、嵌入式系统</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目标检测、SAR图像处理、域适应</w:t>
            </w:r>
          </w:p>
        </w:tc>
        <w:tc>
          <w:tcPr>
            <w:tcW w:w="22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语义分割、域适应</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语义分割、图网络</w:t>
            </w:r>
          </w:p>
        </w:tc>
      </w:tr>
    </w:tbl>
    <w:p>
      <w:pPr>
        <w:pStyle w:val="heading1"/>
        <w:snapToGrid w:val="false"/>
        <w:spacing w:lineRule="auto"/>
        <w:ind/>
        <w:jc w:val="left"/>
        <w:rPr>
          <w:rFonts w:ascii="微软雅黑" w:hAnsi="微软雅黑" w:eastAsia="微软雅黑"/>
        </w:rPr>
      </w:pPr>
      <w:r>
        <w:rPr>
          <w:rFonts w:ascii="微软雅黑" w:hAnsi="微软雅黑" w:eastAsia="微软雅黑"/>
        </w:rPr>
      </w:r>
      <w:r>
        <w:rPr>
          <w:rFonts w:ascii="微软雅黑" w:hAnsi="微软雅黑" w:eastAsia="微软雅黑"/>
        </w:rPr>
        <w:t>课题组To Do:</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p>
      <w:pPr>
        <w:numPr>
          <w:ilvl w:val="0"/>
          <w:numId w:val="41"/>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NAS安装完成，需要配置权限和上传数据，需要配置电脑端和服务器端访问软件。</w:t>
      </w:r>
    </w:p>
    <w:p>
      <w:pPr>
        <w:pStyle w:val="heading1"/>
        <w:snapToGrid w:val="false"/>
        <w:spacing w:lineRule="auto"/>
        <w:ind/>
        <w:jc w:val="left"/>
        <w:rPr>
          <w:rFonts w:ascii="微软雅黑" w:hAnsi="微软雅黑" w:eastAsia="微软雅黑"/>
        </w:rPr>
      </w:pPr>
      <w:r>
        <w:rPr>
          <w:rFonts w:ascii="微软雅黑" w:hAnsi="微软雅黑" w:eastAsia="微软雅黑"/>
        </w:rPr>
        <w:t>研究进展</w:t>
      </w:r>
    </w:p>
    <w:p>
      <w:pPr>
        <w:pStyle w:val="heading2"/>
        <w:snapToGrid w:val="false"/>
        <w:spacing w:lineRule="auto"/>
        <w:ind w:left="0"/>
        <w:jc w:val="left"/>
        <w:rPr>
          <w:rFonts w:ascii="微软雅黑" w:hAnsi="微软雅黑" w:eastAsia="微软雅黑"/>
        </w:rPr>
      </w:pPr>
      <w:r>
        <w:rPr>
          <w:rFonts w:ascii="微软雅黑" w:hAnsi="微软雅黑" w:eastAsia="微软雅黑"/>
        </w:rPr>
        <w:t>袁智超</w:t>
      </w:r>
    </w:p>
    <w:p>
      <w:pPr>
        <w:numPr>
          <w:ilvl w:val="0"/>
          <w:numId w:val="39"/>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师兄论文</w:t>
      </w:r>
    </w:p>
    <w:p>
      <w:pPr>
        <w:snapToGrid w:val="false"/>
        <w:spacing w:before="60" w:after="60" w:line="312" w:lineRule="auto"/>
        <w:ind w:leftChars="360"/>
        <w:jc w:val="left"/>
        <w:rPr>
          <w:rFonts w:ascii="微软雅黑" w:hAnsi="微软雅黑" w:eastAsia="微软雅黑"/>
          <w:color w:val="333333"/>
          <w:sz w:val="22"/>
          <w:szCs w:val="22"/>
        </w:rPr>
      </w:pPr>
      <w:r>
        <w:rPr>
          <w:rFonts w:ascii="微软雅黑" w:hAnsi="微软雅黑" w:eastAsia="微软雅黑"/>
          <w:color w:val="333333"/>
          <w:sz w:val="22"/>
          <w:szCs w:val="22"/>
        </w:rPr>
        <w:t>修改摘要、贡献、结论，修改RFB模块的描述和解释，主图结构还需优化。</w:t>
      </w:r>
    </w:p>
    <w:p>
      <w:pPr>
        <w:numPr>
          <w:ilvl w:val="0"/>
          <w:numId w:val="39"/>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知识蒸馏</w:t>
      </w:r>
    </w:p>
    <w:p>
      <w:pPr>
        <w:numPr>
          <w:ilvl w:val="0"/>
          <w:numId w:val="36"/>
        </w:numPr>
        <w:snapToGrid w:val="false"/>
        <w:spacing w:before="60" w:after="60" w:line="312" w:lineRule="auto"/>
        <w:ind w:leftChars="36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利用CenterNet在飞机和dior数据集上实验：</w:t>
      </w:r>
    </w:p>
    <w:p>
      <w:pPr>
        <w:snapToGrid w:val="false"/>
        <w:spacing w:before="60" w:after="60" w:line="312" w:lineRule="auto"/>
        <w:ind w:leftChars="520"/>
        <w:jc w:val="left"/>
        <w:rPr>
          <w:rFonts w:ascii="微软雅黑" w:hAnsi="微软雅黑" w:eastAsia="微软雅黑"/>
          <w:color w:val="333333"/>
          <w:sz w:val="22"/>
          <w:szCs w:val="22"/>
        </w:rPr>
      </w:pPr>
      <w:r>
        <w:rPr>
          <w:rFonts w:ascii="微软雅黑" w:hAnsi="微软雅黑" w:eastAsia="微软雅黑"/>
          <w:color w:val="333333"/>
          <w:sz w:val="22"/>
          <w:szCs w:val="22"/>
        </w:rPr>
        <w:t>在简单飞机数据集上普遍效果好，为体现轻量化优势可以进一步剪枝；</w:t>
      </w:r>
    </w:p>
    <w:p>
      <w:pPr>
        <w:snapToGrid w:val="false"/>
        <w:spacing w:before="60" w:after="60" w:line="312" w:lineRule="auto"/>
        <w:ind w:leftChars="520"/>
        <w:jc w:val="left"/>
        <w:rPr>
          <w:rFonts w:ascii="微软雅黑" w:hAnsi="微软雅黑" w:eastAsia="微软雅黑"/>
          <w:color w:val="333333"/>
          <w:sz w:val="22"/>
          <w:szCs w:val="22"/>
        </w:rPr>
      </w:pPr>
      <w:r>
        <w:rPr>
          <w:rFonts w:ascii="微软雅黑" w:hAnsi="微软雅黑" w:eastAsia="微软雅黑"/>
          <w:color w:val="333333"/>
          <w:sz w:val="22"/>
          <w:szCs w:val="22"/>
        </w:rPr>
        <w:t>在dior数据集上效果差，可以体现蒸馏效果但数据不太好看。</w:t>
      </w:r>
    </w:p>
    <w:tbl>
      <w:tblPr>
        <w:tblStyle w:val="a7"/>
        <w:tblW w:w="0" w:type="auto"/>
        <w:tblInd w:w="-7"/>
        <w:tblLayout w:type="fixed"/>
        <w:tblCellMar>
          <w:top w:w="120"/>
          <w:left w:w="60"/>
          <w:bottom w:w="120"/>
          <w:right w:w="60"/>
        </w:tblCellMar>
        <w:tblLook w:firstRow="1" w:lastRow="0" w:firstColumn="1" w:lastColumn="0" w:noHBand="0" w:noVBand="1" w:val="04A0"/>
      </w:tblPr>
      <w:tblGrid>
        <w:gridCol w:w="2250"/>
        <w:gridCol w:w="2250"/>
        <w:gridCol w:w="2250"/>
        <w:gridCol w:w="2250"/>
      </w:tblGrid>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模型_输入</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数据集</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训练轮数</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mAP</w:t>
            </w:r>
          </w:p>
        </w:tc>
      </w:tr>
      <w:tr>
        <w:trPr>
          <w:trHeight w:val="615"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res101_384</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plane</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25</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99.11</w:t>
            </w:r>
          </w:p>
        </w:tc>
      </w:tr>
      <w:tr>
        <w:trPr>
          <w:trHeight w:val="615"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res18_384</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plane</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25</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98.66</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ghost16_384</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plane</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40</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96.60</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res101_384</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dior</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70</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63.85</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res18_384</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dior</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70</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55.60</w:t>
            </w:r>
          </w:p>
        </w:tc>
      </w:tr>
    </w:tbl>
    <w:p>
      <w:pPr>
        <w:numPr>
          <w:ilvl w:val="0"/>
          <w:numId w:val="36"/>
        </w:numPr>
        <w:snapToGrid w:val="false"/>
        <w:spacing w:before="60" w:after="60" w:line="312" w:lineRule="auto"/>
        <w:ind w:leftChars="36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r>
      <w:r>
        <w:rPr>
          <w:rFonts w:hint="eastAsia"/>
        </w:rPr>
      </w:r>
      <w:r>
        <w:rPr>
          <w:rFonts w:ascii="微软雅黑" w:hAnsi="微软雅黑" w:eastAsia="微软雅黑"/>
          <w:color w:val="333333"/>
          <w:sz w:val="22"/>
          <w:szCs w:val="22"/>
        </w:rPr>
        <w:t>分析CenterNet的backbone和热力图支路，可视化部分特征图：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p>
      <w:pPr>
        <w:snapToGrid w:val="false"/>
        <w:spacing w:before="60" w:after="60" w:line="312" w:lineRule="auto"/>
        <w:ind w:leftChars="520"/>
        <w:jc w:val="left"/>
        <w:rPr>
          <w:rFonts w:ascii="微软雅黑" w:hAnsi="微软雅黑" w:eastAsia="微软雅黑"/>
          <w:color w:val="333333"/>
          <w:sz w:val="22"/>
          <w:szCs w:val="22"/>
        </w:rPr>
      </w:pPr>
      <w:r>
        <w:rPr>
          <w:rFonts w:ascii="微软雅黑" w:hAnsi="微软雅黑" w:eastAsia="微软雅黑"/>
          <w:color w:val="333333"/>
          <w:sz w:val="22"/>
          <w:szCs w:val="22"/>
        </w:rPr>
        <w:t>热力图和深层特征图包含目标位置和类别信息，可以作为知识蒸馏的基础；</w:t>
      </w:r>
    </w:p>
    <w:p>
      <w:pPr>
        <w:snapToGrid w:val="false"/>
        <w:spacing w:before="60" w:after="60" w:line="312" w:lineRule="auto"/>
        <w:ind w:leftChars="520"/>
        <w:jc w:val="left"/>
        <w:rPr>
          <w:rFonts w:ascii="微软雅黑" w:hAnsi="微软雅黑" w:eastAsia="微软雅黑"/>
          <w:color w:val="333333"/>
          <w:sz w:val="22"/>
          <w:szCs w:val="22"/>
        </w:rPr>
      </w:pPr>
      <w:r>
        <w:rPr>
          <w:rFonts w:ascii="微软雅黑" w:hAnsi="微软雅黑" w:eastAsia="微软雅黑"/>
          <w:color w:val="333333"/>
          <w:sz w:val="22"/>
          <w:szCs w:val="22"/>
        </w:rPr>
        <w:t>下一步准备围绕热力图以及深层特征图的蒸馏展开设计和实验。</w:t>
      </w:r>
    </w:p>
    <w:tbl>
      <w:tblPr>
        <w:tblStyle w:val="a7"/>
        <w:tblW w:w="0" w:type="auto"/>
        <w:tblInd w:w="-7"/>
        <w:tblLayout w:type="fixed"/>
        <w:tblCellMar>
          <w:top w:w="120"/>
          <w:left w:w="60"/>
          <w:bottom w:w="120"/>
          <w:right w:w="60"/>
        </w:tblCellMar>
        <w:tblLook w:firstRow="1" w:lastRow="0" w:firstColumn="1" w:lastColumn="0" w:noHBand="0" w:noVBand="1" w:val="04A0"/>
      </w:tblPr>
      <w:tblGrid>
        <w:gridCol w:w="1290"/>
        <w:gridCol w:w="1290"/>
        <w:gridCol w:w="1275"/>
        <w:gridCol w:w="1290"/>
        <w:gridCol w:w="1290"/>
        <w:gridCol w:w="1290"/>
        <w:gridCol w:w="1290"/>
      </w:tblGrid>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原图</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layer2</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layer3</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layer4</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layer5</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热力图</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“高温”热力图</w:t>
            </w:r>
          </w:p>
        </w:tc>
      </w:tr>
      <w:tr>
        <w:trPr>
          <w:trHeight w:val="1515"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drawing>
                <wp:inline distT="0" distB="0" distL="0" distR="0">
                  <wp:extent cx="733425" cy="73342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733425" cy="733425"/>
                          </a:xfrm>
                          <a:prstGeom prst="rect">
                            <a:avLst/>
                          </a:prstGeom>
                        </pic:spPr>
                      </pic:pic>
                    </a:graphicData>
                  </a:graphic>
                </wp:inline>
              </w:drawing>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drawing>
                <wp:inline distT="0" distB="0" distL="0" distR="0">
                  <wp:extent cx="819150" cy="819150"/>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1"/>
                          <a:stretch>
                            <a:fillRect/>
                          </a:stretch>
                        </pic:blipFill>
                        <pic:spPr>
                          <a:xfrm>
                            <a:off x="0" y="0"/>
                            <a:ext cx="819150" cy="819150"/>
                          </a:xfrm>
                          <a:prstGeom prst="rect">
                            <a:avLst/>
                          </a:prstGeom>
                        </pic:spPr>
                      </pic:pic>
                    </a:graphicData>
                  </a:graphic>
                </wp:inline>
              </w:drawing>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drawing>
                <wp:inline distT="0" distB="0" distL="0" distR="0">
                  <wp:extent cx="809625" cy="809625"/>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2"/>
                          <a:stretch>
                            <a:fillRect/>
                          </a:stretch>
                        </pic:blipFill>
                        <pic:spPr>
                          <a:xfrm>
                            <a:off x="0" y="0"/>
                            <a:ext cx="809625" cy="809625"/>
                          </a:xfrm>
                          <a:prstGeom prst="rect">
                            <a:avLst/>
                          </a:prstGeom>
                        </pic:spPr>
                      </pic:pic>
                    </a:graphicData>
                  </a:graphic>
                </wp:inline>
              </w:drawing>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drawing>
                <wp:inline distT="0" distB="0" distL="0" distR="0">
                  <wp:extent cx="819150" cy="819150"/>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3"/>
                          <a:stretch>
                            <a:fillRect/>
                          </a:stretch>
                        </pic:blipFill>
                        <pic:spPr>
                          <a:xfrm>
                            <a:off x="0" y="0"/>
                            <a:ext cx="819150" cy="819150"/>
                          </a:xfrm>
                          <a:prstGeom prst="rect">
                            <a:avLst/>
                          </a:prstGeom>
                        </pic:spPr>
                      </pic:pic>
                    </a:graphicData>
                  </a:graphic>
                </wp:inline>
              </w:drawing>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drawing>
                <wp:inline distT="0" distB="0" distL="0" distR="0">
                  <wp:extent cx="819150" cy="819150"/>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4"/>
                          <a:stretch>
                            <a:fillRect/>
                          </a:stretch>
                        </pic:blipFill>
                        <pic:spPr>
                          <a:xfrm rot="16200000">
                            <a:off x="0" y="0"/>
                            <a:ext cx="819150" cy="819150"/>
                          </a:xfrm>
                          <a:prstGeom prst="rect">
                            <a:avLst/>
                          </a:prstGeom>
                        </pic:spPr>
                      </pic:pic>
                    </a:graphicData>
                  </a:graphic>
                </wp:inline>
              </w:drawing>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drawing>
                <wp:inline distT="0" distB="0" distL="0" distR="0">
                  <wp:extent cx="819150" cy="819150"/>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5"/>
                          <a:stretch>
                            <a:fillRect/>
                          </a:stretch>
                        </pic:blipFill>
                        <pic:spPr>
                          <a:xfrm>
                            <a:off x="0" y="0"/>
                            <a:ext cx="819150" cy="819150"/>
                          </a:xfrm>
                          <a:prstGeom prst="rect">
                            <a:avLst/>
                          </a:prstGeom>
                        </pic:spPr>
                      </pic:pic>
                    </a:graphicData>
                  </a:graphic>
                </wp:inline>
              </w:drawing>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drawing>
                <wp:inline distT="0" distB="0" distL="0" distR="0">
                  <wp:extent cx="819150" cy="819150"/>
                  <wp:effectExtent l="0" t="0" r="0" b="0"/>
                  <wp:docPr id="7" name="" descr=""/>
                  <wp:cNvGraphicFramePr>
                    <a:graphicFrameLocks noChangeAspect="true"/>
                  </wp:cNvGraphicFramePr>
                  <a:graphic>
                    <a:graphicData uri="http://schemas.openxmlformats.org/drawingml/2006/picture">
                      <pic:pic>
                        <pic:nvPicPr>
                          <pic:cNvPr id="7" name=""/>
                          <pic:cNvPicPr/>
                        </pic:nvPicPr>
                        <pic:blipFill>
                          <a:blip r:embed="rId16"/>
                          <a:stretch>
                            <a:fillRect/>
                          </a:stretch>
                        </pic:blipFill>
                        <pic:spPr>
                          <a:xfrm>
                            <a:off x="0" y="0"/>
                            <a:ext cx="819150" cy="819150"/>
                          </a:xfrm>
                          <a:prstGeom prst="rect">
                            <a:avLst/>
                          </a:prstGeom>
                        </pic:spPr>
                      </pic:pic>
                    </a:graphicData>
                  </a:graphic>
                </wp:inline>
              </w:drawing>
            </w:r>
          </w:p>
        </w:tc>
      </w:tr>
    </w:tbl>
    <w:p>
      <w:pPr>
        <w:numPr>
          <w:ilvl w:val="0"/>
          <w:numId w:val="36"/>
        </w:numPr>
        <w:snapToGrid w:val="false"/>
        <w:spacing w:before="60" w:after="60" w:line="312" w:lineRule="auto"/>
        <w:ind w:leftChars="36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r>
      <w:r>
        <w:rPr>
          <w:rFonts w:hint="eastAsia"/>
        </w:rPr>
      </w:r>
      <w:r>
        <w:rPr>
          <w:rFonts w:ascii="微软雅黑" w:hAnsi="微软雅黑" w:eastAsia="微软雅黑"/>
          <w:color w:val="333333"/>
          <w:sz w:val="22"/>
          <w:szCs w:val="22"/>
        </w:rPr>
        <w:t>根据“高温”softmax思想设计“高温”的热力图，减小热力图中正负样本的差距：</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p>
      <w:pPr>
        <w:snapToGrid w:val="false"/>
        <w:spacing w:before="60" w:after="60" w:line="312" w:lineRule="auto"/>
        <w:ind w:leftChars="520"/>
        <w:jc w:val="left"/>
        <w:rPr>
          <w:rFonts w:ascii="微软雅黑" w:hAnsi="微软雅黑" w:eastAsia="微软雅黑"/>
          <w:color w:val="333333"/>
          <w:sz w:val="22"/>
          <w:szCs w:val="22"/>
        </w:rPr>
      </w:pPr>
      <w:r>
        <w:rPr>
          <w:rFonts w:ascii="微软雅黑" w:hAnsi="微软雅黑" w:eastAsia="微软雅黑"/>
          <w:color w:val="333333"/>
          <w:sz w:val="22"/>
          <w:szCs w:val="22"/>
        </w:rPr>
        <w:t>可以看出确实减小了正负样本间的差距，下一步准备围绕“高温”热力图展开实验。</w:t>
      </w:r>
    </w:p>
    <w:tbl>
      <w:tblPr>
        <w:tblStyle w:val="a7"/>
        <w:tblW w:w="0" w:type="auto"/>
        <w:tblInd w:w="-7"/>
        <w:tblLayout w:type="fixed"/>
        <w:tblCellMar>
          <w:top w:w="120"/>
          <w:left w:w="60"/>
          <w:bottom w:w="120"/>
          <w:right w:w="60"/>
        </w:tblCellMar>
        <w:tblLook w:firstRow="1" w:lastRow="0" w:firstColumn="1" w:lastColumn="0" w:noHBand="0" w:noVBand="1" w:val="04A0"/>
      </w:tblPr>
      <w:tblGrid>
        <w:gridCol w:w="4515"/>
        <w:gridCol w:w="4515"/>
      </w:tblGrid>
      <w:tr>
        <w:trPr>
          <w:trHeight w:val="480" w:hRule="atLeast"/>
        </w:trPr>
        <w:tc>
          <w:tcPr>
            <w:tcW w:w="45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热力图</w:t>
            </w:r>
          </w:p>
        </w:tc>
        <w:tc>
          <w:tcPr>
            <w:tcW w:w="45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“高温”热力图</w:t>
            </w:r>
          </w:p>
        </w:tc>
      </w:tr>
      <w:tr>
        <w:trPr>
          <w:trHeight w:val="480" w:hRule="atLeast"/>
        </w:trPr>
        <w:tc>
          <w:tcPr>
            <w:tcW w:w="45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drawing>
                <wp:inline distT="0" distB="0" distL="0" distR="0">
                  <wp:extent cx="2867025" cy="2152322"/>
                  <wp:effectExtent l="0" t="0" r="0" b="0"/>
                  <wp:docPr id="8" name="" descr=""/>
                  <wp:cNvGraphicFramePr>
                    <a:graphicFrameLocks noChangeAspect="true"/>
                  </wp:cNvGraphicFramePr>
                  <a:graphic>
                    <a:graphicData uri="http://schemas.openxmlformats.org/drawingml/2006/picture">
                      <pic:pic>
                        <pic:nvPicPr>
                          <pic:cNvPr id="8" name=""/>
                          <pic:cNvPicPr/>
                        </pic:nvPicPr>
                        <pic:blipFill>
                          <a:blip r:embed="rId17"/>
                          <a:stretch>
                            <a:fillRect/>
                          </a:stretch>
                        </pic:blipFill>
                        <pic:spPr>
                          <a:xfrm>
                            <a:off x="0" y="0"/>
                            <a:ext cx="2867025" cy="2152322"/>
                          </a:xfrm>
                          <a:prstGeom prst="rect">
                            <a:avLst/>
                          </a:prstGeom>
                        </pic:spPr>
                      </pic:pic>
                    </a:graphicData>
                  </a:graphic>
                </wp:inline>
              </w:drawing>
            </w:r>
          </w:p>
        </w:tc>
        <w:tc>
          <w:tcPr>
            <w:tcW w:w="45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240"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drawing>
                <wp:inline distT="0" distB="0" distL="0" distR="0">
                  <wp:extent cx="2867025" cy="2152232"/>
                  <wp:effectExtent l="0" t="0" r="0" b="0"/>
                  <wp:docPr id="9" name="" descr=""/>
                  <wp:cNvGraphicFramePr>
                    <a:graphicFrameLocks noChangeAspect="true"/>
                  </wp:cNvGraphicFramePr>
                  <a:graphic>
                    <a:graphicData uri="http://schemas.openxmlformats.org/drawingml/2006/picture">
                      <pic:pic>
                        <pic:nvPicPr>
                          <pic:cNvPr id="9" name=""/>
                          <pic:cNvPicPr/>
                        </pic:nvPicPr>
                        <pic:blipFill>
                          <a:blip r:embed="rId18"/>
                          <a:stretch>
                            <a:fillRect/>
                          </a:stretch>
                        </pic:blipFill>
                        <pic:spPr>
                          <a:xfrm>
                            <a:off x="0" y="0"/>
                            <a:ext cx="2867025" cy="2152232"/>
                          </a:xfrm>
                          <a:prstGeom prst="rect">
                            <a:avLst/>
                          </a:prstGeom>
                        </pic:spPr>
                      </pic:pic>
                    </a:graphicData>
                  </a:graphic>
                </wp:inline>
              </w:drawing>
            </w:r>
          </w:p>
        </w:tc>
      </w:tr>
    </w:tbl>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p>
      <w:pPr>
        <w:pStyle w:val="heading2"/>
        <w:snapToGrid w:val="false"/>
        <w:spacing w:lineRule="auto"/>
        <w:ind w:left="0"/>
        <w:jc w:val="left"/>
        <w:rPr>
          <w:rFonts w:ascii="微软雅黑" w:hAnsi="微软雅黑" w:eastAsia="微软雅黑"/>
        </w:rPr>
      </w:pPr>
      <w:r>
        <w:rPr>
          <w:rFonts w:ascii="微软雅黑" w:hAnsi="微软雅黑" w:eastAsia="微软雅黑"/>
        </w:rPr>
        <w:t>朱纯博</w:t>
      </w:r>
    </w:p>
    <w:p>
      <w:pPr>
        <w:numPr>
          <w:ilvl w:val="0"/>
          <w:numId w:val="38"/>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SAR图像实例分割</w:t>
      </w:r>
    </w:p>
    <w:p>
      <w:pPr>
        <w:snapToGrid w:val="false"/>
        <w:spacing w:before="60" w:after="60" w:line="312" w:lineRule="auto"/>
        <w:ind w:leftChars="360"/>
        <w:jc w:val="left"/>
        <w:rPr>
          <w:rFonts w:ascii="微软雅黑" w:hAnsi="微软雅黑" w:eastAsia="微软雅黑"/>
          <w:color w:val="333333"/>
          <w:sz w:val="22"/>
          <w:szCs w:val="22"/>
        </w:rPr>
      </w:pPr>
      <w:r>
        <w:rPr>
          <w:rFonts w:ascii="微软雅黑" w:hAnsi="微软雅黑" w:eastAsia="微软雅黑"/>
          <w:color w:val="333333"/>
          <w:sz w:val="22"/>
          <w:szCs w:val="22"/>
        </w:rPr>
        <w:t>基于注意力机制和多尺度特征融合对实例分割网络进行改进，在resnet50的下采样部分使用self-attention与senet结合的方式挖掘下采样中损失的信息，在非下采样部分使用金字塔卷积方式替换原有的普通3×3卷积，后者代码已完成实验正在进行，前者在maskrcnn上提升效果明显，如下表：</w:t>
      </w:r>
    </w:p>
    <w:tbl>
      <w:tblPr>
        <w:tblStyle w:val="a7"/>
        <w:tblW w:w="0" w:type="auto"/>
        <w:tblInd w:w="-97"/>
        <w:tblLayout w:type="fixed"/>
        <w:tblCellMar>
          <w:top w:w="120"/>
          <w:left w:w="60"/>
          <w:bottom w:w="120"/>
          <w:right w:w="60"/>
        </w:tblCellMar>
        <w:tblLook w:firstRow="1" w:lastRow="0" w:firstColumn="1" w:lastColumn="0" w:noHBand="0" w:noVBand="1" w:val="04A0"/>
      </w:tblPr>
      <w:tblGrid>
        <w:gridCol w:w="630"/>
        <w:gridCol w:w="705"/>
        <w:gridCol w:w="690"/>
        <w:gridCol w:w="705"/>
        <w:gridCol w:w="690"/>
        <w:gridCol w:w="720"/>
        <w:gridCol w:w="705"/>
        <w:gridCol w:w="690"/>
        <w:gridCol w:w="705"/>
        <w:gridCol w:w="690"/>
        <w:gridCol w:w="690"/>
        <w:gridCol w:w="705"/>
        <w:gridCol w:w="690"/>
      </w:tblGrid>
      <w:tr>
        <w:trPr>
          <w:trHeight w:val="510" w:hRule="atLeast"/>
        </w:trPr>
        <w:tc>
          <w:tcPr>
            <w:tcW w:w="630" w:type="dxa"/>
            <w:vMerge w:val="restart"/>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　</w:t>
            </w:r>
          </w:p>
          <w:p>
            <w:pPr>
              <w:snapToGrid w:val="false"/>
              <w:spacing w:before="60" w:after="60" w:line="312" w:lineRule="auto"/>
              <w:ind/>
              <w:jc w:val="center"/>
              <w:rPr>
                <w:rFonts w:ascii="微软雅黑" w:hAnsi="微软雅黑" w:eastAsia="微软雅黑"/>
                <w:color w:val="333333"/>
                <w:sz w:val="21"/>
                <w:szCs w:val="21"/>
              </w:rPr>
            </w:pPr>
            <w:hyperlink r:id="rId19">
              <w:r>
                <w:rPr>
                  <w:rFonts w:ascii="微软雅黑" w:hAnsi="微软雅黑" w:eastAsia="微软雅黑"/>
                  <w:color w:val="1e6fff"/>
                  <w:sz w:val="22"/>
                  <w:szCs w:val="22"/>
                  <w:u w:val="single"/>
                </w:rPr>
                <w:t>　</w:t>
              </w:r>
            </w:hyperlink>
          </w:p>
        </w:tc>
        <w:tc>
          <w:tcPr>
            <w:tcW w:w="4215" w:type="dxa"/>
            <w:gridSpan w:val="6"/>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bbox</w:t>
            </w:r>
          </w:p>
        </w:tc>
        <w:tc>
          <w:tcPr>
            <w:tcW w:w="4170" w:type="dxa"/>
            <w:gridSpan w:val="6"/>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segm</w:t>
            </w:r>
          </w:p>
        </w:tc>
      </w:tr>
      <w:tr>
        <w:trPr>
          <w:trHeight w:val="270" w:hRule="atLeast"/>
        </w:trPr>
        <w:tc>
          <w:tcPr>
            <w:tcW w:w="630" w:type="dxa"/>
            <w:vMerge w:val="continue"/>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r>
          </w:p>
        </w:tc>
        <w:tc>
          <w:tcPr>
            <w:tcW w:w="705"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AP</w:t>
            </w:r>
          </w:p>
        </w:tc>
        <w:tc>
          <w:tcPr>
            <w:tcW w:w="69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AP5</w:t>
            </w:r>
          </w:p>
        </w:tc>
        <w:tc>
          <w:tcPr>
            <w:tcW w:w="705"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AP75</w:t>
            </w:r>
          </w:p>
        </w:tc>
        <w:tc>
          <w:tcPr>
            <w:tcW w:w="69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Aps</w:t>
            </w:r>
          </w:p>
        </w:tc>
        <w:tc>
          <w:tcPr>
            <w:tcW w:w="72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Apm</w:t>
            </w:r>
          </w:p>
        </w:tc>
        <w:tc>
          <w:tcPr>
            <w:tcW w:w="705"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Apl</w:t>
            </w:r>
          </w:p>
        </w:tc>
        <w:tc>
          <w:tcPr>
            <w:tcW w:w="69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AP</w:t>
            </w:r>
          </w:p>
        </w:tc>
        <w:tc>
          <w:tcPr>
            <w:tcW w:w="705"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AP50</w:t>
            </w:r>
          </w:p>
        </w:tc>
        <w:tc>
          <w:tcPr>
            <w:tcW w:w="69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AP75</w:t>
            </w:r>
          </w:p>
        </w:tc>
        <w:tc>
          <w:tcPr>
            <w:tcW w:w="69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Aps</w:t>
            </w:r>
          </w:p>
        </w:tc>
        <w:tc>
          <w:tcPr>
            <w:tcW w:w="705"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Apm</w:t>
            </w:r>
          </w:p>
        </w:tc>
        <w:tc>
          <w:tcPr>
            <w:tcW w:w="69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Apl</w:t>
            </w:r>
          </w:p>
        </w:tc>
      </w:tr>
      <w:tr>
        <w:trPr>
          <w:trHeight w:val="270" w:hRule="atLeast"/>
        </w:trPr>
        <w:tc>
          <w:tcPr>
            <w:tcW w:w="63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base</w:t>
            </w:r>
          </w:p>
        </w:tc>
        <w:tc>
          <w:tcPr>
            <w:tcW w:w="705"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63.69</w:t>
            </w:r>
          </w:p>
        </w:tc>
        <w:tc>
          <w:tcPr>
            <w:tcW w:w="69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88.35</w:t>
            </w:r>
          </w:p>
        </w:tc>
        <w:tc>
          <w:tcPr>
            <w:tcW w:w="705"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74.30</w:t>
            </w:r>
          </w:p>
        </w:tc>
        <w:tc>
          <w:tcPr>
            <w:tcW w:w="69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64.77</w:t>
            </w:r>
          </w:p>
        </w:tc>
        <w:tc>
          <w:tcPr>
            <w:tcW w:w="72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65.23</w:t>
            </w:r>
          </w:p>
        </w:tc>
        <w:tc>
          <w:tcPr>
            <w:tcW w:w="705"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49.23</w:t>
            </w:r>
          </w:p>
        </w:tc>
        <w:tc>
          <w:tcPr>
            <w:tcW w:w="69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54.68</w:t>
            </w:r>
          </w:p>
        </w:tc>
        <w:tc>
          <w:tcPr>
            <w:tcW w:w="705"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86.47</w:t>
            </w:r>
          </w:p>
        </w:tc>
        <w:tc>
          <w:tcPr>
            <w:tcW w:w="69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64.17</w:t>
            </w:r>
          </w:p>
        </w:tc>
        <w:tc>
          <w:tcPr>
            <w:tcW w:w="69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54.04</w:t>
            </w:r>
          </w:p>
        </w:tc>
        <w:tc>
          <w:tcPr>
            <w:tcW w:w="705"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62.16</w:t>
            </w:r>
          </w:p>
        </w:tc>
        <w:tc>
          <w:tcPr>
            <w:tcW w:w="69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40.48</w:t>
            </w:r>
          </w:p>
        </w:tc>
      </w:tr>
      <w:tr>
        <w:trPr>
          <w:trHeight w:val="270" w:hRule="atLeast"/>
        </w:trPr>
        <w:tc>
          <w:tcPr>
            <w:tcW w:w="63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ours</w:t>
            </w:r>
          </w:p>
        </w:tc>
        <w:tc>
          <w:tcPr>
            <w:tcW w:w="705"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64.12</w:t>
            </w:r>
          </w:p>
        </w:tc>
        <w:tc>
          <w:tcPr>
            <w:tcW w:w="69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89.25</w:t>
            </w:r>
          </w:p>
        </w:tc>
        <w:tc>
          <w:tcPr>
            <w:tcW w:w="705"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75.12</w:t>
            </w:r>
          </w:p>
        </w:tc>
        <w:tc>
          <w:tcPr>
            <w:tcW w:w="69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65.15</w:t>
            </w:r>
          </w:p>
        </w:tc>
        <w:tc>
          <w:tcPr>
            <w:tcW w:w="72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65.01</w:t>
            </w:r>
          </w:p>
        </w:tc>
        <w:tc>
          <w:tcPr>
            <w:tcW w:w="705"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51.70</w:t>
            </w:r>
          </w:p>
        </w:tc>
        <w:tc>
          <w:tcPr>
            <w:tcW w:w="69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55.09</w:t>
            </w:r>
          </w:p>
        </w:tc>
        <w:tc>
          <w:tcPr>
            <w:tcW w:w="705"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87.33</w:t>
            </w:r>
          </w:p>
        </w:tc>
        <w:tc>
          <w:tcPr>
            <w:tcW w:w="69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64.90</w:t>
            </w:r>
          </w:p>
        </w:tc>
        <w:tc>
          <w:tcPr>
            <w:tcW w:w="69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54.41</w:t>
            </w:r>
          </w:p>
        </w:tc>
        <w:tc>
          <w:tcPr>
            <w:tcW w:w="705"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62.37</w:t>
            </w:r>
          </w:p>
        </w:tc>
        <w:tc>
          <w:tcPr>
            <w:tcW w:w="690" w:type="dxa"/>
            <w:tcBorders>
              <w:top w:val="single" w:color="999999" w:sz="8" w:space="0"/>
              <w:left w:val="single" w:color="999999" w:sz="8" w:space="0"/>
              <w:bottom w:val="single" w:color="999999" w:sz="8" w:space="0"/>
              <w:right w:val="single" w:color="999999"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42.22</w:t>
            </w:r>
          </w:p>
        </w:tc>
      </w:tr>
    </w:tbl>
    <w:p>
      <w:pPr>
        <w:numPr>
          <w:ilvl w:val="0"/>
          <w:numId w:val="37"/>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r>
      <w:r>
        <w:rPr>
          <w:rFonts w:hint="eastAsia"/>
        </w:rPr>
      </w:r>
      <w:r>
        <w:rPr>
          <w:rFonts w:ascii="微软雅黑" w:hAnsi="微软雅黑" w:eastAsia="微软雅黑"/>
          <w:color w:val="333333"/>
          <w:sz w:val="22"/>
          <w:szCs w:val="22"/>
        </w:rPr>
        <w:t>基于语义标注生成遥感图像</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p>
      <w:pPr>
        <w:snapToGrid w:val="false"/>
        <w:spacing w:before="60" w:after="60" w:line="312" w:lineRule="auto"/>
        <w:ind w:leftChars="360"/>
        <w:jc w:val="left"/>
        <w:rPr>
          <w:rFonts w:ascii="微软雅黑" w:hAnsi="微软雅黑" w:eastAsia="微软雅黑"/>
          <w:color w:val="333333"/>
          <w:sz w:val="22"/>
          <w:szCs w:val="22"/>
        </w:rPr>
      </w:pPr>
      <w:r>
        <w:rPr>
          <w:rFonts w:ascii="微软雅黑" w:hAnsi="微软雅黑" w:eastAsia="微软雅黑"/>
          <w:color w:val="333333"/>
          <w:sz w:val="22"/>
          <w:szCs w:val="22"/>
        </w:rPr>
        <w:t>在水体分割数据集上训练英伟达spade模型，不同于风格迁移，该模型不需要两个域的图像，且语义信息和图像按像素一一对应，结果显示：</w:t>
      </w:r>
      <w:r>
        <w:rPr>
          <w:rFonts w:ascii="微软雅黑" w:hAnsi="微软雅黑" w:eastAsia="微软雅黑"/>
          <w:color w:val="333333"/>
          <w:sz w:val="22"/>
          <w:szCs w:val="22"/>
        </w:rPr>
        <w:t>对于水体占比大，边缘界限清晰的的图像效果较好；对于水体占比小，陆地颜色信息复杂的图像效果较差。但是SAR图像不具备该缺陷（同一语义类别的内容往往呈现出近似的灰度特征）</w:t>
      </w:r>
      <w:r>
        <w:rPr>
          <w:rFonts w:ascii="微软雅黑" w:hAnsi="微软雅黑" w:eastAsia="微软雅黑"/>
          <w:color w:val="333333"/>
          <w:sz w:val="22"/>
          <w:szCs w:val="22"/>
        </w:rPr>
        <w:t>，因此spade模型在SAR图像生成任务中有较大潜力，下一步会根据任务需求构建数据集进行实验。</w:t>
      </w:r>
    </w:p>
    <w:p>
      <w:pPr>
        <w:pStyle w:val="heading2"/>
        <w:snapToGrid w:val="false"/>
        <w:spacing w:lineRule="auto"/>
        <w:ind w:left="0"/>
        <w:jc w:val="left"/>
        <w:rPr>
          <w:rFonts w:ascii="微软雅黑" w:hAnsi="微软雅黑" w:eastAsia="微软雅黑"/>
        </w:rPr>
      </w:pPr>
      <w:r>
        <w:rPr>
          <w:rFonts w:ascii="微软雅黑" w:hAnsi="微软雅黑" w:eastAsia="微软雅黑"/>
        </w:rPr>
        <w:t>苑博</w:t>
      </w:r>
    </w:p>
    <w:p>
      <w:pPr>
        <w:numPr>
          <w:ilvl w:val="0"/>
          <w:numId w:val="34"/>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GRSL Response进度：</w:t>
      </w:r>
      <w:r>
        <w:rPr>
          <w:rFonts w:hint="eastAsia"/>
        </w:rPr>
      </w:r>
      <w:r>
        <w:rPr>
          <w:rFonts w:ascii="微软雅黑" w:hAnsi="微软雅黑" w:eastAsia="微软雅黑"/>
          <w:b w:val="true"/>
          <w:bCs w:val="true"/>
          <w:color w:val="333333"/>
          <w:sz w:val="22"/>
          <w:szCs w:val="22"/>
        </w:rPr>
        <w:t>13</w:t>
      </w:r>
      <w:r>
        <w:rPr>
          <w:rFonts w:hint="eastAsia"/>
        </w:rPr>
      </w:r>
      <w:r>
        <w:rPr>
          <w:rFonts w:ascii="微软雅黑" w:hAnsi="微软雅黑" w:eastAsia="微软雅黑"/>
          <w:color w:val="333333"/>
          <w:sz w:val="22"/>
          <w:szCs w:val="22"/>
        </w:rPr>
        <w:t>/17</w:t>
      </w:r>
      <w:r>
        <w:rPr>
          <w:rFonts w:hint="eastAsia"/>
        </w:rPr>
      </w:r>
      <w:r>
        <w:rPr>
          <w:rFonts w:ascii="微软雅黑" w:hAnsi="微软雅黑" w:eastAsia="微软雅黑"/>
          <w:color w:val="333333"/>
          <w:sz w:val="22"/>
          <w:szCs w:val="22"/>
        </w:rPr>
        <w:t>；论文进一步完善中，主要修缮部分：</w:t>
      </w:r>
    </w:p>
    <w:p>
      <w:pPr>
        <w:numPr>
          <w:ilvl w:val="1"/>
          <w:numId w:val="34"/>
        </w:numPr>
        <w:snapToGrid w:val="false"/>
        <w:spacing w:before="60" w:after="60" w:line="312" w:lineRule="auto"/>
        <w:ind w:leftChars="4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【METHODOLOGY】行文结构修改(审稿人建议)：数学(符号)基础→CycleGAN回顾→几何一致性原理→域适应网络(CAN)→分割网络(GSN)</w:t>
      </w:r>
    </w:p>
    <w:p>
      <w:pPr>
        <w:numPr>
          <w:ilvl w:val="1"/>
          <w:numId w:val="34"/>
        </w:numPr>
        <w:snapToGrid w:val="false"/>
        <w:spacing w:before="60" w:after="60" w:line="312" w:lineRule="auto"/>
        <w:ind w:leftChars="4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对比实验：补充AdaptSegNet(2018);  CLAN(2019)，实验运行中</w:t>
      </w:r>
    </w:p>
    <w:p>
      <w:pPr>
        <w:snapToGrid w:val="false"/>
        <w:spacing w:before="60" w:after="60" w:line="312" w:lineRule="auto"/>
        <w:ind w:leftChars="0"/>
        <w:jc w:val="left"/>
        <w:rPr>
          <w:rFonts w:ascii="微软雅黑" w:hAnsi="微软雅黑" w:eastAsia="微软雅黑"/>
          <w:i w:val="true"/>
          <w:iCs w:val="true"/>
          <w:color w:val="333333"/>
          <w:sz w:val="22"/>
          <w:szCs w:val="22"/>
        </w:rPr>
      </w:pPr>
      <w:r>
        <w:rPr>
          <w:rFonts w:ascii="微软雅黑" w:hAnsi="微软雅黑" w:eastAsia="微软雅黑"/>
          <w:i w:val="true"/>
          <w:iCs w:val="true"/>
          <w:color w:val="333333"/>
          <w:sz w:val="22"/>
          <w:szCs w:val="22"/>
        </w:rPr>
        <w:t>TABLE: Performance comparison in terms of per-class IoU and mIoU (%). * indicates both "vf" and "rot" geometry-consistency constraints are embedded.</w:t>
      </w:r>
    </w:p>
    <w:tbl>
      <w:tblPr>
        <w:tblStyle w:val="a7"/>
        <w:tblW w:w="0" w:type="auto"/>
        <w:tblInd w:w="-7"/>
        <w:tblLayout w:type="fixed"/>
        <w:tblCellMar>
          <w:top w:w="120"/>
          <w:left w:w="60"/>
          <w:bottom w:w="120"/>
          <w:right w:w="60"/>
        </w:tblCellMar>
        <w:tblLook w:firstRow="1" w:lastRow="0" w:firstColumn="1" w:lastColumn="0" w:noHBand="0" w:noVBand="1" w:val="04A0"/>
      </w:tblPr>
      <w:tblGrid>
        <w:gridCol w:w="1800"/>
        <w:gridCol w:w="1800"/>
        <w:gridCol w:w="1800"/>
        <w:gridCol w:w="1800"/>
        <w:gridCol w:w="1800"/>
      </w:tblGrid>
      <w:tr>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S→T</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Method</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building</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not-building</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mIoU</w:t>
            </w:r>
          </w:p>
        </w:tc>
      </w:tr>
      <w:tr>
        <w:trPr>
          <w:trHeight w:val="480" w:hRule="atLeast"/>
        </w:trPr>
        <w:tc>
          <w:tcPr>
            <w:tcW w:w="180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Inria</w:t>
            </w:r>
          </w:p>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w:t>
            </w:r>
          </w:p>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Massachusetts</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AdaptSegNet</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64.10</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76.58</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70.34</w:t>
            </w:r>
          </w:p>
        </w:tc>
      </w:tr>
      <w:tr>
        <w:trPr>
          <w:trHeight w:val="480" w:hRule="atLeast"/>
        </w:trPr>
        <w:tc>
          <w:tcPr>
            <w:tcW w:w="180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CLAN</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68.42</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82.54</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75.48</w:t>
            </w:r>
          </w:p>
        </w:tc>
      </w:tr>
      <w:tr>
        <w:trPr>
          <w:trHeight w:val="480" w:hRule="atLeast"/>
        </w:trPr>
        <w:tc>
          <w:tcPr>
            <w:tcW w:w="180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UGCNet*</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b w:val="true"/>
                <w:bCs w:val="true"/>
                <w:color w:val="333333"/>
                <w:sz w:val="21"/>
                <w:szCs w:val="21"/>
              </w:rPr>
            </w:pPr>
            <w:r>
              <w:rPr>
                <w:rFonts w:ascii="微软雅黑" w:hAnsi="微软雅黑" w:eastAsia="微软雅黑"/>
                <w:b w:val="true"/>
                <w:bCs w:val="true"/>
                <w:color w:val="333333"/>
                <w:sz w:val="22"/>
                <w:szCs w:val="22"/>
              </w:rPr>
              <w:t>69.56</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b w:val="true"/>
                <w:bCs w:val="true"/>
                <w:color w:val="333333"/>
                <w:sz w:val="21"/>
                <w:szCs w:val="21"/>
              </w:rPr>
            </w:pPr>
            <w:r>
              <w:rPr>
                <w:rFonts w:ascii="微软雅黑" w:hAnsi="微软雅黑" w:eastAsia="微软雅黑"/>
                <w:b w:val="true"/>
                <w:bCs w:val="true"/>
                <w:color w:val="333333"/>
                <w:sz w:val="22"/>
                <w:szCs w:val="22"/>
              </w:rPr>
              <w:t>83.52</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b w:val="true"/>
                <w:bCs w:val="true"/>
                <w:color w:val="333333"/>
                <w:sz w:val="21"/>
                <w:szCs w:val="21"/>
              </w:rPr>
            </w:pPr>
            <w:r>
              <w:rPr>
                <w:rFonts w:ascii="微软雅黑" w:hAnsi="微软雅黑" w:eastAsia="微软雅黑"/>
                <w:b w:val="true"/>
                <w:bCs w:val="true"/>
                <w:color w:val="333333"/>
                <w:sz w:val="22"/>
                <w:szCs w:val="22"/>
              </w:rPr>
              <w:t>76.54</w:t>
            </w:r>
          </w:p>
        </w:tc>
      </w:tr>
    </w:tbl>
    <w:p>
      <w:pPr>
        <w:numPr>
          <w:ilvl w:val="0"/>
          <w:numId w:val="35"/>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r>
      <w:r>
        <w:rPr>
          <w:rFonts w:hint="eastAsia"/>
        </w:rPr>
      </w:r>
      <w:r>
        <w:rPr>
          <w:rFonts w:ascii="微软雅黑" w:hAnsi="微软雅黑" w:eastAsia="微软雅黑"/>
          <w:color w:val="333333"/>
          <w:sz w:val="22"/>
          <w:szCs w:val="22"/>
        </w:rPr>
        <w:t xml:space="preserve">UGCNet*在Inria Aerial Image Labeling Leaderboard </w:t>
      </w:r>
      <w:r>
        <w:rPr>
          <w:rFonts w:hint="eastAsia"/>
        </w:rPr>
      </w:r>
      <w:r>
        <w:rPr>
          <w:rFonts w:ascii="微软雅黑" w:hAnsi="微软雅黑" w:eastAsia="微软雅黑"/>
          <w:color w:val="333333"/>
          <w:sz w:val="22"/>
          <w:szCs w:val="22"/>
          <w:u w:val="single"/>
        </w:rPr>
        <w:t>https://project.inria.fr/aerialimagelabeling/leaderboard/</w:t>
      </w:r>
      <w:r>
        <w:rPr>
          <w:rFonts w:hint="eastAsia"/>
        </w:rPr>
      </w:r>
      <w:r>
        <w:rPr>
          <w:rFonts w:ascii="微软雅黑" w:hAnsi="微软雅黑" w:eastAsia="微软雅黑"/>
          <w:color w:val="333333"/>
          <w:sz w:val="22"/>
          <w:szCs w:val="22"/>
        </w:rPr>
        <w:t>上的测试结果。截至2021.01.20， 最好的模型mIoU=81.06%, 所提的UGCNet为无监督方法，性能上仍有较大的提升空间（无监督方法性能与baseline架构强相关）</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tbl>
      <w:tblPr>
        <w:tblStyle w:val="a7"/>
        <w:tblW w:w="0" w:type="auto"/>
        <w:tblInd w:w="-7"/>
        <w:tblLayout w:type="fixed"/>
        <w:tblCellMar>
          <w:top w:w="120"/>
          <w:left w:w="60"/>
          <w:bottom w:w="120"/>
          <w:right w:w="60"/>
        </w:tblCellMar>
        <w:tblLook w:firstRow="1" w:lastRow="0" w:firstColumn="1" w:lastColumn="0" w:noHBand="0" w:noVBand="1" w:val="04A0"/>
      </w:tblPr>
      <w:tblGrid>
        <w:gridCol w:w="2850"/>
        <w:gridCol w:w="3015"/>
        <w:gridCol w:w="3015"/>
      </w:tblGrid>
      <w:tr>
        <w:trPr>
          <w:trHeight w:val="480" w:hRule="atLeast"/>
        </w:trPr>
        <w:tc>
          <w:tcPr>
            <w:tcW w:w="28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Region</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IoU (%)</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Accuracy (%)</w:t>
            </w:r>
          </w:p>
        </w:tc>
      </w:tr>
      <w:tr>
        <w:trPr>
          <w:trHeight w:val="480" w:hRule="atLeast"/>
        </w:trPr>
        <w:tc>
          <w:tcPr>
            <w:tcW w:w="28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color w:val="333333"/>
                <w:sz w:val="22"/>
                <w:szCs w:val="22"/>
              </w:rPr>
              <w:t>bellingham</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color w:val="333333"/>
                <w:sz w:val="22"/>
                <w:szCs w:val="22"/>
              </w:rPr>
              <w:t>63.40</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color w:val="333333"/>
                <w:sz w:val="22"/>
                <w:szCs w:val="22"/>
              </w:rPr>
              <w:t>96.00</w:t>
            </w:r>
          </w:p>
        </w:tc>
      </w:tr>
      <w:tr>
        <w:trPr>
          <w:trHeight w:val="480" w:hRule="atLeast"/>
        </w:trPr>
        <w:tc>
          <w:tcPr>
            <w:tcW w:w="28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color w:val="333333"/>
                <w:sz w:val="22"/>
                <w:szCs w:val="22"/>
              </w:rPr>
              <w:t>bloomington</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color w:val="333333"/>
                <w:sz w:val="22"/>
                <w:szCs w:val="22"/>
              </w:rPr>
              <w:t>57.34</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95.77</w:t>
            </w:r>
          </w:p>
        </w:tc>
      </w:tr>
      <w:tr>
        <w:trPr>
          <w:trHeight w:val="480" w:hRule="atLeast"/>
        </w:trPr>
        <w:tc>
          <w:tcPr>
            <w:tcW w:w="28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color w:val="333333"/>
                <w:sz w:val="22"/>
                <w:szCs w:val="22"/>
              </w:rPr>
              <w:t>innsbruck</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color w:val="333333"/>
                <w:sz w:val="22"/>
                <w:szCs w:val="22"/>
              </w:rPr>
              <w:t>63.98</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color w:val="333333"/>
                <w:sz w:val="22"/>
                <w:szCs w:val="22"/>
              </w:rPr>
              <w:t>94.97</w:t>
            </w:r>
          </w:p>
        </w:tc>
      </w:tr>
      <w:tr>
        <w:trPr>
          <w:trHeight w:val="480" w:hRule="atLeast"/>
        </w:trPr>
        <w:tc>
          <w:tcPr>
            <w:tcW w:w="28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sfo</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color w:val="333333"/>
                <w:sz w:val="22"/>
                <w:szCs w:val="22"/>
              </w:rPr>
              <w:t>66.73</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color w:val="333333"/>
                <w:sz w:val="22"/>
                <w:szCs w:val="22"/>
              </w:rPr>
              <w:t>88.36</w:t>
            </w:r>
          </w:p>
        </w:tc>
      </w:tr>
      <w:tr>
        <w:trPr>
          <w:trHeight w:val="480" w:hRule="atLeast"/>
        </w:trPr>
        <w:tc>
          <w:tcPr>
            <w:tcW w:w="28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color w:val="333333"/>
                <w:sz w:val="22"/>
                <w:szCs w:val="22"/>
              </w:rPr>
              <w:t xml:space="preserve">tyrol-e </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color w:val="333333"/>
                <w:sz w:val="22"/>
                <w:szCs w:val="22"/>
              </w:rPr>
              <w:t>67.42</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color w:val="333333"/>
                <w:sz w:val="22"/>
                <w:szCs w:val="22"/>
              </w:rPr>
              <w:t>96.65</w:t>
            </w:r>
          </w:p>
        </w:tc>
      </w:tr>
      <w:tr>
        <w:trPr>
          <w:trHeight w:val="615" w:hRule="atLeast"/>
        </w:trPr>
        <w:tc>
          <w:tcPr>
            <w:tcW w:w="2850" w:type="dxa"/>
            <w:tcBorders>
              <w:top w:val="single" w:color="000000" w:sz="8" w:space="0"/>
              <w:left w:val="single" w:color="000000" w:sz="8" w:space="0"/>
              <w:bottom w:val="single" w:color="000000" w:sz="8" w:space="0"/>
              <w:right w:val="single" w:color="000000" w:sz="8" w:space="0"/>
            </w:tcBorders>
            <w:shd w:val="clear" w:color="auto" w:fill="fff2cc"/>
            <w:vAlign w:val="center"/>
          </w:tcPr>
          <w:p>
            <w:pPr>
              <w:snapToGrid w:val="false"/>
              <w:spacing w:before="60" w:after="60" w:line="312" w:lineRule="auto"/>
              <w:ind/>
              <w:jc w:val="center"/>
              <w:rPr>
                <w:rFonts w:ascii="微软雅黑" w:hAnsi="微软雅黑" w:eastAsia="微软雅黑"/>
                <w:color w:val="333333"/>
                <w:sz w:val="21"/>
                <w:szCs w:val="21"/>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color w:val="333333"/>
                <w:sz w:val="22"/>
                <w:szCs w:val="22"/>
              </w:rPr>
              <w:t>Overall</w:t>
            </w:r>
          </w:p>
        </w:tc>
        <w:tc>
          <w:tcPr>
            <w:tcW w:w="3015" w:type="dxa"/>
            <w:tcBorders>
              <w:top w:val="single" w:color="000000" w:sz="8" w:space="0"/>
              <w:left w:val="single" w:color="000000" w:sz="8" w:space="0"/>
              <w:bottom w:val="single" w:color="000000" w:sz="8" w:space="0"/>
              <w:right w:val="single" w:color="000000" w:sz="8" w:space="0"/>
            </w:tcBorders>
            <w:shd w:val="clear" w:color="auto" w:fill="fff2cc"/>
            <w:vAlign w:val="center"/>
          </w:tcPr>
          <w:p>
            <w:pPr>
              <w:snapToGrid w:val="false"/>
              <w:spacing w:before="60" w:after="60" w:line="312" w:lineRule="auto"/>
              <w:ind/>
              <w:jc w:val="center"/>
              <w:rPr>
                <w:rFonts w:ascii="微软雅黑" w:hAnsi="微软雅黑" w:eastAsia="微软雅黑"/>
                <w:b w:val="true"/>
                <w:bCs w:val="true"/>
                <w:color w:val="333333"/>
                <w:sz w:val="21"/>
                <w:szCs w:val="21"/>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b w:val="true"/>
                <w:bCs w:val="true"/>
                <w:color w:val="333333"/>
                <w:sz w:val="22"/>
                <w:szCs w:val="22"/>
              </w:rPr>
              <w:t>64.72</w:t>
            </w:r>
          </w:p>
        </w:tc>
        <w:tc>
          <w:tcPr>
            <w:tcW w:w="3015" w:type="dxa"/>
            <w:tcBorders>
              <w:top w:val="single" w:color="000000" w:sz="8" w:space="0"/>
              <w:left w:val="single" w:color="000000" w:sz="8" w:space="0"/>
              <w:bottom w:val="single" w:color="000000" w:sz="8" w:space="0"/>
              <w:right w:val="single" w:color="000000" w:sz="8" w:space="0"/>
            </w:tcBorders>
            <w:shd w:val="clear" w:color="auto" w:fill="fff2cc"/>
            <w:vAlign w:val="center"/>
          </w:tcPr>
          <w:p>
            <w:pPr>
              <w:snapToGrid w:val="false"/>
              <w:spacing w:before="60" w:after="60" w:line="312" w:lineRule="auto"/>
              <w:ind/>
              <w:jc w:val="center"/>
              <w:rPr>
                <w:rFonts w:ascii="微软雅黑" w:hAnsi="微软雅黑" w:eastAsia="微软雅黑"/>
                <w:b w:val="true"/>
                <w:bCs w:val="true"/>
                <w:color w:val="333333"/>
                <w:sz w:val="21"/>
                <w:szCs w:val="21"/>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b w:val="true"/>
                <w:bCs w:val="true"/>
                <w:color w:val="333333"/>
                <w:sz w:val="22"/>
                <w:szCs w:val="22"/>
              </w:rPr>
              <w:t xml:space="preserve">94.35 </w:t>
            </w:r>
          </w:p>
        </w:tc>
      </w:tr>
      <w:tr>
        <w:trPr>
          <w:trHeight w:val="480" w:hRule="atLeast"/>
        </w:trPr>
        <w:tc>
          <w:tcPr>
            <w:tcW w:w="28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color w:val="333333"/>
                <w:sz w:val="22"/>
                <w:szCs w:val="22"/>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b w:val="true"/>
                <w:bCs w:val="true"/>
                <w:i w:val="true"/>
                <w:iCs w:val="true"/>
                <w:color w:val="333333"/>
                <w:sz w:val="22"/>
                <w:szCs w:val="22"/>
                <w:u w:val="single"/>
              </w:rPr>
              <w:t>SOTA</w:t>
            </w: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b w:val="true"/>
                <w:bCs w:val="true"/>
                <w:i w:val="true"/>
                <w:iCs w:val="true"/>
                <w:color w:val="333333"/>
                <w:sz w:val="22"/>
                <w:szCs w:val="22"/>
                <w:u w:val="single"/>
              </w:rPr>
              <w:t>(up to 2021.01.20)</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b w:val="true"/>
                <w:bCs w:val="true"/>
                <w:i w:val="true"/>
                <w:iCs w:val="true"/>
                <w:color w:val="333333"/>
                <w:sz w:val="22"/>
                <w:szCs w:val="22"/>
                <w:u w:val="single"/>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b w:val="true"/>
                <w:bCs w:val="true"/>
                <w:i w:val="true"/>
                <w:iCs w:val="true"/>
                <w:color w:val="333333"/>
                <w:sz w:val="22"/>
                <w:szCs w:val="22"/>
                <w:u w:val="single"/>
              </w:rPr>
              <w:t>81.06</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b w:val="true"/>
                <w:bCs w:val="true"/>
                <w:i w:val="true"/>
                <w:iCs w:val="true"/>
                <w:color w:val="333333"/>
                <w:sz w:val="22"/>
                <w:szCs w:val="22"/>
                <w:u w:val="single"/>
              </w:rPr>
            </w:pPr>
            <w:r>
              <w:rPr>
                <w:rFonts w:ascii="-apple-system,Helvetica Neue,Helvetica,PingFang SC,Microsoft YaHei,Source Han Sans SC,Noto Sans CJK SC,WenQuanYi Micro Hei,sans-serif" w:hAnsi="-apple-system,Helvetica Neue,Helvetica,PingFang SC,Microsoft YaHei,Source Han Sans SC,Noto Sans CJK SC,WenQuanYi Micro Hei,sans-serif" w:eastAsia="-apple-system,Helvetica Neue,Helvetica,PingFang SC,Microsoft YaHei,Source Han Sans SC,Noto Sans CJK SC,WenQuanYi Micro Hei,sans-serif"/>
                <w:b w:val="true"/>
                <w:bCs w:val="true"/>
                <w:i w:val="true"/>
                <w:iCs w:val="true"/>
                <w:color w:val="333333"/>
                <w:sz w:val="22"/>
                <w:szCs w:val="22"/>
                <w:u w:val="single"/>
              </w:rPr>
              <w:t>97.25</w:t>
            </w:r>
          </w:p>
        </w:tc>
      </w:tr>
    </w:tbl>
    <w:p>
      <w:pPr>
        <w:numPr>
          <w:ilvl w:val="0"/>
          <w:numId w:val="35"/>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r>
      <w:r>
        <w:rPr>
          <w:rFonts w:hint="eastAsia"/>
        </w:rPr>
      </w:r>
      <w:r>
        <w:rPr>
          <w:rFonts w:ascii="微软雅黑" w:hAnsi="微软雅黑" w:eastAsia="微软雅黑"/>
          <w:color w:val="333333"/>
          <w:sz w:val="22"/>
          <w:szCs w:val="22"/>
        </w:rPr>
        <w:t>补充Semantic Image Sunthesis: SPADE (NVIDIA 2019)在遥感道路提取数据集上的生成效果：</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p>
      <w:pPr>
        <w:numPr>
          <w:ilvl w:val="1"/>
          <w:numId w:val="35"/>
        </w:numPr>
        <w:snapToGrid w:val="false"/>
        <w:spacing w:before="60" w:after="60" w:line="312" w:lineRule="auto"/>
        <w:ind w:leftChars="4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label2rea</w:t>
      </w:r>
      <w:r>
        <w:rPr>
          <w:rFonts w:hint="eastAsia"/>
        </w:rPr>
      </w:r>
      <w:r>
        <w:rPr>
          <w:rFonts w:ascii="微软雅黑" w:hAnsi="微软雅黑" w:eastAsia="微软雅黑"/>
          <w:color w:val="333333"/>
          <w:sz w:val="22"/>
          <w:szCs w:val="22"/>
        </w:rPr>
        <w:t>l了</w:t>
      </w:r>
      <w:r>
        <w:rPr>
          <w:rFonts w:hint="eastAsia"/>
        </w:rPr>
      </w:r>
      <w:r>
        <w:rPr>
          <w:rFonts w:ascii="微软雅黑" w:hAnsi="微软雅黑" w:eastAsia="微软雅黑"/>
          <w:color w:val="333333"/>
          <w:sz w:val="22"/>
          <w:szCs w:val="22"/>
        </w:rPr>
        <w:t xml:space="preserve">的难点在于 </w:t>
      </w:r>
      <w:r>
        <w:rPr>
          <w:rFonts w:hint="eastAsia"/>
        </w:rPr>
      </w:r>
      <w:r>
        <w:rPr>
          <w:rFonts w:ascii="微软雅黑" w:hAnsi="微软雅黑" w:eastAsia="微软雅黑"/>
          <w:i w:val="true"/>
          <w:iCs w:val="true"/>
          <w:color w:val="333333"/>
          <w:sz w:val="22"/>
          <w:szCs w:val="22"/>
        </w:rPr>
        <w:t>对于相同类别的目标，其标注是完全相同的</w:t>
      </w:r>
      <w:r>
        <w:rPr>
          <w:rFonts w:hint="eastAsia"/>
        </w:rPr>
      </w:r>
      <w:r>
        <w:rPr>
          <w:rFonts w:ascii="微软雅黑" w:hAnsi="微软雅黑" w:eastAsia="微软雅黑"/>
          <w:color w:val="333333"/>
          <w:sz w:val="22"/>
          <w:szCs w:val="22"/>
        </w:rPr>
        <w:t>，但真实目标本身由于特性具有一定的分布范围，如白天与夜晚的天空、不同季节的植被、不同地区的建筑物等等，因此，从标注图生成真实图的缺陷在于生成图像无法与真实图像形成完全对齐的效果。某种程度上生成结果反映的是一类目标的“平均”特性或者是在某种场景下表现出的普遍特性：如某些风格建筑周围的植被是特定类型的。</w:t>
      </w:r>
    </w:p>
    <w:tbl>
      <w:tblPr>
        <w:tblStyle w:val="a7"/>
        <w:tblW w:w="0" w:type="auto"/>
        <w:tblInd w:w="-7"/>
        <w:tblLayout w:type="fixed"/>
        <w:tblCellMar>
          <w:top w:w="120"/>
          <w:left w:w="60"/>
          <w:bottom w:w="120"/>
          <w:right w:w="60"/>
        </w:tblCellMar>
        <w:tblLook w:firstRow="1" w:lastRow="0" w:firstColumn="1" w:lastColumn="0" w:noHBand="0" w:noVBand="1" w:val="04A0"/>
      </w:tblPr>
      <w:tblGrid>
        <w:gridCol w:w="3015"/>
        <w:gridCol w:w="3015"/>
        <w:gridCol w:w="3015"/>
      </w:tblGrid>
      <w:tr>
        <w:trPr>
          <w:trHeight w:val="480" w:hRule="atLeast"/>
        </w:trPr>
        <w:tc>
          <w:tcPr>
            <w:tcW w:w="30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input label</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real image</w:t>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synthesis</w:t>
            </w:r>
          </w:p>
        </w:tc>
      </w:tr>
      <w:tr>
        <w:trPr>
          <w:trHeight w:val="480" w:hRule="atLeast"/>
        </w:trPr>
        <w:tc>
          <w:tcPr>
            <w:tcW w:w="30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drawing>
                <wp:inline distT="0" distB="0" distL="0" distR="0">
                  <wp:extent cx="1914525" cy="1909590"/>
                  <wp:effectExtent l="0" t="0" r="0" b="0"/>
                  <wp:docPr id="10" name="" descr=""/>
                  <wp:cNvGraphicFramePr>
                    <a:graphicFrameLocks noChangeAspect="true"/>
                  </wp:cNvGraphicFramePr>
                  <a:graphic>
                    <a:graphicData uri="http://schemas.openxmlformats.org/drawingml/2006/picture">
                      <pic:pic>
                        <pic:nvPicPr>
                          <pic:cNvPr id="10" name=""/>
                          <pic:cNvPicPr/>
                        </pic:nvPicPr>
                        <pic:blipFill>
                          <a:blip r:embed="rId20"/>
                          <a:stretch>
                            <a:fillRect/>
                          </a:stretch>
                        </pic:blipFill>
                        <pic:spPr>
                          <a:xfrm>
                            <a:off x="0" y="0"/>
                            <a:ext cx="1914525" cy="1909590"/>
                          </a:xfrm>
                          <a:prstGeom prst="rect">
                            <a:avLst/>
                          </a:prstGeom>
                        </pic:spPr>
                      </pic:pic>
                    </a:graphicData>
                  </a:graphic>
                </wp:inline>
              </w:drawing>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drawing>
                <wp:inline distT="0" distB="0" distL="0" distR="0">
                  <wp:extent cx="1914525" cy="1914525"/>
                  <wp:effectExtent l="0" t="0" r="0" b="0"/>
                  <wp:docPr id="11" name="" descr=""/>
                  <wp:cNvGraphicFramePr>
                    <a:graphicFrameLocks noChangeAspect="true"/>
                  </wp:cNvGraphicFramePr>
                  <a:graphic>
                    <a:graphicData uri="http://schemas.openxmlformats.org/drawingml/2006/picture">
                      <pic:pic>
                        <pic:nvPicPr>
                          <pic:cNvPr id="11" name=""/>
                          <pic:cNvPicPr/>
                        </pic:nvPicPr>
                        <pic:blipFill>
                          <a:blip r:embed="rId21"/>
                          <a:stretch>
                            <a:fillRect/>
                          </a:stretch>
                        </pic:blipFill>
                        <pic:spPr>
                          <a:xfrm>
                            <a:off x="0" y="0"/>
                            <a:ext cx="1914525" cy="1914525"/>
                          </a:xfrm>
                          <a:prstGeom prst="rect">
                            <a:avLst/>
                          </a:prstGeom>
                        </pic:spPr>
                      </pic:pic>
                    </a:graphicData>
                  </a:graphic>
                </wp:inline>
              </w:drawing>
            </w:r>
          </w:p>
        </w:tc>
        <w:tc>
          <w:tcPr>
            <w:tcW w:w="301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drawing>
                <wp:inline distT="0" distB="0" distL="0" distR="0">
                  <wp:extent cx="1914525" cy="1904732"/>
                  <wp:effectExtent l="0" t="0" r="0" b="0"/>
                  <wp:docPr id="12" name="" descr=""/>
                  <wp:cNvGraphicFramePr>
                    <a:graphicFrameLocks noChangeAspect="true"/>
                  </wp:cNvGraphicFramePr>
                  <a:graphic>
                    <a:graphicData uri="http://schemas.openxmlformats.org/drawingml/2006/picture">
                      <pic:pic>
                        <pic:nvPicPr>
                          <pic:cNvPr id="12" name=""/>
                          <pic:cNvPicPr/>
                        </pic:nvPicPr>
                        <pic:blipFill>
                          <a:blip r:embed="rId22"/>
                          <a:stretch>
                            <a:fillRect/>
                          </a:stretch>
                        </pic:blipFill>
                        <pic:spPr>
                          <a:xfrm>
                            <a:off x="0" y="0"/>
                            <a:ext cx="1914525" cy="1904732"/>
                          </a:xfrm>
                          <a:prstGeom prst="rect">
                            <a:avLst/>
                          </a:prstGeom>
                        </pic:spPr>
                      </pic:pic>
                    </a:graphicData>
                  </a:graphic>
                </wp:inline>
              </w:drawing>
            </w:r>
          </w:p>
        </w:tc>
      </w:tr>
    </w:tbl>
    <w:p>
      <w:pPr>
        <w:numPr>
          <w:ilvl w:val="0"/>
          <w:numId w:val="35"/>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r>
      <w:r>
        <w:rPr>
          <w:rFonts w:hint="eastAsia"/>
        </w:rPr>
      </w:r>
      <w:r>
        <w:rPr>
          <w:rFonts w:ascii="微软雅黑" w:hAnsi="微软雅黑" w:eastAsia="微软雅黑"/>
          <w:color w:val="333333"/>
          <w:sz w:val="22"/>
          <w:szCs w:val="22"/>
        </w:rPr>
        <w:t>跨域语义分割方案设计：</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p>
      <w:pPr>
        <w:numPr>
          <w:ilvl w:val="1"/>
          <w:numId w:val="35"/>
        </w:numPr>
        <w:snapToGrid w:val="false"/>
        <w:spacing w:before="60" w:after="60" w:line="312" w:lineRule="auto"/>
        <w:ind w:leftChars="4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待完善(仅作存档)</w:t>
      </w:r>
    </w:p>
    <w:p>
      <w:pPr>
        <w:snapToGrid w:val="false"/>
        <w:spacing w:before="60" w:after="6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457825" cy="3286125"/>
            <wp:effectExtent l="0" t="0" r="0" b="0"/>
            <wp:docPr id="13" name="" descr=""/>
            <wp:cNvGraphicFramePr>
              <a:graphicFrameLocks noChangeAspect="true"/>
            </wp:cNvGraphicFramePr>
            <a:graphic>
              <a:graphicData uri="http://schemas.openxmlformats.org/drawingml/2006/picture">
                <pic:pic>
                  <pic:nvPicPr>
                    <pic:cNvPr id="13" name=""/>
                    <pic:cNvPicPr/>
                  </pic:nvPicPr>
                  <pic:blipFill>
                    <a:blip r:embed="rId23"/>
                    <a:stretch>
                      <a:fillRect/>
                    </a:stretch>
                  </pic:blipFill>
                  <pic:spPr>
                    <a:xfrm>
                      <a:off x="0" y="0"/>
                      <a:ext cx="5457825" cy="3286125"/>
                    </a:xfrm>
                    <a:prstGeom prst="rect">
                      <a:avLst/>
                    </a:prstGeom>
                  </pic:spPr>
                </pic:pic>
              </a:graphicData>
            </a:graphic>
          </wp:inline>
        </w:drawing>
      </w:r>
    </w:p>
    <w:p>
      <w:pPr>
        <w:snapToGrid w:val="false"/>
        <w:spacing w:before="60" w:after="60" w:line="312" w:lineRule="auto"/>
        <w:ind w:leftChars="400"/>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snapToGrid w:val="false"/>
        <w:spacing w:lineRule="auto"/>
        <w:ind w:left="0"/>
        <w:jc w:val="left"/>
        <w:rPr>
          <w:rFonts w:ascii="微软雅黑" w:hAnsi="微软雅黑" w:eastAsia="微软雅黑"/>
        </w:rPr>
      </w:pPr>
      <w:r>
        <w:rPr>
          <w:rFonts w:ascii="微软雅黑" w:hAnsi="微软雅黑" w:eastAsia="微软雅黑"/>
        </w:rPr>
        <w:t>王晨旭</w:t>
      </w:r>
    </w:p>
    <w:p>
      <w:pPr>
        <w:numPr>
          <w:ilvl w:val="0"/>
          <w:numId w:val="33"/>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GRSL response一稿完成</w:t>
      </w:r>
    </w:p>
    <w:p>
      <w:pPr>
        <w:numPr>
          <w:ilvl w:val="0"/>
          <w:numId w:val="33"/>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路网生成课题正在进行文献调研</w:t>
      </w:r>
    </w:p>
    <w:p>
      <w:pPr>
        <w:numPr>
          <w:ilvl w:val="0"/>
          <w:numId w:val="33"/>
        </w:numPr>
        <w:snapToGrid w:val="false"/>
        <w:spacing w:before="60" w:after="60" w:line="312" w:lineRule="auto"/>
        <w:ind/>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准备image-to-image translation的组会分享</w:t>
      </w:r>
    </w:p>
    <w:p>
      <w:pPr>
        <w:snapToGrid w:val="false"/>
        <w:spacing w:before="60" w:after="60" w:line="312" w:lineRule="auto"/>
        <w:ind w:leftChars="160"/>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1"/>
        <w:snapToGrid w:val="false"/>
        <w:spacing w:lineRule="auto"/>
        <w:ind/>
        <w:jc w:val="left"/>
        <w:rPr>
          <w:rFonts w:ascii="微软雅黑" w:hAnsi="微软雅黑" w:eastAsia="微软雅黑"/>
        </w:rPr>
      </w:pPr>
      <w:r>
        <w:rPr>
          <w:rFonts w:ascii="微软雅黑" w:hAnsi="微软雅黑" w:eastAsia="微软雅黑"/>
        </w:rPr>
        <w:t>项目进展：</w:t>
      </w:r>
    </w:p>
    <w:p>
      <w:pPr>
        <w:pStyle w:val="heading2"/>
        <w:numPr>
          <w:ilvl w:val="0"/>
          <w:numId w:val="40"/>
        </w:numPr>
        <w:snapToGrid w:val="false"/>
        <w:spacing w:lineRule="auto"/>
        <w:ind w:hangingChars="160"/>
        <w:jc w:val="left"/>
        <w:rPr>
          <w:rFonts w:ascii="微软雅黑" w:hAnsi="微软雅黑" w:eastAsia="微软雅黑"/>
        </w:rPr>
      </w:pPr>
      <w:r>
        <w:rPr>
          <w:rFonts w:hint="eastAsia"/>
        </w:rPr>
      </w:r>
      <w:r>
        <w:rPr>
          <w:rFonts w:ascii="微软雅黑" w:hAnsi="微软雅黑" w:eastAsia="微软雅黑"/>
        </w:rPr>
        <w:t>红外图像处理</w:t>
      </w:r>
    </w:p>
    <w:p>
      <w:pPr>
        <w:numPr>
          <w:ilvl w:val="1"/>
          <w:numId w:val="40"/>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暂无进展</w:t>
      </w:r>
    </w:p>
    <w:p>
      <w:pPr>
        <w:pStyle w:val="heading2"/>
        <w:numPr>
          <w:ilvl w:val="0"/>
          <w:numId w:val="40"/>
        </w:numPr>
        <w:snapToGrid w:val="false"/>
        <w:spacing w:lineRule="auto"/>
        <w:ind w:hangingChars="160"/>
        <w:jc w:val="left"/>
        <w:rPr>
          <w:rFonts w:ascii="微软雅黑" w:hAnsi="微软雅黑" w:eastAsia="微软雅黑"/>
        </w:rPr>
      </w:pPr>
      <w:r>
        <w:rPr>
          <w:rFonts w:hint="eastAsia"/>
        </w:rPr>
      </w:r>
      <w:r>
        <w:rPr>
          <w:rFonts w:ascii="微软雅黑" w:hAnsi="微软雅黑" w:eastAsia="微软雅黑"/>
        </w:rPr>
        <w:t>民用航天·天基群智能</w:t>
      </w:r>
    </w:p>
    <w:p>
      <w:pPr>
        <w:numPr>
          <w:ilvl w:val="1"/>
          <w:numId w:val="40"/>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01.13 完成申请书中所承担内容部分，已移交总体合稿</w:t>
      </w:r>
    </w:p>
    <w:p>
      <w:pPr>
        <w:snapToGrid w:val="false"/>
        <w:spacing w:before="60" w:after="60" w:line="312" w:lineRule="auto"/>
        <w:ind w:leftChars="36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leftChars="360"/>
        <w:jc w:val="left"/>
        <w:rPr>
          <w:rFonts w:ascii="微软雅黑" w:hAnsi="微软雅黑" w:eastAsia="微软雅黑"/>
          <w:color w:val="333333"/>
          <w:sz w:val="22"/>
          <w:szCs w:val="22"/>
        </w:rPr>
      </w:pPr>
      <w:r>
        <w:rPr>
          <w:rFonts w:ascii="微软雅黑" w:hAnsi="微软雅黑" w:eastAsia="微软雅黑"/>
          <w:color w:val="333333"/>
          <w:sz w:val="22"/>
          <w:szCs w:val="22"/>
        </w:rPr>
      </w:r>
    </w:p>
    <w:sectPr w:rsidR="00C604EC">
      <w:headerReference w:type="default" r:id="rId24"/>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pStyle w:val="Header"/>
    </w:pPr>
    <w:sdt>
      <w:sdtPr>
        <w:id w:val="-1589924921"/>
        <w:lock w:val="sdtContentLocked"/>
        <w:docPartObj>
          <w:docPartGallery w:val="Watermarks"/>
          <w:docPartUnique/>
        </w:docPartObj>
      </w:sdtPr>
      <w:sdtEndPr/>
      <w:sdtContent>
        <w:r>
          <w:rPr>
            <w:noProof/>
            <w:lang w:eastAsia="zh-TW"/>
          </w:rPr>
          <w:pict>
            <v:shapetype o:spt="136.0" adj="10800" path="m@7,l@8,m@5,21600l@6,21600e" coordsize="21600,21600" id="_x0000_t136">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text="t" shapetype="t" v:ext="edit"/>
            </v:shapetype>
            <v:shape type="#_x0000_t136" style="position:absolute;margin-left:0;margin-top:0;width:527.85pt;height:131.95pt;rotation:315;z-index:-251658752;mso-position-horizontal:center;mso-position-horizontal-relative:margin;mso-position-vertical:center;mso-position-vertical-relative:margin" id="PowerPlusWaterMarkObject357476642" o:spid="_x0000_s2049" o:allowincell="f" stroked="f" fillcolor="silver">
              <v:fill opacity=".5"/>
              <v:textpath string="D718课题组" style="font-family:&quot;微软雅黑&quot;;font-size:1pt"/>
              <w10:wrap anchorx="margin" anchory="margin"/>
            </v:shape>
          </w:pict>
        </w:r>
      </w:sdtContent>
    </w:sdt>
  </w:p>
</w:hd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4">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5">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6">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7">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8">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9">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40">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41">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 w:type="paragraph" w:styleId="heading1">
    <w:name w:val="heading 1"/>
    <w:basedOn w:val="a"/>
    <w:next w:val="a"/>
    <w:uiPriority w:val="9"/>
    <w:qFormat/>
    <w:rsid w:val="001C768A"/>
    <w:pPr>
      <w:keepNext/>
      <w:keepLines/>
      <w:spacing w:before="0" w:after="0" w:line="408" w:lineRule="auto"/>
      <w:jc w:val="left"/>
      <w:outlineLvl w:val="0"/>
    </w:pPr>
    <w:rPr>
      <w:b/>
      <w:bCs/>
      <w:color w:val="#1A1A1A"/>
      <w:kern w:val="44"/>
      <w:sz w:val="36"/>
      <w:szCs w:val="36"/>
    </w:rPr>
  </w:style>
  <w:style w:type="paragraph" w:styleId="heading2">
    <w:name w:val="heading 2"/>
    <w:basedOn w:val="a"/>
    <w:next w:val="a"/>
    <w:uiPriority w:val="9"/>
    <w:unhideWhenUsed/>
    <w:qFormat/>
    <w:rsid w:val="001C768A"/>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github.com/laboratory0/KBMS/tree/main/Regular_Reports" Type="http://schemas.openxmlformats.org/officeDocument/2006/relationships/hyperlink" Id="rId9"/><Relationship Target="media/document_image_rId10.jpeg" Type="http://schemas.openxmlformats.org/officeDocument/2006/relationships/image" Id="rId10"/><Relationship Target="media/document_image_rId11.jpeg" Type="http://schemas.openxmlformats.org/officeDocument/2006/relationships/image" Id="rId11"/><Relationship Target="media/document_image_rId12.jpeg" Type="http://schemas.openxmlformats.org/officeDocument/2006/relationships/image" Id="rId12"/><Relationship Target="media/document_image_rId13.jpeg" Type="http://schemas.openxmlformats.org/officeDocument/2006/relationships/image" Id="rId13"/><Relationship Target="media/document_image_rId14.jpeg" Type="http://schemas.openxmlformats.org/officeDocument/2006/relationships/image" Id="rId14"/><Relationship Target="media/document_image_rId15.jpeg" Type="http://schemas.openxmlformats.org/officeDocument/2006/relationships/image" Id="rId15"/><Relationship Target="media/document_image_rId16.jpeg" Type="http://schemas.openxmlformats.org/officeDocument/2006/relationships/image" Id="rId16"/><Relationship Target="media/document_image_rId17.jpeg" Type="http://schemas.openxmlformats.org/officeDocument/2006/relationships/image" Id="rId17"/><Relationship Target="media/document_image_rId18.jpeg" Type="http://schemas.openxmlformats.org/officeDocument/2006/relationships/image" Id="rId18"/><Relationship TargetMode="External" Target="" Type="http://schemas.openxmlformats.org/officeDocument/2006/relationships/hyperlink" Id="rId19"/><Relationship Target="media/document_image_rId20.jpeg" Type="http://schemas.openxmlformats.org/officeDocument/2006/relationships/image" Id="rId20"/><Relationship Target="media/document_image_rId21.jpeg" Type="http://schemas.openxmlformats.org/officeDocument/2006/relationships/image" Id="rId21"/><Relationship Target="media/document_image_rId22.jpeg" Type="http://schemas.openxmlformats.org/officeDocument/2006/relationships/image" Id="rId22"/><Relationship Target="media/document_image_rId23.jpeg" Type="http://schemas.openxmlformats.org/officeDocument/2006/relationships/image" Id="rId23"/><Relationship Target="header1.xml" Type="http://schemas.openxmlformats.org/officeDocument/2006/relationships/header" Id="rId2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