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30d46a61348c0efe5ef21b6459c9093ec75a33d"/>
    <w:p>
      <w:pPr>
        <w:pStyle w:val="Heading2"/>
        <w:spacing w:line="276" w:lineRule="auto"/>
      </w:pPr>
      <w:r>
        <w:rPr>
          <w:rFonts w:ascii="Charis SIL" w:hAnsi="Charis SIL"/>
        </w:rPr>
        <w:t xml:space="preserve">Summary of changes from the earlier submission</w:t>
      </w:r>
    </w:p>
    <w:p>
      <w:pPr>
        <w:pStyle w:val="FirstParagraph"/>
        <w:spacing w:line="276" w:lineRule="auto"/>
      </w:pPr>
      <w:r>
        <w:rPr>
          <w:rFonts w:ascii="Charis SIL" w:hAnsi="Charis SIL"/>
        </w:rPr>
        <w:t xml:space="preserve">This resubmission substantially redesigns the study. The changes fall into four areas: the dependent variable, the corpus design, the statistical framework, and a set of robustness checks added to establish that the central finding is not an artifact of measurement or sampling.</w:t>
      </w:r>
    </w:p>
    <w:bookmarkStart w:id="9" w:name="X1b645887d3cbd3660e7774772c8e53f7c48220b"/>
    <w:p>
      <w:pPr>
        <w:pStyle w:val="Heading3"/>
        <w:spacing w:line="276" w:lineRule="auto"/>
      </w:pPr>
      <w:r>
        <w:rPr>
          <w:rFonts w:ascii="Charis SIL" w:hAnsi="Charis SIL"/>
        </w:rPr>
        <w:t xml:space="preserve">1. Dependent variable: from</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to</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excursion</w:t>
      </w:r>
    </w:p>
    <w:p>
      <w:pPr>
        <w:pStyle w:val="FirstParagraph"/>
        <w:spacing w:line="276" w:lineRule="auto"/>
      </w:pPr>
      <w:r>
        <w:rPr>
          <w:rFonts w:ascii="Charis SIL" w:hAnsi="Charis SIL"/>
        </w:rPr>
        <w:t xml:space="preserve">The earlier submission used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 a single per-vowel pitch level — as the dependent variable. The present study instead treats</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excursion — the magnitude of the local pitch movement — as the primary measure, while retaining</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as an explicit point of comparison. This change was motivated by the observation that a peak</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value conflates the local pitch movement of interest with phrase-level register variation that is unrelated to local speaking rate; excursion, by construction, cancels out much of this register-level noise. Under the revised measure,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maximum shows only a small relationship with local rate in the three corpora (0.34–0.68 semitones — within the static perceptual benchmark range for CSJ Monologue and CSJ Dialogue, below it for Buckeye), while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excursion contracts reliably in fast speech (1.44–1.76 semitones, exceeding the static perceptual benchmark throughout — confirmed by a speaker-cluster bootstrap whose 95% confidence intervals lie above 1.0 st in all three corpora; in CSJ Monologue the bootstrap 95% confidence interval's lower bound, 1.54 st, additionally exceeds the stricter movement-specific benchmark stably, while for Buckeye and CSJ Dialogue that interval straddles it) — the opposite direction from what the earlier submission reported for</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w:t>
      </w:r>
    </w:p>
    <w:p>
      <w:pPr>
        <w:pStyle w:val="BodyText"/>
        <w:spacing w:line="276" w:lineRule="auto"/>
      </w:pPr>
      <w:r>
        <w:rPr>
          <w:rFonts w:ascii="Charis SIL" w:hAnsi="Charis SIL"/>
        </w:rPr>
        <w:t xml:space="preserve">A further methodological refinement was necessary within this change. A naïve excursion measure (maximum minus minimum</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across all voiced frames in a vowel) proved to be inflated by approximately 23–34% due to a sampling artifact: short vowels yield fewer voiced frames, and a range computed from fewer order statistics is mechanically smaller. The study therefore adopts a fixed-landmark excursion measure —</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sampled at five fixed proportional positions within each vowel, independent of frame count — which is time-scale invariant by construction and is used as the primary dependent variable throughout.</w:t>
      </w:r>
    </w:p>
    <w:bookmarkEnd w:id="9"/>
    <w:bookmarkStart w:id="10" w:name="X7608c4da54eee0e8f82ea57d5eb78f4515bfe6a"/>
    <w:p>
      <w:pPr>
        <w:pStyle w:val="Heading3"/>
        <w:spacing w:line="276" w:lineRule="auto"/>
      </w:pPr>
      <w:r>
        <w:rPr>
          <w:rFonts w:ascii="Charis SIL" w:hAnsi="Charis SIL"/>
        </w:rPr>
        <w:t xml:space="preserve">2. Corpus design: style- and register-matched comparisons added</w:t>
      </w:r>
    </w:p>
    <w:p>
      <w:pPr>
        <w:pStyle w:val="FirstParagraph"/>
        <w:spacing w:line="276" w:lineRule="auto"/>
      </w:pPr>
      <w:r>
        <w:rPr>
          <w:rFonts w:ascii="Charis SIL" w:hAnsi="Charis SIL"/>
        </w:rPr>
        <w:t xml:space="preserve">The earlier submission compared Japanese monologue and English conversational interview data, a design in which language and speaking style were confounded. The present study adds two comparisons that separate these factors. First, because CSJ includes both monologue and dialogue recordings, the rate–excursion relationship is now compared directly between these two Japanese speaking styles; the curves are statistically indistinguishable in shape (difference smooth</w:t>
      </w:r>
      <w:r>
        <w:rPr>
          <w:rFonts w:ascii="Charis SIL" w:hAnsi="Charis SIL"/>
        </w:rPr>
        <w:t xml:space="preserve"> </w:t>
      </w:r>
      <w:r>
        <w:rPr>
          <w:rFonts w:ascii="Charis SIL" w:hAnsi="Charis SIL"/>
          <w:i/>
          <w:iCs/>
        </w:rPr>
        <w:t xml:space="preserve">p</w:t>
      </w:r>
      <w:r>
        <w:rPr>
          <w:rFonts w:ascii="Charis SIL" w:hAnsi="Charis SIL"/>
        </w:rPr>
        <w:t xml:space="preserve"> </w:t>
      </w:r>
      <w:r>
        <w:rPr>
          <w:rFonts w:ascii="Charis SIL" w:hAnsi="Charis SIL"/>
        </w:rPr>
        <w:t>= .536), with effective ranges of 1.76 and 1.44 semitones. Second, in addition to the original monologue-versus-Buckeye comparison, the study now also compares CSJ Dialogue — closer to Buckeye in interactional demand — directly to Buckeye, providing a register-matched cross-linguistic test alongside the register-mismatched one. The effect clears the perceptual benchmark in both languages under both pairings; the cross-linguistic magnitude gap shrinks roughly six-fold — from 0.273 st in the register-mismatched comparison to 0.043 st in the register-matched one — when interactional register is equated, supporting the register-matching logic emphasized throughout the design.</w:t>
      </w:r>
    </w:p>
    <w:p>
      <w:pPr>
        <w:pStyle w:val="BodyText"/>
        <w:spacing w:line="276" w:lineRule="auto"/>
      </w:pPr>
      <w:r>
        <w:rPr>
          <w:rFonts w:ascii="Charis SIL" w:hAnsi="Charis SIL"/>
        </w:rPr>
        <w:t xml:space="preserve">The CSJ Dialogue subset also received a data-quality correction: because each dialogue session’s annotation tier does not by itself indicate which of the two audio channels a given labeled interval belongs to, speaker attribution is now verified empirically via per-channel RMS energy (session-level channel dominance was often extreme, e.g., 24 tokens on one session’s non-dominant channel against 1,408 on its dominant channel),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is extracted only from the dominant (annotated) channel. A direct, identically filtered comparison shows that a channel-naïve treatment (both channels measured against the single annotation tier, as if each session held two speakers) yields 29,302 tokens, of which 4,568 (15.6%) derive from the non-dominant channel and would constitute a spurious second speaker per session; the dominant-channel-only treatment adopted here yields the 24,734 tokens used throughout.</w:t>
      </w:r>
    </w:p>
    <w:bookmarkEnd w:id="10"/>
    <w:bookmarkStart w:id="11" w:name="Xd4d57c960756fb087746d1b2eff65f9716b8a0e"/>
    <w:p>
      <w:pPr>
        <w:pStyle w:val="Heading3"/>
        <w:spacing w:line="276" w:lineRule="auto"/>
      </w:pPr>
      <w:r>
        <w:rPr>
          <w:rFonts w:ascii="Charis SIL" w:hAnsi="Charis SIL"/>
        </w:rPr>
        <w:t xml:space="preserve">3. Statistical framework: effect size, perceptual benchmarks, and a within–between decomposition</w:t>
      </w:r>
    </w:p>
    <w:p>
      <w:pPr>
        <w:pStyle w:val="FirstParagraph"/>
        <w:spacing w:line="276" w:lineRule="auto"/>
      </w:pPr>
      <w:r>
        <w:rPr>
          <w:rFonts w:ascii="Charis SIL" w:hAnsi="Charis SIL"/>
        </w:rPr>
        <w:t xml:space="preserve">Effect size, rather than statistical significance, is now the primary evidentiary standard throughout. For every model, the 5th-to-95th-percentile effective range of the fitted rate function is reported in semitones and evaluated against two perceptual benchmarks — a static pitch-discrimination threshold (0.5–1.0 semitones) and a stricter threshold specific to the perceptibility of accent-lending pitch movements (1.5 semitones) — rather than against a null of zero. This reframing is consequential: it is what reveals that the</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-maximum effect, though statistically significant at these sample sizes, falls at or below the perceptual threshold in every corpus.</w:t>
      </w:r>
    </w:p>
    <w:p>
      <w:pPr>
        <w:pStyle w:val="BodyText"/>
        <w:spacing w:line="276" w:lineRule="auto"/>
      </w:pPr>
      <w:r>
        <w:rPr>
          <w:rFonts w:ascii="Charis SIL" w:hAnsi="Charis SIL"/>
        </w:rPr>
        <w:t xml:space="preserve">A within-speaker/between-speaker (mean-deviation) decomposition of the rate variable has also been added, distinguishing a moment-to-moment coupling between an individual speaker’s own rate and their own</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excursion from a between-speaker regularity (habitually faster speakers having systematically different excursions). The effect is located within speakers in every corpus (1.38–1.73 semitones, clearing the benchmark; between-speaker terms non-significant), and a further decomposition into</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minimum and</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 xml:space="preserve">maximum indicates that the compression is carried primarily by a within-speaker rise in the floor of the pitch range rather than a fall in its ceiling.</w:t>
      </w:r>
    </w:p>
    <w:bookmarkEnd w:id="11"/>
    <w:bookmarkStart w:id="12" w:name="robustness-checks-added"/>
    <w:p>
      <w:pPr>
        <w:pStyle w:val="Heading3"/>
        <w:spacing w:line="276" w:lineRule="auto"/>
      </w:pPr>
      <w:r>
        <w:rPr>
          <w:rFonts w:ascii="Charis SIL" w:hAnsi="Charis SIL"/>
        </w:rPr>
        <w:t xml:space="preserve">4. Robustness checks added</w:t>
      </w:r>
    </w:p>
    <w:p>
      <w:pPr>
        <w:pStyle w:val="FirstParagraph"/>
        <w:spacing w:line="276" w:lineRule="auto"/>
      </w:pPr>
      <w:r>
        <w:rPr>
          <w:rFonts w:ascii="Charis SIL" w:hAnsi="Charis SIL"/>
        </w:rPr>
        <w:t xml:space="preserve">Four additional checks were carried out to rule out that the excursion effect is an artifact rather than a genuine rate-sensitive phenomenon:</w:t>
      </w:r>
    </w:p>
    <w:p>
      <w:pPr>
        <w:pStyle w:val="Compact"/>
        <w:numPr>
          <w:ilvl w:val="0"/>
          <w:numId w:val="1001"/>
        </w:numPr>
        <w:spacing w:line="276" w:lineRule="auto"/>
      </w:pPr>
      <w:r>
        <w:rPr>
          <w:rFonts w:ascii="Charis SIL" w:hAnsi="Charis SIL"/>
          <w:b/>
          <w:bCs/>
        </w:rPr>
        <w:t xml:space="preserve">Frame-count sampling artifact.</w:t>
      </w:r>
      <w:r>
        <w:rPr>
          <w:rFonts w:ascii="Charis SIL" w:hAnsi="Charis SIL"/>
        </w:rPr>
        <w:t xml:space="preserve"> </w:t>
      </w:r>
      <w:r>
        <w:rPr>
          <w:rFonts w:ascii="Charis SIL" w:hAnsi="Charis SIL"/>
        </w:rPr>
        <w:t xml:space="preserve">Addressed by the fixed-landmark measure (§1 above) and independently confirmed via a span-preserving downsampling test, which isolates the pure effect of frame count from the effect of genuine time compression.</w:t>
      </w:r>
    </w:p>
    <w:p>
      <w:pPr>
        <w:pStyle w:val="Compact"/>
        <w:numPr>
          <w:ilvl w:val="0"/>
          <w:numId w:val="1001"/>
        </w:numPr>
        <w:spacing w:line="276" w:lineRule="auto"/>
      </w:pPr>
      <w:r>
        <w:rPr>
          <w:rFonts w:ascii="Charis SIL" w:hAnsi="Charis SIL"/>
          <w:b/>
          <w:bCs/>
        </w:rPr>
        <w:t xml:space="preserve">Loudness/vocal-effort confound.</w:t>
      </w:r>
      <w:r>
        <w:rPr>
          <w:rFonts w:ascii="Charis SIL" w:hAnsi="Charis SIL"/>
        </w:rPr>
        <w:t xml:space="preserve"> </w:t>
      </w:r>
      <w:r>
        <w:rPr>
          <w:rFonts w:ascii="Charis SIL" w:hAnsi="Charis SIL"/>
        </w:rPr>
        <w:t xml:space="preserve">Speaking rate and vowel intensity are only weakly correlated (</w:t>
      </w:r>
      <w:r>
        <w:rPr>
          <w:rFonts w:ascii="Charis SIL" w:hAnsi="Charis SIL"/>
          <w:i/>
          <w:iCs/>
        </w:rPr>
        <w:t xml:space="preserve">r</w:t>
      </w:r>
      <w:r>
        <w:rPr>
          <w:rFonts w:ascii="Charis SIL" w:hAnsi="Charis SIL"/>
        </w:rPr>
        <w:t xml:space="preserve"> </w:t>
      </w:r>
      <w:r>
        <w:rPr>
          <w:rFonts w:ascii="Charis SIL" w:hAnsi="Charis SIL"/>
        </w:rPr>
        <w:t>≈ 0.04–0.12); controlling for intensity reduces the excursion effect by only about 3–4%.</w:t>
      </w:r>
    </w:p>
    <w:p>
      <w:pPr>
        <w:pStyle w:val="Compact"/>
        <w:numPr>
          <w:ilvl w:val="0"/>
          <w:numId w:val="1001"/>
        </w:numPr>
        <w:spacing w:line="276" w:lineRule="auto"/>
      </w:pPr>
      <w:r>
        <w:rPr>
          <w:rFonts w:ascii="Charis SIL" w:hAnsi="Charis SIL"/>
          <w:b/>
          <w:bCs/>
        </w:rPr>
        <w:t xml:space="preserve">Restriction to phonologically defined pitch-target vowels.</w:t>
      </w:r>
      <w:r>
        <w:rPr>
          <w:rFonts w:ascii="Charis SIL" w:hAnsi="Charis SIL"/>
        </w:rPr>
        <w:t xml:space="preserve"> </w:t>
      </w:r>
      <w:r>
        <w:rPr>
          <w:rFonts w:ascii="Charis SIL" w:hAnsi="Charis SIL"/>
        </w:rPr>
        <w:t>Using the CSJ’s X-JToBI tone-tier annotation, the analysis was repeated on the subset of vowels bearing an explicit accentual fall. The effect does not weaken under this restriction — its slope per unit time is roughly 2.7–3.3 times steeper — addressing the concern that treating every vowel as bearing an independent pitch target is inconsistent with current intonational-phonological analysis, and providing an empirical test of the alternative account that the effect is merely a by-product of accented vowels being both longer and more prominent.</w:t>
      </w:r>
    </w:p>
    <w:p>
      <w:pPr>
        <w:pStyle w:val="Compact"/>
        <w:numPr>
          <w:ilvl w:val="0"/>
          <w:numId w:val="1001"/>
        </w:numPr>
        <w:spacing w:line="276" w:lineRule="auto"/>
      </w:pPr>
      <w:r>
        <w:rPr>
          <w:rFonts w:ascii="Charis SIL" w:hAnsi="Charis SIL"/>
          <w:b/>
          <w:bCs/>
        </w:rPr>
        <w:t xml:space="preserve">Peak delay (</w:t>
      </w:r>
      <w:r>
        <w:rPr>
          <w:rFonts w:ascii="Charis SIL" w:hAnsi="Charis SIL"/>
          <w:b/>
          <w:bCs/>
          <w:i/>
          <w:iCs/>
        </w:rPr>
        <w:t xml:space="preserve">ososagari</w:t>
      </w:r>
      <w:r>
        <w:rPr>
          <w:rFonts w:ascii="Charis SIL" w:hAnsi="Charis SIL"/>
          <w:b/>
          <w:bCs/>
        </w:rPr>
        <w:t xml:space="preserve">), Japanese only.</w:t>
      </w:r>
      <w:r>
        <w:rPr>
          <w:rFonts w:ascii="Charis SIL" w:hAnsi="Charis SIL"/>
        </w:rPr>
        <w:t xml:space="preserve"> </w:t>
      </w:r>
      <w:r>
        <w:rPr>
          <w:rFonts w:ascii="Charis SIL" w:hAnsi="Charis SIL"/>
        </w:rPr>
        <w:t xml:space="preserve">Word-initial light-syllable accents in Tokyo Japanese characteristically realize their</w:t>
      </w:r>
      <w:r>
        <w:rPr>
          <w:rFonts w:ascii="Charis SIL" w:hAnsi="Charis SIL"/>
        </w:rPr>
        <w:t xml:space="preserve"> </w:t>
      </w:r>
      <w:r>
        <w:rPr>
          <w:rFonts w:ascii="Charis SIL" w:hAnsi="Charis SIL"/>
          <w:i/>
          <w:iCs/>
        </w:rPr>
        <w:t xml:space="preserve">f</w:t>
      </w:r>
      <w:r>
        <w:rPr>
          <w:rFonts w:ascii="Charis SIL" w:hAnsi="Charis SIL"/>
          <w:vertAlign w:val="subscript"/>
        </w:rPr>
        <w:t xml:space="preserve">0</w:t>
      </w:r>
      <w:r>
        <w:rPr>
          <w:rFonts w:ascii="Charis SIL" w:hAnsi="Charis SIL"/>
        </w:rPr>
        <w:t xml:space="preserve"> </w:t>
      </w:r>
      <w:r>
        <w:rPr>
          <w:rFonts w:ascii="Charis SIL" w:hAnsi="Charis SIL"/>
        </w:rPr>
        <w:t>peak outside the accented vowel itself, which could in principle cause a vowel-internal excursion measure to under-capture the true pitch movement for a subset of (disproportionately short) tokens. Approximately 11% of vowels were identified as affected; excluding them leaves the headline effect essentially unchanged.</w:t>
      </w:r>
    </w:p>
    <w:bookmarkEnd w:id="12"/>
    <w:bookmarkEnd w:id="13"/>
    <w:p>
      <w:pPr>
        <w:pStyle w:val="Heading3"/>
      </w:pPr>
      <w:r>
        <w:t>5. Vowel coverage: from short vowels only to the full CSJ vowel inventory</w:t>
      </w:r>
    </w:p>
    <w:p>
      <w:r>
        <w:rPr>
          <w:rFonts w:ascii="Charis SIL" w:hAnsi="Charis SIL"/>
        </w:rPr>
        <w:t xml:space="preserve">The earlier analyses of the Japanese corpora were restricted to the five short vowels. CSJ's segmental annotation, however, distinguishes phonologically long vowels from short ones at the phone-symbol level (long vowels carry an H-suffixed segment, e.g., </w:t>
      </w:r>
      <w:r>
        <w:rPr>
          <w:rFonts w:ascii="Consolas" w:hAnsi="Consolas"/>
        </w:rPr>
        <w:t>oH</w:t>
      </w:r>
      <w:r>
        <w:rPr>
          <w:rFonts w:ascii="Charis SIL" w:hAnsi="Charis SIL"/>
        </w:rPr>
        <w:t>), and the initial pipeline had inadvertently excluded these long vowels rather than modeling them. The present version restores them: the Japanese analyses now use the full ten-level vowel inventory (five short and five phonologically long categories), with vowel identity — including length — absorbed by a vowel random effect. Including the long vowels does not change the direction of any result and, if anything, strengthens the effect: the pooled CSJ Monologue effective range rises from 1.52 to 1.76 st, now clearing the stricter movement benchmark stably under the speaker-cluster bootstrap, and CSJ Dialogue from 1.38 to 1.44 st. An internal-consistency check (Results §3.7) confirms that the rate–excursion relationship holds in the same direction within the short-vowel-only and long-vowel-only subsets as well as in the pooled model, so the finding is not an artifact of combining vowels of different phonological length.</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Charis SIL" w:hAnsi="Charis SI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2026-07-04T00:00:30Z</dcterms:created>
  <dcterms:modified xsi:type="dcterms:W3CDTF">2026-07-04T00:00:30Z</dcterms:modified>
</cp:coreProperties>
</file>

<file path=docProps/custom.xml><?xml version="1.0" encoding="utf-8"?>
<Properties xmlns="http://schemas.openxmlformats.org/officeDocument/2006/custom-properties" xmlns:vt="http://schemas.openxmlformats.org/officeDocument/2006/docPropsVTypes"/>
</file>