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E2C36" w14:textId="5C660DED" w:rsidR="00055811" w:rsidRPr="0005590E" w:rsidRDefault="00055811" w:rsidP="00055811">
      <w:pPr>
        <w:rPr>
          <w:b/>
          <w:bCs/>
        </w:rPr>
      </w:pPr>
      <w:r w:rsidRPr="00055811">
        <w:rPr>
          <w:b/>
          <w:bCs/>
        </w:rPr>
        <w:t>Описание гипотезы</w:t>
      </w:r>
      <w:r w:rsidRPr="00055811">
        <w:br/>
        <w:t xml:space="preserve">В ходе исследования была проверена гипотеза о том, что </w:t>
      </w:r>
      <w:r w:rsidRPr="00055811">
        <w:rPr>
          <w:i/>
          <w:iCs/>
        </w:rPr>
        <w:t>«</w:t>
      </w:r>
      <w:r w:rsidRPr="00055811">
        <w:rPr>
          <w:b/>
          <w:bCs/>
          <w:i/>
          <w:iCs/>
        </w:rPr>
        <w:t>существуют статистически значимые различия</w:t>
      </w:r>
      <w:r w:rsidRPr="00055811">
        <w:rPr>
          <w:i/>
          <w:iCs/>
        </w:rPr>
        <w:t xml:space="preserve"> </w:t>
      </w:r>
      <w:r w:rsidRPr="00055811">
        <w:rPr>
          <w:b/>
          <w:bCs/>
          <w:i/>
          <w:iCs/>
        </w:rPr>
        <w:t>в количестве образцов между метастатическими образцами и нормальными образцами</w:t>
      </w:r>
      <w:r>
        <w:rPr>
          <w:b/>
          <w:bCs/>
          <w:i/>
          <w:iCs/>
        </w:rPr>
        <w:t>»</w:t>
      </w:r>
      <w:r w:rsidRPr="00055811">
        <w:t>. Для этой гипотезы был проведён статистический анализ с использованием теста Манна-Уитни для разных типов образцов (порции, аналитические образцы и алипоты). Мы ожидали, что метастатические образцы могут иметь большее количество различных образцов по сравнению с нормальными образцами, так как метастазы могут требовать более разнообразных исследований и обработки.</w:t>
      </w:r>
    </w:p>
    <w:p w14:paraId="24158BE6" w14:textId="70A81DB5" w:rsidR="0005590E" w:rsidRPr="0005590E" w:rsidRDefault="0005590E" w:rsidP="00055811">
      <w:pPr>
        <w:rPr>
          <w:b/>
          <w:bCs/>
        </w:rPr>
      </w:pPr>
      <w:r w:rsidRPr="00055811">
        <w:rPr>
          <w:b/>
          <w:bCs/>
        </w:rPr>
        <w:t>Обоснование гипотезы</w:t>
      </w:r>
    </w:p>
    <w:p w14:paraId="7588D556" w14:textId="378BC767" w:rsidR="0005590E" w:rsidRDefault="0005590E" w:rsidP="00055811">
      <w:r w:rsidRPr="00055811">
        <w:t>В клинической практике и научных исследованиях часто отмечается, что метастатические опухоли требуют более сложных и разнородных методов обработки и анализа биологических материалов. Это связано с необходимостью подтверждения диагноза, оценки генной экспрессии в разных участках метастазов, поиска биомаркеров и оценки микросреды опухоли.</w:t>
      </w:r>
    </w:p>
    <w:p w14:paraId="448E15B7" w14:textId="4F917160" w:rsidR="0005590E" w:rsidRPr="00055811" w:rsidRDefault="0005590E" w:rsidP="00055811">
      <w:pPr>
        <w:rPr>
          <w:b/>
          <w:bCs/>
        </w:rPr>
      </w:pPr>
      <w:r w:rsidRPr="0005590E">
        <w:rPr>
          <w:b/>
          <w:bCs/>
        </w:rPr>
        <w:t>Введение</w:t>
      </w:r>
    </w:p>
    <w:p w14:paraId="0905A0F1" w14:textId="77777777" w:rsidR="00055811" w:rsidRDefault="00055811" w:rsidP="00055811">
      <w:r w:rsidRPr="00055811">
        <w:t>Рак предстательной железы (РПЖ) — одно из наиболее распространённых онкологических заболеваний у мужчин, особенно в возрасте старше 50 лет. Основные механизмы развития включают изменение генетических и эпигенетических факторов, влияющих на пролиферацию клеток предстательной железы. Метастатическое поражение встречается в запущенных стадиях заболевания и характеризуется распространением опухолевых клеток за пределы предстательной железы, чаще всего в кости и лимфатические узлы.</w:t>
      </w:r>
    </w:p>
    <w:p w14:paraId="6BAA3E81" w14:textId="22F46763" w:rsidR="0005590E" w:rsidRPr="00055811" w:rsidRDefault="0005590E" w:rsidP="00055811">
      <w:pPr>
        <w:rPr>
          <w:b/>
          <w:bCs/>
        </w:rPr>
      </w:pPr>
      <w:r w:rsidRPr="0005590E">
        <w:rPr>
          <w:b/>
          <w:bCs/>
        </w:rPr>
        <w:t xml:space="preserve">Наблюдения </w:t>
      </w:r>
    </w:p>
    <w:p w14:paraId="42EF137A" w14:textId="77777777" w:rsidR="00055811" w:rsidRPr="00055811" w:rsidRDefault="00055811" w:rsidP="00055811">
      <w:pPr>
        <w:numPr>
          <w:ilvl w:val="0"/>
          <w:numId w:val="1"/>
        </w:numPr>
      </w:pPr>
      <w:r w:rsidRPr="00055811">
        <w:rPr>
          <w:b/>
          <w:bCs/>
        </w:rPr>
        <w:t>Повышенная сложность метастазов:</w:t>
      </w:r>
      <w:r w:rsidRPr="00055811">
        <w:t xml:space="preserve"> Метастатические очаги могут содержать различные популяции опухолевых клеток, что требует большего объёма материала для анализа (различные порции, аналитические образцы, алипоты).</w:t>
      </w:r>
    </w:p>
    <w:p w14:paraId="68CB0B8E" w14:textId="77777777" w:rsidR="00055811" w:rsidRPr="00055811" w:rsidRDefault="00055811" w:rsidP="00055811">
      <w:pPr>
        <w:numPr>
          <w:ilvl w:val="0"/>
          <w:numId w:val="1"/>
        </w:numPr>
      </w:pPr>
      <w:r w:rsidRPr="00055811">
        <w:rPr>
          <w:b/>
          <w:bCs/>
        </w:rPr>
        <w:t>Разнообразие исследований:</w:t>
      </w:r>
      <w:r w:rsidRPr="00055811">
        <w:t xml:space="preserve"> Для оценки генной экспрессии и других молекулярных характеристик метастазов часто применяются различные протоколы, требующие нескольких образцов одного и того же пациента.</w:t>
      </w:r>
    </w:p>
    <w:p w14:paraId="5087376D" w14:textId="77777777" w:rsidR="00055811" w:rsidRPr="00055811" w:rsidRDefault="00055811" w:rsidP="00055811">
      <w:pPr>
        <w:numPr>
          <w:ilvl w:val="0"/>
          <w:numId w:val="1"/>
        </w:numPr>
      </w:pPr>
      <w:r w:rsidRPr="00055811">
        <w:rPr>
          <w:b/>
          <w:bCs/>
        </w:rPr>
        <w:t>Клиническая значимость:</w:t>
      </w:r>
      <w:r w:rsidRPr="00055811">
        <w:t xml:space="preserve"> Выявление особенностей подготовки и обработки метастатических образцов важно для стандартизации протоколов биопсии и улучшения качества исследований.</w:t>
      </w:r>
    </w:p>
    <w:p w14:paraId="6E663F90" w14:textId="77777777" w:rsidR="00055811" w:rsidRPr="00055811" w:rsidRDefault="00055811" w:rsidP="00055811">
      <w:r w:rsidRPr="00055811">
        <w:t>На основе этих наблюдений была сформулирована гипотеза:</w:t>
      </w:r>
    </w:p>
    <w:p w14:paraId="63A177E3" w14:textId="77777777" w:rsidR="00055811" w:rsidRDefault="00055811" w:rsidP="00055811">
      <w:r w:rsidRPr="00055811">
        <w:rPr>
          <w:b/>
          <w:bCs/>
        </w:rPr>
        <w:t>Гипотеза:</w:t>
      </w:r>
      <w:r w:rsidRPr="00055811">
        <w:t xml:space="preserve"> Существует статистически значимая разница в количестве подготовленных порций, аналитических образцов и алипотов между метастатическими и нормальными (кровь) образцами у пациентов с РПЖ.</w:t>
      </w:r>
    </w:p>
    <w:p w14:paraId="5030DB8E" w14:textId="77777777" w:rsidR="0005590E" w:rsidRPr="0005590E" w:rsidRDefault="0005590E" w:rsidP="0005590E">
      <w:pPr>
        <w:rPr>
          <w:b/>
          <w:bCs/>
        </w:rPr>
      </w:pPr>
      <w:r w:rsidRPr="0005590E">
        <w:rPr>
          <w:b/>
          <w:bCs/>
        </w:rPr>
        <w:t>Методы проверки гипотезы</w:t>
      </w:r>
    </w:p>
    <w:p w14:paraId="7D63A8B4" w14:textId="77777777" w:rsidR="0005590E" w:rsidRPr="0005590E" w:rsidRDefault="0005590E" w:rsidP="0005590E">
      <w:pPr>
        <w:numPr>
          <w:ilvl w:val="0"/>
          <w:numId w:val="10"/>
        </w:numPr>
      </w:pPr>
      <w:r w:rsidRPr="0005590E">
        <w:rPr>
          <w:b/>
          <w:bCs/>
        </w:rPr>
        <w:t>Сбор данных:</w:t>
      </w:r>
      <w:r w:rsidRPr="0005590E">
        <w:t xml:space="preserve"> Использованы таблицы TCGA — sample.tsv, portion.tsv, analyte.tsv, aliquot.tsv.</w:t>
      </w:r>
    </w:p>
    <w:p w14:paraId="734C0496" w14:textId="77777777" w:rsidR="0005590E" w:rsidRPr="0005590E" w:rsidRDefault="0005590E" w:rsidP="0005590E">
      <w:pPr>
        <w:numPr>
          <w:ilvl w:val="0"/>
          <w:numId w:val="10"/>
        </w:numPr>
      </w:pPr>
      <w:r w:rsidRPr="0005590E">
        <w:rPr>
          <w:b/>
          <w:bCs/>
        </w:rPr>
        <w:t>Подсчёт метрик:</w:t>
      </w:r>
      <w:r w:rsidRPr="0005590E">
        <w:t xml:space="preserve"> Для каждого образца вычислено количество порций (portions_count), аналитических образцов (analytes_count) и алипотов (aliquots_count).</w:t>
      </w:r>
    </w:p>
    <w:p w14:paraId="4658F0CB" w14:textId="77777777" w:rsidR="0005590E" w:rsidRPr="0005590E" w:rsidRDefault="0005590E" w:rsidP="0005590E">
      <w:pPr>
        <w:numPr>
          <w:ilvl w:val="0"/>
          <w:numId w:val="10"/>
        </w:numPr>
      </w:pPr>
      <w:r w:rsidRPr="0005590E">
        <w:rPr>
          <w:b/>
          <w:bCs/>
        </w:rPr>
        <w:t>Классификация образцов:</w:t>
      </w:r>
      <w:r w:rsidRPr="0005590E">
        <w:t xml:space="preserve"> Образцы разделены на две группы:</w:t>
      </w:r>
    </w:p>
    <w:p w14:paraId="5D1A70CA" w14:textId="77777777" w:rsidR="0005590E" w:rsidRPr="0005590E" w:rsidRDefault="0005590E" w:rsidP="0005590E">
      <w:pPr>
        <w:numPr>
          <w:ilvl w:val="1"/>
          <w:numId w:val="10"/>
        </w:numPr>
      </w:pPr>
      <w:r w:rsidRPr="0005590E">
        <w:t>Metastatic — метастатические образцы.</w:t>
      </w:r>
    </w:p>
    <w:p w14:paraId="5A65D571" w14:textId="77777777" w:rsidR="0005590E" w:rsidRPr="0005590E" w:rsidRDefault="0005590E" w:rsidP="0005590E">
      <w:pPr>
        <w:numPr>
          <w:ilvl w:val="1"/>
          <w:numId w:val="10"/>
        </w:numPr>
      </w:pPr>
      <w:r w:rsidRPr="0005590E">
        <w:t>Blood Derived Normal — нормальные образцы крови.</w:t>
      </w:r>
    </w:p>
    <w:p w14:paraId="0FBA24A6" w14:textId="77777777" w:rsidR="0005590E" w:rsidRPr="0005590E" w:rsidRDefault="0005590E" w:rsidP="0005590E">
      <w:pPr>
        <w:numPr>
          <w:ilvl w:val="0"/>
          <w:numId w:val="10"/>
        </w:numPr>
      </w:pPr>
      <w:r w:rsidRPr="0005590E">
        <w:rPr>
          <w:b/>
          <w:bCs/>
        </w:rPr>
        <w:t>Статистический анализ:</w:t>
      </w:r>
      <w:r w:rsidRPr="0005590E">
        <w:t xml:space="preserve"> Проведен непараметрический тест Манна–Уитни для сравнения распределений вышеописанных метрик между двумя группами.</w:t>
      </w:r>
    </w:p>
    <w:p w14:paraId="731CAA8D" w14:textId="77777777" w:rsidR="0005590E" w:rsidRPr="0005590E" w:rsidRDefault="0005590E" w:rsidP="0005590E">
      <w:pPr>
        <w:numPr>
          <w:ilvl w:val="0"/>
          <w:numId w:val="10"/>
        </w:numPr>
      </w:pPr>
      <w:r w:rsidRPr="0005590E">
        <w:rPr>
          <w:b/>
          <w:bCs/>
        </w:rPr>
        <w:t>Визуализация:</w:t>
      </w:r>
      <w:r w:rsidRPr="0005590E">
        <w:t xml:space="preserve"> Построены столбчатые диаграммы со средними значениями и стандартным отклонением, позволяющие наглядно продемонстрировать различия.</w:t>
      </w:r>
    </w:p>
    <w:p w14:paraId="2DC7D08B" w14:textId="77777777" w:rsidR="0005590E" w:rsidRPr="0005590E" w:rsidRDefault="0005590E" w:rsidP="0005590E">
      <w:pPr>
        <w:rPr>
          <w:b/>
          <w:bCs/>
        </w:rPr>
      </w:pPr>
      <w:r w:rsidRPr="0005590E">
        <w:rPr>
          <w:b/>
          <w:bCs/>
        </w:rPr>
        <w:t>Описание графиков</w:t>
      </w:r>
    </w:p>
    <w:p w14:paraId="65983EEF" w14:textId="24182D74" w:rsidR="0005590E" w:rsidRPr="0005590E" w:rsidRDefault="0005590E" w:rsidP="0005590E">
      <w:r w:rsidRPr="0005590E">
        <w:t xml:space="preserve">Построенные столбчатые диаграммы отображают средние значения количества порций, аналитических образцов и алипотов для двух групп образцов — метастатических и нормальных </w:t>
      </w:r>
      <w:r w:rsidRPr="0005590E">
        <w:lastRenderedPageBreak/>
        <w:t>(кровь) — с указанием стандартного отклонения. По оси X отложены типы образцов, по оси Y — соответствующие метрики (portions_count, analytes_count, aliquots_count). Каждый столбец визуализирует среднее значение с вертикальной линией погрешности (± SD), что позволяет оценить вариативность данных внутри группы.</w:t>
      </w:r>
    </w:p>
    <w:p w14:paraId="1CB339E2" w14:textId="538A436A" w:rsidR="0005590E" w:rsidRPr="0005590E" w:rsidRDefault="0005590E" w:rsidP="0005590E">
      <w:pPr>
        <w:numPr>
          <w:ilvl w:val="0"/>
          <w:numId w:val="11"/>
        </w:numPr>
      </w:pPr>
      <w:r w:rsidRPr="0005590E">
        <w:rPr>
          <w:b/>
          <w:bCs/>
        </w:rPr>
        <w:t>Количественные различия:</w:t>
      </w:r>
      <w:r w:rsidRPr="0005590E">
        <w:t xml:space="preserve"> Графики наглядно демонстрируют, что в метастатической группе средние значения всех трёх метрик выше, чем в нормальной, что визуально подтверждает результаты статистического теста Манна–Уитни.</w:t>
      </w:r>
    </w:p>
    <w:p w14:paraId="22C04B86" w14:textId="1AC34777" w:rsidR="0005590E" w:rsidRPr="0005590E" w:rsidRDefault="0005590E" w:rsidP="0005590E">
      <w:pPr>
        <w:numPr>
          <w:ilvl w:val="0"/>
          <w:numId w:val="11"/>
        </w:numPr>
      </w:pPr>
      <w:r w:rsidRPr="0005590E">
        <w:rPr>
          <w:b/>
          <w:bCs/>
        </w:rPr>
        <w:t>Интерпретация погрешностей:</w:t>
      </w:r>
      <w:r w:rsidRPr="0005590E">
        <w:t xml:space="preserve"> Стандартные отклонения показывают разброс данных внутри групп. Для метастатических образцов разброс несколько больше, что может указывать на гетерогенность в подготовке образцов.</w:t>
      </w:r>
    </w:p>
    <w:p w14:paraId="67E09F0A" w14:textId="2A2B408B" w:rsidR="0005590E" w:rsidRDefault="0005590E" w:rsidP="0005590E">
      <w:pPr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4D6BAB" wp14:editId="3B4EC53E">
            <wp:simplePos x="0" y="0"/>
            <wp:positionH relativeFrom="column">
              <wp:posOffset>38735</wp:posOffset>
            </wp:positionH>
            <wp:positionV relativeFrom="paragraph">
              <wp:posOffset>596900</wp:posOffset>
            </wp:positionV>
            <wp:extent cx="6536690" cy="2898775"/>
            <wp:effectExtent l="0" t="0" r="0" b="0"/>
            <wp:wrapNone/>
            <wp:docPr id="216969603" name="Рисунок 1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69603" name="Рисунок 1" descr="Изображение выглядит как текст, снимок экрана, диаграмма, График&#10;&#10;Контент, сгенерированный ИИ, может содержать ошибки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"/>
                    <a:stretch/>
                  </pic:blipFill>
                  <pic:spPr bwMode="auto">
                    <a:xfrm>
                      <a:off x="0" y="0"/>
                      <a:ext cx="6536690" cy="28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5590E">
        <w:rPr>
          <w:b/>
          <w:bCs/>
        </w:rPr>
        <w:t>Клиническое значение:</w:t>
      </w:r>
      <w:r w:rsidRPr="0005590E">
        <w:t xml:space="preserve"> Повышенные средние значения в метастазах отражают потребность в большем количестве материалов для достоверного анализа опухолевых тканей, что важно учитывать при планировании биопсий.</w:t>
      </w:r>
    </w:p>
    <w:p w14:paraId="4F62DBDD" w14:textId="5CEDCF01" w:rsidR="0005590E" w:rsidRDefault="0005590E" w:rsidP="0005590E">
      <w:pPr>
        <w:ind w:left="720" w:firstLine="0"/>
      </w:pPr>
    </w:p>
    <w:p w14:paraId="2F81EF60" w14:textId="129681C2" w:rsidR="0005590E" w:rsidRDefault="0005590E" w:rsidP="0005590E">
      <w:pPr>
        <w:ind w:left="720" w:firstLine="0"/>
      </w:pPr>
    </w:p>
    <w:p w14:paraId="09C8D887" w14:textId="175E196C" w:rsidR="0005590E" w:rsidRDefault="0005590E" w:rsidP="0005590E">
      <w:pPr>
        <w:ind w:left="720" w:firstLine="0"/>
      </w:pPr>
    </w:p>
    <w:p w14:paraId="7838A69D" w14:textId="0DB5CCB6" w:rsidR="0005590E" w:rsidRDefault="0005590E" w:rsidP="0005590E">
      <w:pPr>
        <w:ind w:left="720" w:firstLine="0"/>
      </w:pPr>
    </w:p>
    <w:p w14:paraId="73A9DFB3" w14:textId="30DA097A" w:rsidR="0005590E" w:rsidRDefault="0005590E" w:rsidP="0005590E">
      <w:pPr>
        <w:ind w:left="720" w:firstLine="0"/>
      </w:pPr>
    </w:p>
    <w:p w14:paraId="79DD2A0A" w14:textId="20609857" w:rsidR="0005590E" w:rsidRDefault="0005590E" w:rsidP="0005590E">
      <w:pPr>
        <w:ind w:left="720" w:firstLine="0"/>
      </w:pPr>
    </w:p>
    <w:p w14:paraId="64601023" w14:textId="533A0FE8" w:rsidR="0005590E" w:rsidRDefault="0005590E" w:rsidP="0005590E">
      <w:pPr>
        <w:ind w:left="720" w:firstLine="0"/>
      </w:pPr>
    </w:p>
    <w:p w14:paraId="4F94D250" w14:textId="457E6D38" w:rsidR="0005590E" w:rsidRDefault="0005590E" w:rsidP="0005590E">
      <w:pPr>
        <w:ind w:left="720" w:firstLine="0"/>
      </w:pPr>
    </w:p>
    <w:p w14:paraId="2BD36FFB" w14:textId="448A7855" w:rsidR="0005590E" w:rsidRDefault="0005590E" w:rsidP="0005590E">
      <w:pPr>
        <w:ind w:left="720" w:firstLine="0"/>
      </w:pPr>
    </w:p>
    <w:p w14:paraId="490B6781" w14:textId="77777777" w:rsidR="0005590E" w:rsidRDefault="0005590E" w:rsidP="0005590E">
      <w:pPr>
        <w:ind w:left="720" w:firstLine="0"/>
      </w:pPr>
    </w:p>
    <w:p w14:paraId="5A244624" w14:textId="4941B212" w:rsidR="0005590E" w:rsidRDefault="0005590E" w:rsidP="0005590E">
      <w:pPr>
        <w:ind w:left="720" w:firstLine="0"/>
      </w:pPr>
    </w:p>
    <w:p w14:paraId="6E642295" w14:textId="77777777" w:rsidR="0005590E" w:rsidRDefault="0005590E" w:rsidP="0005590E">
      <w:pPr>
        <w:ind w:left="720" w:firstLine="0"/>
      </w:pPr>
    </w:p>
    <w:p w14:paraId="2CD2280B" w14:textId="4EB687E5" w:rsidR="0005590E" w:rsidRDefault="0005590E" w:rsidP="0005590E">
      <w:pPr>
        <w:ind w:left="720" w:firstLine="0"/>
      </w:pPr>
    </w:p>
    <w:p w14:paraId="6B7EB9C9" w14:textId="77777777" w:rsidR="0005590E" w:rsidRDefault="0005590E" w:rsidP="0005590E">
      <w:pPr>
        <w:ind w:left="720" w:firstLine="0"/>
      </w:pPr>
    </w:p>
    <w:p w14:paraId="5333B185" w14:textId="3CEBC806" w:rsidR="0005590E" w:rsidRDefault="0005590E" w:rsidP="0005590E">
      <w:pPr>
        <w:ind w:left="720" w:firstLine="0"/>
        <w:jc w:val="center"/>
      </w:pPr>
      <w:r>
        <w:rPr>
          <w:noProof/>
        </w:rPr>
        <w:drawing>
          <wp:inline distT="0" distB="0" distL="0" distR="0" wp14:anchorId="3C656639" wp14:editId="20EC0F99">
            <wp:extent cx="3796589" cy="3350427"/>
            <wp:effectExtent l="0" t="0" r="0" b="2540"/>
            <wp:docPr id="29706544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6544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351" cy="33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1B37" w14:textId="77777777" w:rsidR="0005590E" w:rsidRDefault="0005590E" w:rsidP="0005590E">
      <w:pPr>
        <w:ind w:left="720" w:firstLine="0"/>
      </w:pPr>
    </w:p>
    <w:p w14:paraId="5D403350" w14:textId="77777777" w:rsidR="0005590E" w:rsidRDefault="0005590E" w:rsidP="0005590E">
      <w:pPr>
        <w:ind w:left="720" w:firstLine="0"/>
      </w:pPr>
    </w:p>
    <w:p w14:paraId="51BCA267" w14:textId="77777777" w:rsidR="0005590E" w:rsidRDefault="0005590E" w:rsidP="0005590E">
      <w:pPr>
        <w:ind w:left="720" w:firstLine="0"/>
      </w:pPr>
    </w:p>
    <w:p w14:paraId="6AB4062A" w14:textId="77777777" w:rsidR="0005590E" w:rsidRPr="0005590E" w:rsidRDefault="0005590E" w:rsidP="0005590E">
      <w:pPr>
        <w:ind w:left="720" w:firstLine="0"/>
      </w:pPr>
    </w:p>
    <w:p w14:paraId="0D7A87DD" w14:textId="4997D517" w:rsidR="0005590E" w:rsidRPr="0005590E" w:rsidRDefault="0005590E" w:rsidP="0005590E">
      <w:pPr>
        <w:rPr>
          <w:b/>
          <w:bCs/>
        </w:rPr>
      </w:pPr>
      <w:r w:rsidRPr="0005590E">
        <w:rPr>
          <w:b/>
          <w:bCs/>
        </w:rPr>
        <w:lastRenderedPageBreak/>
        <w:t>Что выявляет гипотеза гипотеза</w:t>
      </w:r>
    </w:p>
    <w:p w14:paraId="30BAE9E0" w14:textId="4D803BA0" w:rsidR="0005590E" w:rsidRPr="0005590E" w:rsidRDefault="0005590E" w:rsidP="0005590E">
      <w:pPr>
        <w:numPr>
          <w:ilvl w:val="0"/>
          <w:numId w:val="12"/>
        </w:numPr>
      </w:pPr>
      <w:r w:rsidRPr="0005590E">
        <w:rPr>
          <w:b/>
          <w:bCs/>
        </w:rPr>
        <w:t>Статистическая значимость:</w:t>
      </w:r>
      <w:r w:rsidRPr="0005590E">
        <w:t xml:space="preserve"> p-значения оказались менее 0.0001 для всех трёх метрик, что подтверждает наличие значимых различий между метастатическими и нормальными образцами.</w:t>
      </w:r>
    </w:p>
    <w:p w14:paraId="0DAAFFE2" w14:textId="7A2AE75F" w:rsidR="0005590E" w:rsidRPr="0005590E" w:rsidRDefault="0005590E" w:rsidP="0005590E">
      <w:pPr>
        <w:numPr>
          <w:ilvl w:val="0"/>
          <w:numId w:val="12"/>
        </w:numPr>
      </w:pPr>
      <w:r w:rsidRPr="0005590E">
        <w:rPr>
          <w:b/>
          <w:bCs/>
        </w:rPr>
        <w:t>Практический вывод:</w:t>
      </w:r>
      <w:r w:rsidRPr="0005590E">
        <w:t xml:space="preserve"> Метастатические образцы действительно требуют большего количества подготовленных порций, аналитических образцов и алипотов, что отражает повышенные требования к диагностике и исследованию метастаз.</w:t>
      </w:r>
    </w:p>
    <w:p w14:paraId="74273BD8" w14:textId="77777777" w:rsidR="0005590E" w:rsidRPr="0005590E" w:rsidRDefault="0005590E" w:rsidP="0005590E">
      <w:pPr>
        <w:rPr>
          <w:b/>
          <w:bCs/>
        </w:rPr>
      </w:pPr>
      <w:r w:rsidRPr="0005590E">
        <w:rPr>
          <w:b/>
          <w:bCs/>
        </w:rPr>
        <w:t>Зачем нужна проверка данной гипотезы</w:t>
      </w:r>
    </w:p>
    <w:p w14:paraId="202FB6E5" w14:textId="77777777" w:rsidR="0005590E" w:rsidRPr="0005590E" w:rsidRDefault="0005590E" w:rsidP="0005590E">
      <w:pPr>
        <w:numPr>
          <w:ilvl w:val="0"/>
          <w:numId w:val="13"/>
        </w:numPr>
      </w:pPr>
      <w:r w:rsidRPr="0005590E">
        <w:rPr>
          <w:b/>
          <w:bCs/>
        </w:rPr>
        <w:t>Оптимизация протоколов:</w:t>
      </w:r>
      <w:r w:rsidRPr="0005590E">
        <w:t xml:space="preserve"> Результаты помогут адаптировать и стандартизировать методики сбора биопматериала для метастатических очагов, учитывая их повышенные требования.</w:t>
      </w:r>
    </w:p>
    <w:p w14:paraId="6188388B" w14:textId="77777777" w:rsidR="0005590E" w:rsidRPr="0005590E" w:rsidRDefault="0005590E" w:rsidP="0005590E">
      <w:pPr>
        <w:numPr>
          <w:ilvl w:val="0"/>
          <w:numId w:val="13"/>
        </w:numPr>
      </w:pPr>
      <w:r w:rsidRPr="0005590E">
        <w:rPr>
          <w:b/>
          <w:bCs/>
        </w:rPr>
        <w:t>Улучшение качества данных:</w:t>
      </w:r>
      <w:r w:rsidRPr="0005590E">
        <w:t xml:space="preserve"> Понимание разницы в объёмах материалов между группами позволит более точно планировать лабораторные исследования.</w:t>
      </w:r>
    </w:p>
    <w:p w14:paraId="41EE2608" w14:textId="77777777" w:rsidR="0005590E" w:rsidRPr="0005590E" w:rsidRDefault="0005590E" w:rsidP="0005590E">
      <w:pPr>
        <w:numPr>
          <w:ilvl w:val="0"/>
          <w:numId w:val="13"/>
        </w:numPr>
      </w:pPr>
      <w:r w:rsidRPr="0005590E">
        <w:rPr>
          <w:b/>
          <w:bCs/>
        </w:rPr>
        <w:t>Клиническое значение:</w:t>
      </w:r>
      <w:r w:rsidRPr="0005590E">
        <w:t xml:space="preserve"> Знание о том, что метастатические образцы требуют большего числа подготовительных шагов, важно при планировании биопсии и последующего молекулярного анализа.</w:t>
      </w:r>
    </w:p>
    <w:p w14:paraId="6835CC35" w14:textId="77777777" w:rsidR="0005590E" w:rsidRPr="0005590E" w:rsidRDefault="0005590E" w:rsidP="0005590E">
      <w:pPr>
        <w:rPr>
          <w:b/>
          <w:bCs/>
        </w:rPr>
      </w:pPr>
      <w:r w:rsidRPr="0005590E">
        <w:rPr>
          <w:b/>
          <w:bCs/>
        </w:rPr>
        <w:t>Итоговые выводы</w:t>
      </w:r>
    </w:p>
    <w:p w14:paraId="72E7FC25" w14:textId="77777777" w:rsidR="0005590E" w:rsidRPr="0005590E" w:rsidRDefault="0005590E" w:rsidP="0005590E">
      <w:pPr>
        <w:numPr>
          <w:ilvl w:val="0"/>
          <w:numId w:val="14"/>
        </w:numPr>
      </w:pPr>
      <w:r w:rsidRPr="0005590E">
        <w:t>Выдвинутая гипотеза была подтверждена на уровне статистической значимости.</w:t>
      </w:r>
    </w:p>
    <w:p w14:paraId="48C1110D" w14:textId="77777777" w:rsidR="0005590E" w:rsidRPr="0005590E" w:rsidRDefault="0005590E" w:rsidP="0005590E">
      <w:pPr>
        <w:numPr>
          <w:ilvl w:val="0"/>
          <w:numId w:val="14"/>
        </w:numPr>
      </w:pPr>
      <w:r w:rsidRPr="0005590E">
        <w:t>Метастатические образцы обладают более высоким количеством порций, аналитических образцов и алипотов по сравнению с нормальными образцами крови.</w:t>
      </w:r>
    </w:p>
    <w:p w14:paraId="31B7F212" w14:textId="77777777" w:rsidR="0005590E" w:rsidRPr="0005590E" w:rsidRDefault="0005590E" w:rsidP="0005590E">
      <w:pPr>
        <w:numPr>
          <w:ilvl w:val="0"/>
          <w:numId w:val="14"/>
        </w:numPr>
      </w:pPr>
      <w:r w:rsidRPr="0005590E">
        <w:t>Полученные результаты имеют непосредственное значение для клинических и лабораторных протоколов исследований РПЖ, способствуя повышению качества диагностики и стандартизации методов обработки образцов.</w:t>
      </w:r>
    </w:p>
    <w:p w14:paraId="72D60AF5" w14:textId="77777777" w:rsidR="0005590E" w:rsidRPr="00055811" w:rsidRDefault="0005590E" w:rsidP="00055811"/>
    <w:p w14:paraId="25867B60" w14:textId="77777777" w:rsidR="003C7F5C" w:rsidRDefault="003C7F5C" w:rsidP="0005590E"/>
    <w:sectPr w:rsidR="003C7F5C" w:rsidSect="0005590E">
      <w:type w:val="continuous"/>
      <w:pgSz w:w="11910" w:h="16840"/>
      <w:pgMar w:top="720" w:right="720" w:bottom="720" w:left="720" w:header="0" w:footer="93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D27"/>
    <w:multiLevelType w:val="multilevel"/>
    <w:tmpl w:val="3B12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3596A"/>
    <w:multiLevelType w:val="multilevel"/>
    <w:tmpl w:val="084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506B3"/>
    <w:multiLevelType w:val="multilevel"/>
    <w:tmpl w:val="647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6679E"/>
    <w:multiLevelType w:val="multilevel"/>
    <w:tmpl w:val="E1BE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034B0"/>
    <w:multiLevelType w:val="multilevel"/>
    <w:tmpl w:val="12E6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E7051"/>
    <w:multiLevelType w:val="multilevel"/>
    <w:tmpl w:val="49A8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F145B"/>
    <w:multiLevelType w:val="multilevel"/>
    <w:tmpl w:val="2AE8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2222B"/>
    <w:multiLevelType w:val="multilevel"/>
    <w:tmpl w:val="02D4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13B48"/>
    <w:multiLevelType w:val="multilevel"/>
    <w:tmpl w:val="EB5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31D90"/>
    <w:multiLevelType w:val="multilevel"/>
    <w:tmpl w:val="BC52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B3934"/>
    <w:multiLevelType w:val="multilevel"/>
    <w:tmpl w:val="6D3A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84572"/>
    <w:multiLevelType w:val="multilevel"/>
    <w:tmpl w:val="CAD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B15B4"/>
    <w:multiLevelType w:val="multilevel"/>
    <w:tmpl w:val="858C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62D3E"/>
    <w:multiLevelType w:val="multilevel"/>
    <w:tmpl w:val="BF4E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677611">
    <w:abstractNumId w:val="6"/>
  </w:num>
  <w:num w:numId="2" w16cid:durableId="163012911">
    <w:abstractNumId w:val="4"/>
  </w:num>
  <w:num w:numId="3" w16cid:durableId="704598098">
    <w:abstractNumId w:val="1"/>
  </w:num>
  <w:num w:numId="4" w16cid:durableId="1695303452">
    <w:abstractNumId w:val="7"/>
  </w:num>
  <w:num w:numId="5" w16cid:durableId="1302227058">
    <w:abstractNumId w:val="11"/>
  </w:num>
  <w:num w:numId="6" w16cid:durableId="715662529">
    <w:abstractNumId w:val="13"/>
  </w:num>
  <w:num w:numId="7" w16cid:durableId="1003974417">
    <w:abstractNumId w:val="12"/>
  </w:num>
  <w:num w:numId="8" w16cid:durableId="359355394">
    <w:abstractNumId w:val="10"/>
  </w:num>
  <w:num w:numId="9" w16cid:durableId="2124566148">
    <w:abstractNumId w:val="3"/>
  </w:num>
  <w:num w:numId="10" w16cid:durableId="1794902095">
    <w:abstractNumId w:val="5"/>
  </w:num>
  <w:num w:numId="11" w16cid:durableId="313029470">
    <w:abstractNumId w:val="0"/>
  </w:num>
  <w:num w:numId="12" w16cid:durableId="1015493739">
    <w:abstractNumId w:val="8"/>
  </w:num>
  <w:num w:numId="13" w16cid:durableId="536889595">
    <w:abstractNumId w:val="9"/>
  </w:num>
  <w:num w:numId="14" w16cid:durableId="657883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85"/>
    <w:rsid w:val="00055811"/>
    <w:rsid w:val="0005590E"/>
    <w:rsid w:val="003623D2"/>
    <w:rsid w:val="00377E85"/>
    <w:rsid w:val="003C7F5C"/>
    <w:rsid w:val="00402D3A"/>
    <w:rsid w:val="005D189A"/>
    <w:rsid w:val="007E21F9"/>
    <w:rsid w:val="00A3617D"/>
    <w:rsid w:val="00F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3D3C"/>
  <w15:chartTrackingRefBased/>
  <w15:docId w15:val="{2FDA3FF2-68E4-41EA-A78F-58BE315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278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3D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7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E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E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E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E8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E8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E8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E8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7E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7E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7E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7E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7E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7E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E8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7E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7E85"/>
    <w:rPr>
      <w:rFonts w:ascii="Times New Roman" w:hAnsi="Times New Roman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7E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7E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7E85"/>
    <w:rPr>
      <w:rFonts w:ascii="Times New Roman" w:hAnsi="Times New Roman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7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Даниил Николаевич</dc:creator>
  <cp:keywords/>
  <dc:description/>
  <cp:lastModifiedBy>Ященко Даниил Николаевич</cp:lastModifiedBy>
  <cp:revision>3</cp:revision>
  <dcterms:created xsi:type="dcterms:W3CDTF">2025-04-24T16:07:00Z</dcterms:created>
  <dcterms:modified xsi:type="dcterms:W3CDTF">2025-04-24T16:16:00Z</dcterms:modified>
</cp:coreProperties>
</file>