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D509" w14:textId="77777777" w:rsidR="007B15BF" w:rsidRDefault="007B15BF" w:rsidP="007B15BF">
      <w:pPr>
        <w:spacing w:after="0" w:line="240" w:lineRule="auto"/>
        <w:jc w:val="center"/>
        <w:rPr>
          <w:rFonts w:ascii="Times New Roman" w:hAnsi="Times New Roman" w:cs="Times New Roman"/>
        </w:rPr>
      </w:pPr>
      <w:r w:rsidRPr="007B15BF">
        <w:rPr>
          <w:rFonts w:ascii="Times New Roman" w:hAnsi="Times New Roman" w:cs="Times New Roman"/>
        </w:rPr>
        <w:t xml:space="preserve">NON-DISCLOSURE, NON-COMPETE &amp; </w:t>
      </w:r>
    </w:p>
    <w:p w14:paraId="7F7FC05E" w14:textId="33926123" w:rsidR="007B15BF" w:rsidRDefault="007B15BF" w:rsidP="007B15BF">
      <w:pPr>
        <w:spacing w:after="0" w:line="240" w:lineRule="auto"/>
        <w:jc w:val="center"/>
        <w:rPr>
          <w:rFonts w:ascii="Times New Roman" w:hAnsi="Times New Roman" w:cs="Times New Roman"/>
        </w:rPr>
      </w:pPr>
      <w:r w:rsidRPr="007B15BF">
        <w:rPr>
          <w:rFonts w:ascii="Times New Roman" w:hAnsi="Times New Roman" w:cs="Times New Roman"/>
        </w:rPr>
        <w:t>NON-SOLICITATION</w:t>
      </w:r>
      <w:r>
        <w:rPr>
          <w:rFonts w:ascii="Times New Roman" w:hAnsi="Times New Roman" w:cs="Times New Roman"/>
        </w:rPr>
        <w:t xml:space="preserve"> </w:t>
      </w:r>
      <w:r w:rsidRPr="007B15BF">
        <w:rPr>
          <w:rFonts w:ascii="Times New Roman" w:hAnsi="Times New Roman" w:cs="Times New Roman"/>
        </w:rPr>
        <w:t>AGREEMENT</w:t>
      </w:r>
    </w:p>
    <w:p w14:paraId="0C631632" w14:textId="77777777" w:rsidR="007B15BF" w:rsidRDefault="007B15BF" w:rsidP="007B15BF">
      <w:pPr>
        <w:spacing w:after="0" w:line="240" w:lineRule="auto"/>
        <w:jc w:val="center"/>
        <w:rPr>
          <w:rFonts w:ascii="Times New Roman" w:hAnsi="Times New Roman" w:cs="Times New Roman"/>
        </w:rPr>
      </w:pPr>
    </w:p>
    <w:p w14:paraId="3CE52B94" w14:textId="77777777" w:rsidR="007B15BF" w:rsidRPr="007B15BF" w:rsidRDefault="007B15BF" w:rsidP="007B15BF">
      <w:pPr>
        <w:spacing w:after="0" w:line="240" w:lineRule="auto"/>
        <w:jc w:val="center"/>
        <w:rPr>
          <w:rFonts w:ascii="Times New Roman" w:hAnsi="Times New Roman" w:cs="Times New Roman"/>
        </w:rPr>
      </w:pPr>
    </w:p>
    <w:p w14:paraId="22D9082D" w14:textId="7DC30FEC" w:rsidR="007B15BF" w:rsidRPr="007B15BF" w:rsidRDefault="007B15BF" w:rsidP="007B15BF">
      <w:pPr>
        <w:rPr>
          <w:rFonts w:ascii="Times New Roman" w:hAnsi="Times New Roman" w:cs="Times New Roman"/>
        </w:rPr>
      </w:pPr>
      <w:r>
        <w:rPr>
          <w:rFonts w:ascii="Times New Roman" w:hAnsi="Times New Roman" w:cs="Times New Roman"/>
        </w:rPr>
        <w:tab/>
      </w:r>
      <w:r w:rsidRPr="007B15BF">
        <w:rPr>
          <w:rFonts w:ascii="Times New Roman" w:hAnsi="Times New Roman" w:cs="Times New Roman"/>
        </w:rPr>
        <w:t>This Agreement (the “</w:t>
      </w:r>
      <w:r w:rsidRPr="009E50B2">
        <w:rPr>
          <w:rFonts w:ascii="Times New Roman" w:hAnsi="Times New Roman" w:cs="Times New Roman"/>
          <w:u w:val="single"/>
        </w:rPr>
        <w:t>Agreement</w:t>
      </w:r>
      <w:r w:rsidRPr="007B15BF">
        <w:rPr>
          <w:rFonts w:ascii="Times New Roman" w:hAnsi="Times New Roman" w:cs="Times New Roman"/>
        </w:rPr>
        <w:t xml:space="preserve">”) is made and entered into on </w:t>
      </w:r>
      <w:r w:rsidR="009E50B2">
        <w:rPr>
          <w:rFonts w:ascii="Times New Roman" w:hAnsi="Times New Roman" w:cs="Times New Roman"/>
        </w:rPr>
        <w:t>____________________,</w:t>
      </w:r>
      <w:r w:rsidRPr="007B15BF">
        <w:rPr>
          <w:rFonts w:ascii="Times New Roman" w:hAnsi="Times New Roman" w:cs="Times New Roman"/>
        </w:rPr>
        <w:t xml:space="preserve"> by and between Bayview</w:t>
      </w:r>
      <w:r>
        <w:rPr>
          <w:rFonts w:ascii="Times New Roman" w:hAnsi="Times New Roman" w:cs="Times New Roman"/>
        </w:rPr>
        <w:t xml:space="preserve"> </w:t>
      </w:r>
      <w:r w:rsidRPr="007B15BF">
        <w:rPr>
          <w:rFonts w:ascii="Times New Roman" w:hAnsi="Times New Roman" w:cs="Times New Roman"/>
        </w:rPr>
        <w:t>Advance (“</w:t>
      </w:r>
      <w:r w:rsidRPr="009E50B2">
        <w:rPr>
          <w:rFonts w:ascii="Times New Roman" w:hAnsi="Times New Roman" w:cs="Times New Roman"/>
          <w:u w:val="single"/>
        </w:rPr>
        <w:t>Company</w:t>
      </w:r>
      <w:r w:rsidRPr="007B15BF">
        <w:rPr>
          <w:rFonts w:ascii="Times New Roman" w:hAnsi="Times New Roman" w:cs="Times New Roman"/>
        </w:rPr>
        <w:t>”) and the undersigned broker (“</w:t>
      </w:r>
      <w:r w:rsidRPr="009E50B2">
        <w:rPr>
          <w:rFonts w:ascii="Times New Roman" w:hAnsi="Times New Roman" w:cs="Times New Roman"/>
          <w:u w:val="single"/>
        </w:rPr>
        <w:t>Broker</w:t>
      </w:r>
      <w:r w:rsidRPr="007B15BF">
        <w:rPr>
          <w:rFonts w:ascii="Times New Roman" w:hAnsi="Times New Roman" w:cs="Times New Roman"/>
        </w:rPr>
        <w:t>”).</w:t>
      </w:r>
    </w:p>
    <w:p w14:paraId="7B1B5D0B"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1. Purpose</w:t>
      </w:r>
    </w:p>
    <w:p w14:paraId="16A02D50" w14:textId="24399443" w:rsidR="007B15BF" w:rsidRPr="007B15BF" w:rsidRDefault="007B15BF" w:rsidP="007B15BF">
      <w:pPr>
        <w:rPr>
          <w:rFonts w:ascii="Times New Roman" w:hAnsi="Times New Roman" w:cs="Times New Roman"/>
        </w:rPr>
      </w:pPr>
      <w:r>
        <w:rPr>
          <w:rFonts w:ascii="Times New Roman" w:hAnsi="Times New Roman" w:cs="Times New Roman"/>
        </w:rPr>
        <w:tab/>
      </w:r>
      <w:r w:rsidR="003A4CF9" w:rsidRPr="003A4CF9">
        <w:rPr>
          <w:rFonts w:ascii="Times New Roman" w:hAnsi="Times New Roman" w:cs="Times New Roman"/>
        </w:rPr>
        <w:t xml:space="preserve">The purpose of this Agreement is to protect the Company’s legitimate business interests, including its confidential information, proprietary systems, client and referral relationships, and goodwill developed through the Company’s investment of time and resources. </w:t>
      </w:r>
      <w:r w:rsidR="00F77A60" w:rsidRPr="00F77A60">
        <w:rPr>
          <w:rFonts w:ascii="Times New Roman" w:hAnsi="Times New Roman" w:cs="Times New Roman"/>
        </w:rPr>
        <w:t>For purposes of this Agreement, references to the ‘Company’ shall include its affiliates, subsidiaries, officers, and assigns, and the term ‘Broker’ shall include any entity or individual acting on behalf of the Broker</w:t>
      </w:r>
      <w:r w:rsidR="00F77A60">
        <w:rPr>
          <w:rFonts w:ascii="Times New Roman" w:hAnsi="Times New Roman" w:cs="Times New Roman"/>
        </w:rPr>
        <w:t xml:space="preserve">.  </w:t>
      </w:r>
      <w:r w:rsidR="003A4CF9" w:rsidRPr="003A4CF9">
        <w:rPr>
          <w:rFonts w:ascii="Times New Roman" w:hAnsi="Times New Roman" w:cs="Times New Roman"/>
        </w:rPr>
        <w:t>This Agreement sets forth the Broker’s obligations concerning the protection of such interests, including duties of confidentiality, non-solicitation, and limited non-competition, each of which is intended to be reasonable and necessary for the fair protection of the Company’s business.</w:t>
      </w:r>
      <w:r w:rsidR="00F77A60">
        <w:rPr>
          <w:rFonts w:ascii="Times New Roman" w:hAnsi="Times New Roman" w:cs="Times New Roman"/>
        </w:rPr>
        <w:t xml:space="preserve">  </w:t>
      </w:r>
      <w:r w:rsidR="00F77A60" w:rsidRPr="00F77A60">
        <w:rPr>
          <w:rFonts w:ascii="Times New Roman" w:hAnsi="Times New Roman" w:cs="Times New Roman"/>
          <w:highlight w:val="yellow"/>
        </w:rPr>
        <w:t>The parties acknowledge that the Broker is an independent contractor and not an employee, partner, or agent of the Company, and nothing in this Agreement shall be construed to create any employment relationship.</w:t>
      </w:r>
    </w:p>
    <w:p w14:paraId="19F71FB8"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2. Confidential Information</w:t>
      </w:r>
    </w:p>
    <w:p w14:paraId="4812A396" w14:textId="74DC18CD" w:rsidR="007B15BF" w:rsidRPr="007B15BF" w:rsidRDefault="007B15BF" w:rsidP="007B15BF">
      <w:pPr>
        <w:rPr>
          <w:rFonts w:ascii="Times New Roman" w:hAnsi="Times New Roman" w:cs="Times New Roman"/>
        </w:rPr>
      </w:pPr>
      <w:r>
        <w:rPr>
          <w:rFonts w:ascii="Times New Roman" w:hAnsi="Times New Roman" w:cs="Times New Roman"/>
        </w:rPr>
        <w:tab/>
      </w:r>
      <w:r w:rsidR="003A4CF9" w:rsidRPr="003A4CF9">
        <w:rPr>
          <w:rFonts w:ascii="Times New Roman" w:hAnsi="Times New Roman" w:cs="Times New Roman"/>
        </w:rPr>
        <w:t xml:space="preserve">Broker acknowledges that, </w:t>
      </w:r>
      <w:proofErr w:type="gramStart"/>
      <w:r w:rsidR="003A4CF9" w:rsidRPr="003A4CF9">
        <w:rPr>
          <w:rFonts w:ascii="Times New Roman" w:hAnsi="Times New Roman" w:cs="Times New Roman"/>
        </w:rPr>
        <w:t>during the course of</w:t>
      </w:r>
      <w:proofErr w:type="gramEnd"/>
      <w:r w:rsidR="003A4CF9" w:rsidRPr="003A4CF9">
        <w:rPr>
          <w:rFonts w:ascii="Times New Roman" w:hAnsi="Times New Roman" w:cs="Times New Roman"/>
        </w:rPr>
        <w:t xml:space="preserve"> their engagement, they will have access to the Company’s confidential and proprietary information, including but not limited to client and referral lists, leads, pricing and commission structures, marketing materials, scripts, training systems, business strategies, financial data, and technology platforms (collectively, “</w:t>
      </w:r>
      <w:r w:rsidR="003A4CF9" w:rsidRPr="009E50B2">
        <w:rPr>
          <w:rFonts w:ascii="Times New Roman" w:hAnsi="Times New Roman" w:cs="Times New Roman"/>
          <w:u w:val="single"/>
        </w:rPr>
        <w:t>Confidential Information</w:t>
      </w:r>
      <w:r w:rsidR="003A4CF9" w:rsidRPr="003A4CF9">
        <w:rPr>
          <w:rFonts w:ascii="Times New Roman" w:hAnsi="Times New Roman" w:cs="Times New Roman"/>
        </w:rPr>
        <w:t>”). Broker agrees that they shall not, during or after their engagement, directly or indirectly disclose, copy, retain, or use any Confidential Information for any purpose other than in furtherance of the Company’s business. The obligations under this section shall not apply to information that becomes public through no fault of the Broker.</w:t>
      </w:r>
    </w:p>
    <w:p w14:paraId="0E1A7E26"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3. Non-Solicitation</w:t>
      </w:r>
    </w:p>
    <w:p w14:paraId="68243892" w14:textId="672EE887" w:rsidR="007B15BF" w:rsidRPr="007B15BF" w:rsidRDefault="007B15BF" w:rsidP="007B15BF">
      <w:pPr>
        <w:rPr>
          <w:rFonts w:ascii="Times New Roman" w:hAnsi="Times New Roman" w:cs="Times New Roman"/>
        </w:rPr>
      </w:pPr>
      <w:r>
        <w:rPr>
          <w:rFonts w:ascii="Times New Roman" w:hAnsi="Times New Roman" w:cs="Times New Roman"/>
        </w:rPr>
        <w:tab/>
      </w:r>
      <w:r w:rsidR="003A4CF9" w:rsidRPr="003A4CF9">
        <w:rPr>
          <w:rFonts w:ascii="Times New Roman" w:hAnsi="Times New Roman" w:cs="Times New Roman"/>
        </w:rPr>
        <w:t>During the term of this Agreement and for a period of twelve (12) months following the termination of Broker’s engagement, Broker shall not, directly or indirectly, solicit or attempt to solicit any client, prospective client, or referral source with whom the Broker had material contact through the Company, for the purpose of providing products or services that compete with those offered by the Company. Broker shall likewise not solicit or induce any employee, contractor, or vendor of the Company to terminate or reduce their relationship with the Company.</w:t>
      </w:r>
    </w:p>
    <w:p w14:paraId="509B3126"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4. Non-Competition</w:t>
      </w:r>
    </w:p>
    <w:p w14:paraId="5FD5F3FC" w14:textId="2F739DB2" w:rsidR="007B15BF" w:rsidRPr="007B15BF" w:rsidRDefault="007B15BF" w:rsidP="007B15BF">
      <w:pPr>
        <w:rPr>
          <w:rFonts w:ascii="Times New Roman" w:hAnsi="Times New Roman" w:cs="Times New Roman"/>
        </w:rPr>
      </w:pPr>
      <w:r>
        <w:rPr>
          <w:rFonts w:ascii="Times New Roman" w:hAnsi="Times New Roman" w:cs="Times New Roman"/>
        </w:rPr>
        <w:tab/>
      </w:r>
      <w:r w:rsidR="003A4CF9" w:rsidRPr="003A4CF9">
        <w:rPr>
          <w:rFonts w:ascii="Times New Roman" w:hAnsi="Times New Roman" w:cs="Times New Roman"/>
        </w:rPr>
        <w:t xml:space="preserve">For a period of twelve (12) months following the termination of Broker’s engagement, Broker shall not, without the Company’s prior written consent, directly or indirectly engage in, </w:t>
      </w:r>
      <w:r w:rsidR="003A4CF9" w:rsidRPr="003A4CF9">
        <w:rPr>
          <w:rFonts w:ascii="Times New Roman" w:hAnsi="Times New Roman" w:cs="Times New Roman"/>
        </w:rPr>
        <w:lastRenderedPageBreak/>
        <w:t xml:space="preserve">own, manage, operate, or provide services to any business that competes with the Company in the merchant cash-advance or alternative funding industry within the geographic area in which the Broker performed services for the Company. This restriction applies only to activities that are the same as or substantially </w:t>
      </w:r>
      <w:proofErr w:type="gramStart"/>
      <w:r w:rsidR="003A4CF9" w:rsidRPr="003A4CF9">
        <w:rPr>
          <w:rFonts w:ascii="Times New Roman" w:hAnsi="Times New Roman" w:cs="Times New Roman"/>
        </w:rPr>
        <w:t>similar to</w:t>
      </w:r>
      <w:proofErr w:type="gramEnd"/>
      <w:r w:rsidR="003A4CF9" w:rsidRPr="003A4CF9">
        <w:rPr>
          <w:rFonts w:ascii="Times New Roman" w:hAnsi="Times New Roman" w:cs="Times New Roman"/>
        </w:rPr>
        <w:t xml:space="preserve"> those the Broker </w:t>
      </w:r>
      <w:proofErr w:type="gramStart"/>
      <w:r w:rsidR="003A4CF9" w:rsidRPr="003A4CF9">
        <w:rPr>
          <w:rFonts w:ascii="Times New Roman" w:hAnsi="Times New Roman" w:cs="Times New Roman"/>
        </w:rPr>
        <w:t>performed</w:t>
      </w:r>
      <w:proofErr w:type="gramEnd"/>
      <w:r w:rsidR="003A4CF9" w:rsidRPr="003A4CF9">
        <w:rPr>
          <w:rFonts w:ascii="Times New Roman" w:hAnsi="Times New Roman" w:cs="Times New Roman"/>
        </w:rPr>
        <w:t xml:space="preserve"> for the Company and only to the extent necessary to protect the Company’s confidential information and goodwill. Nothing in this Section shall prevent the Broker from earning a livelihood in a non-competitive capacity or from owning </w:t>
      </w:r>
      <w:r w:rsidR="003A4CF9">
        <w:rPr>
          <w:rFonts w:ascii="Times New Roman" w:hAnsi="Times New Roman" w:cs="Times New Roman"/>
        </w:rPr>
        <w:t>stock/shares/equity</w:t>
      </w:r>
      <w:r w:rsidR="003A4CF9" w:rsidRPr="003A4CF9">
        <w:rPr>
          <w:rFonts w:ascii="Times New Roman" w:hAnsi="Times New Roman" w:cs="Times New Roman"/>
        </w:rPr>
        <w:t xml:space="preserve"> of any publicly traded company.</w:t>
      </w:r>
    </w:p>
    <w:p w14:paraId="2DFE0056"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5. Return of Materials</w:t>
      </w:r>
    </w:p>
    <w:p w14:paraId="653F3ED2" w14:textId="34C1E14C" w:rsidR="007B15BF" w:rsidRPr="007B15BF" w:rsidRDefault="007B15BF" w:rsidP="007B15BF">
      <w:pPr>
        <w:rPr>
          <w:rFonts w:ascii="Times New Roman" w:hAnsi="Times New Roman" w:cs="Times New Roman"/>
        </w:rPr>
      </w:pPr>
      <w:r>
        <w:rPr>
          <w:rFonts w:ascii="Times New Roman" w:hAnsi="Times New Roman" w:cs="Times New Roman"/>
        </w:rPr>
        <w:tab/>
      </w:r>
      <w:r w:rsidR="003A4CF9" w:rsidRPr="003A4CF9">
        <w:rPr>
          <w:rFonts w:ascii="Times New Roman" w:hAnsi="Times New Roman" w:cs="Times New Roman"/>
        </w:rPr>
        <w:t>Upon termination of Broker’s engagement for any reason, Broker shall immediately return to the Company all property, records, and materials belonging to the Company, whether in physical or electronic form, including but not limited to client and lead information, data, scripts, marketing materials, access credentials, and any copies thereof. Broker further agrees to permanently delete all such materials from any personal devices, accounts, or storage systems and, upon request, certify in writing that all Company materials have been returned or deleted.</w:t>
      </w:r>
    </w:p>
    <w:p w14:paraId="4659E52A"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6. Remedies</w:t>
      </w:r>
    </w:p>
    <w:p w14:paraId="53D9BF87" w14:textId="03BE54A5" w:rsidR="007B15BF" w:rsidRPr="007B15BF" w:rsidRDefault="007B15BF" w:rsidP="007B15BF">
      <w:pPr>
        <w:rPr>
          <w:rFonts w:ascii="Times New Roman" w:hAnsi="Times New Roman" w:cs="Times New Roman"/>
        </w:rPr>
      </w:pPr>
      <w:r>
        <w:rPr>
          <w:rFonts w:ascii="Times New Roman" w:hAnsi="Times New Roman" w:cs="Times New Roman"/>
        </w:rPr>
        <w:tab/>
      </w:r>
      <w:r w:rsidR="00F77A60" w:rsidRPr="00F77A60">
        <w:rPr>
          <w:rFonts w:ascii="Times New Roman" w:hAnsi="Times New Roman" w:cs="Times New Roman"/>
        </w:rPr>
        <w:t>Broker acknowledges that a breach or threatened breach of this Agreement may cause the Company irreparable harm for which monetary damages would be inadequate. Accordingly, the Company shall be entitled, in addition to any other remedies available at law or in equity, to seek temporary, preliminary, and permanent injunctive relief to prevent or restrain any such breach, without the necessity of posting a bond. Nothing in this Agreement shall limit the Company’s right to pursue monetary damages or any other relief as may be appropriate.</w:t>
      </w:r>
    </w:p>
    <w:p w14:paraId="639581D8" w14:textId="77777777" w:rsidR="007B15BF" w:rsidRPr="007B15BF" w:rsidRDefault="007B15BF" w:rsidP="007B15BF">
      <w:pPr>
        <w:rPr>
          <w:rFonts w:ascii="Times New Roman" w:hAnsi="Times New Roman" w:cs="Times New Roman"/>
        </w:rPr>
      </w:pPr>
      <w:r w:rsidRPr="007B15BF">
        <w:rPr>
          <w:rFonts w:ascii="Times New Roman" w:hAnsi="Times New Roman" w:cs="Times New Roman"/>
        </w:rPr>
        <w:t>7. Governing Law</w:t>
      </w:r>
    </w:p>
    <w:p w14:paraId="35DA8859" w14:textId="77777777" w:rsidR="00F77A60" w:rsidRDefault="007B15BF" w:rsidP="007B15BF">
      <w:pPr>
        <w:rPr>
          <w:rFonts w:ascii="Times New Roman" w:hAnsi="Times New Roman" w:cs="Times New Roman"/>
        </w:rPr>
      </w:pPr>
      <w:r>
        <w:rPr>
          <w:rFonts w:ascii="Times New Roman" w:hAnsi="Times New Roman" w:cs="Times New Roman"/>
        </w:rPr>
        <w:tab/>
      </w:r>
      <w:r w:rsidR="00F77A60" w:rsidRPr="00F77A60">
        <w:rPr>
          <w:rFonts w:ascii="Times New Roman" w:hAnsi="Times New Roman" w:cs="Times New Roman"/>
        </w:rPr>
        <w:t>This Agreement shall be governed by, and construed in accordance with, the laws of the State of New York, without regard to its conflict of laws principles. Any dispute arising out of or relating to this Agreement shall be brought exclusively in the state or federal courts located in Kings County (Brooklyn), New York, and each party hereby consents to the personal jurisdiction and venue of such courts.</w:t>
      </w:r>
    </w:p>
    <w:p w14:paraId="2BACCE22" w14:textId="0B64D20A" w:rsidR="007B15BF" w:rsidRPr="007B15BF" w:rsidRDefault="007B15BF" w:rsidP="007B15BF">
      <w:pPr>
        <w:rPr>
          <w:rFonts w:ascii="Times New Roman" w:hAnsi="Times New Roman" w:cs="Times New Roman"/>
        </w:rPr>
      </w:pPr>
      <w:r w:rsidRPr="007B15BF">
        <w:rPr>
          <w:rFonts w:ascii="Times New Roman" w:hAnsi="Times New Roman" w:cs="Times New Roman"/>
        </w:rPr>
        <w:t>8. Entire Agreement</w:t>
      </w:r>
    </w:p>
    <w:p w14:paraId="0EECC027" w14:textId="540300EE" w:rsidR="00167BB8" w:rsidRDefault="007B15BF" w:rsidP="007B15BF">
      <w:pPr>
        <w:rPr>
          <w:rFonts w:ascii="Times New Roman" w:hAnsi="Times New Roman" w:cs="Times New Roman"/>
        </w:rPr>
      </w:pPr>
      <w:r>
        <w:rPr>
          <w:rFonts w:ascii="Times New Roman" w:hAnsi="Times New Roman" w:cs="Times New Roman"/>
        </w:rPr>
        <w:tab/>
      </w:r>
      <w:r w:rsidR="00F77A60" w:rsidRPr="00F77A60">
        <w:rPr>
          <w:rFonts w:ascii="Times New Roman" w:hAnsi="Times New Roman" w:cs="Times New Roman"/>
        </w:rPr>
        <w:t>This Agreement constitutes the entire understanding between the parties with respect to the subject matter hereof and supersedes all prior and contemporaneous agreements, representations, or understandings, whether oral or written. No modification or waiver of any provision of this Agreement shall be effective unless in writing and signed by both parties.</w:t>
      </w:r>
    </w:p>
    <w:p w14:paraId="5FEFCA02" w14:textId="22453A0D" w:rsidR="00F77A60" w:rsidRDefault="00F77A60" w:rsidP="007B15BF">
      <w:pPr>
        <w:rPr>
          <w:rFonts w:ascii="Times New Roman" w:hAnsi="Times New Roman" w:cs="Times New Roman"/>
        </w:rPr>
      </w:pPr>
      <w:r>
        <w:rPr>
          <w:rFonts w:ascii="Times New Roman" w:hAnsi="Times New Roman" w:cs="Times New Roman"/>
        </w:rPr>
        <w:t>9</w:t>
      </w:r>
      <w:proofErr w:type="gramStart"/>
      <w:r>
        <w:rPr>
          <w:rFonts w:ascii="Times New Roman" w:hAnsi="Times New Roman" w:cs="Times New Roman"/>
        </w:rPr>
        <w:t>.  Miscellaneous</w:t>
      </w:r>
      <w:proofErr w:type="gramEnd"/>
    </w:p>
    <w:p w14:paraId="6B5EB2D6" w14:textId="692AC222" w:rsidR="00F77A60" w:rsidRDefault="00F77A60" w:rsidP="007B15BF">
      <w:pPr>
        <w:rPr>
          <w:rFonts w:ascii="Times New Roman" w:hAnsi="Times New Roman" w:cs="Times New Roman"/>
        </w:rPr>
      </w:pPr>
      <w:r>
        <w:rPr>
          <w:rFonts w:ascii="Times New Roman" w:hAnsi="Times New Roman" w:cs="Times New Roman"/>
        </w:rPr>
        <w:tab/>
      </w:r>
      <w:r w:rsidRPr="00F77A60">
        <w:rPr>
          <w:rFonts w:ascii="Times New Roman" w:hAnsi="Times New Roman" w:cs="Times New Roman"/>
        </w:rPr>
        <w:t xml:space="preserve">This Agreement may be executed in one or more counterparts, each of which shall be deemed an original and all of which together shall constitute one and the same instrument. Signatures delivered electronically, including via </w:t>
      </w:r>
      <w:proofErr w:type="spellStart"/>
      <w:r w:rsidRPr="00F77A60">
        <w:rPr>
          <w:rFonts w:ascii="Times New Roman" w:hAnsi="Times New Roman" w:cs="Times New Roman"/>
        </w:rPr>
        <w:t>DocuSign</w:t>
      </w:r>
      <w:proofErr w:type="spellEnd"/>
      <w:r w:rsidRPr="00F77A60">
        <w:rPr>
          <w:rFonts w:ascii="Times New Roman" w:hAnsi="Times New Roman" w:cs="Times New Roman"/>
        </w:rPr>
        <w:t xml:space="preserve"> or other recognized electronic signature platform, or by scanned copy, shall be deemed to have the same force and effect as original signatures. No presumption or inference shall be drawn against either party based on the drafting of this Agreement. Each party acknowledges that they have had the opportunity to review this Agreement and to seek the advice of independent legal counsel before signing.</w:t>
      </w:r>
      <w:r w:rsidRPr="00F77A60">
        <w:t xml:space="preserve"> </w:t>
      </w:r>
      <w:r>
        <w:t>I</w:t>
      </w:r>
      <w:r w:rsidRPr="00F77A60">
        <w:rPr>
          <w:rFonts w:ascii="Times New Roman" w:hAnsi="Times New Roman" w:cs="Times New Roman"/>
        </w:rPr>
        <w:t>f any provision of this Agreement is held to be invalid or unenforceable, such provision shall be limited or modified to the minimum extent necessary to make it enforceable, and the remaining provisions shall remain in full force and effect.</w:t>
      </w:r>
    </w:p>
    <w:p w14:paraId="00289040" w14:textId="2C9609FA" w:rsidR="00F77A60" w:rsidRDefault="00F77A60" w:rsidP="007B15BF">
      <w:pPr>
        <w:rPr>
          <w:rFonts w:ascii="Times New Roman" w:hAnsi="Times New Roman" w:cs="Times New Roman"/>
        </w:rPr>
      </w:pPr>
      <w:r>
        <w:rPr>
          <w:rFonts w:ascii="Times New Roman" w:hAnsi="Times New Roman" w:cs="Times New Roman"/>
        </w:rPr>
        <w:t>10</w:t>
      </w:r>
      <w:proofErr w:type="gramStart"/>
      <w:r>
        <w:rPr>
          <w:rFonts w:ascii="Times New Roman" w:hAnsi="Times New Roman" w:cs="Times New Roman"/>
        </w:rPr>
        <w:t>.  Acknowledgment</w:t>
      </w:r>
      <w:proofErr w:type="gramEnd"/>
    </w:p>
    <w:p w14:paraId="6F0A853B" w14:textId="06585EEA" w:rsidR="00F77A60" w:rsidRPr="007B15BF" w:rsidRDefault="00F77A60" w:rsidP="007B15BF">
      <w:pPr>
        <w:rPr>
          <w:rFonts w:ascii="Times New Roman" w:hAnsi="Times New Roman" w:cs="Times New Roman"/>
        </w:rPr>
      </w:pPr>
      <w:r>
        <w:rPr>
          <w:rFonts w:ascii="Times New Roman" w:hAnsi="Times New Roman" w:cs="Times New Roman"/>
        </w:rPr>
        <w:tab/>
      </w:r>
      <w:r w:rsidRPr="00F77A60">
        <w:rPr>
          <w:rFonts w:ascii="Times New Roman" w:hAnsi="Times New Roman" w:cs="Times New Roman"/>
        </w:rPr>
        <w:t>Broker acknowledges that the restrictions in this Agreement are reasonable and necessary to protect the Company’s legitimate business interests, and that Broker has received adequate consideration in exchange for entering into this Agreement.</w:t>
      </w:r>
    </w:p>
    <w:sectPr w:rsidR="00F77A60" w:rsidRPr="007B15B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2B8D" w14:textId="77777777" w:rsidR="009E50B2" w:rsidRDefault="009E50B2" w:rsidP="009E50B2">
      <w:pPr>
        <w:spacing w:after="0" w:line="240" w:lineRule="auto"/>
      </w:pPr>
      <w:r>
        <w:separator/>
      </w:r>
    </w:p>
  </w:endnote>
  <w:endnote w:type="continuationSeparator" w:id="0">
    <w:p w14:paraId="4C46ADC4" w14:textId="77777777" w:rsidR="009E50B2" w:rsidRDefault="009E50B2" w:rsidP="009E5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8EB0" w14:textId="77777777" w:rsidR="009E50B2" w:rsidRDefault="009E5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267642"/>
      <w:docPartObj>
        <w:docPartGallery w:val="Page Numbers (Bottom of Page)"/>
        <w:docPartUnique/>
      </w:docPartObj>
    </w:sdtPr>
    <w:sdtEndPr>
      <w:rPr>
        <w:noProof/>
      </w:rPr>
    </w:sdtEndPr>
    <w:sdtContent>
      <w:p w14:paraId="122671B4" w14:textId="4E509916" w:rsidR="009E50B2" w:rsidRDefault="009E50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3B6D5" w14:textId="77777777" w:rsidR="009E50B2" w:rsidRDefault="009E50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8AED" w14:textId="77777777" w:rsidR="009E50B2" w:rsidRDefault="009E5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EFFBF" w14:textId="77777777" w:rsidR="009E50B2" w:rsidRDefault="009E50B2" w:rsidP="009E50B2">
      <w:pPr>
        <w:spacing w:after="0" w:line="240" w:lineRule="auto"/>
      </w:pPr>
      <w:r>
        <w:separator/>
      </w:r>
    </w:p>
  </w:footnote>
  <w:footnote w:type="continuationSeparator" w:id="0">
    <w:p w14:paraId="625A79FC" w14:textId="77777777" w:rsidR="009E50B2" w:rsidRDefault="009E50B2" w:rsidP="009E5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03BC" w14:textId="77777777" w:rsidR="009E50B2" w:rsidRDefault="009E5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2A93" w14:textId="77777777" w:rsidR="009E50B2" w:rsidRDefault="009E5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12D8" w14:textId="77777777" w:rsidR="009E50B2" w:rsidRDefault="009E50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BF"/>
    <w:rsid w:val="00075B71"/>
    <w:rsid w:val="00167BB8"/>
    <w:rsid w:val="003A4CF9"/>
    <w:rsid w:val="005F7D3C"/>
    <w:rsid w:val="00625F67"/>
    <w:rsid w:val="007B15BF"/>
    <w:rsid w:val="0087721D"/>
    <w:rsid w:val="009E50B2"/>
    <w:rsid w:val="00A00F4E"/>
    <w:rsid w:val="00C30996"/>
    <w:rsid w:val="00C36AC0"/>
    <w:rsid w:val="00D1142A"/>
    <w:rsid w:val="00F7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CF51"/>
  <w15:chartTrackingRefBased/>
  <w15:docId w15:val="{84E49A4F-6B2C-4060-9376-858663B5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BF"/>
    <w:rPr>
      <w:rFonts w:eastAsiaTheme="majorEastAsia" w:cstheme="majorBidi"/>
      <w:color w:val="272727" w:themeColor="text1" w:themeTint="D8"/>
    </w:rPr>
  </w:style>
  <w:style w:type="paragraph" w:styleId="Title">
    <w:name w:val="Title"/>
    <w:basedOn w:val="Normal"/>
    <w:next w:val="Normal"/>
    <w:link w:val="TitleChar"/>
    <w:uiPriority w:val="10"/>
    <w:qFormat/>
    <w:rsid w:val="007B1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5BF"/>
    <w:pPr>
      <w:spacing w:before="160"/>
      <w:jc w:val="center"/>
    </w:pPr>
    <w:rPr>
      <w:i/>
      <w:iCs/>
      <w:color w:val="404040" w:themeColor="text1" w:themeTint="BF"/>
    </w:rPr>
  </w:style>
  <w:style w:type="character" w:customStyle="1" w:styleId="QuoteChar">
    <w:name w:val="Quote Char"/>
    <w:basedOn w:val="DefaultParagraphFont"/>
    <w:link w:val="Quote"/>
    <w:uiPriority w:val="29"/>
    <w:rsid w:val="007B15BF"/>
    <w:rPr>
      <w:i/>
      <w:iCs/>
      <w:color w:val="404040" w:themeColor="text1" w:themeTint="BF"/>
    </w:rPr>
  </w:style>
  <w:style w:type="paragraph" w:styleId="ListParagraph">
    <w:name w:val="List Paragraph"/>
    <w:basedOn w:val="Normal"/>
    <w:uiPriority w:val="34"/>
    <w:qFormat/>
    <w:rsid w:val="007B15BF"/>
    <w:pPr>
      <w:ind w:left="720"/>
      <w:contextualSpacing/>
    </w:pPr>
  </w:style>
  <w:style w:type="character" w:styleId="IntenseEmphasis">
    <w:name w:val="Intense Emphasis"/>
    <w:basedOn w:val="DefaultParagraphFont"/>
    <w:uiPriority w:val="21"/>
    <w:qFormat/>
    <w:rsid w:val="007B15BF"/>
    <w:rPr>
      <w:i/>
      <w:iCs/>
      <w:color w:val="0F4761" w:themeColor="accent1" w:themeShade="BF"/>
    </w:rPr>
  </w:style>
  <w:style w:type="paragraph" w:styleId="IntenseQuote">
    <w:name w:val="Intense Quote"/>
    <w:basedOn w:val="Normal"/>
    <w:next w:val="Normal"/>
    <w:link w:val="IntenseQuoteChar"/>
    <w:uiPriority w:val="30"/>
    <w:qFormat/>
    <w:rsid w:val="007B1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5BF"/>
    <w:rPr>
      <w:i/>
      <w:iCs/>
      <w:color w:val="0F4761" w:themeColor="accent1" w:themeShade="BF"/>
    </w:rPr>
  </w:style>
  <w:style w:type="character" w:styleId="IntenseReference">
    <w:name w:val="Intense Reference"/>
    <w:basedOn w:val="DefaultParagraphFont"/>
    <w:uiPriority w:val="32"/>
    <w:qFormat/>
    <w:rsid w:val="007B15BF"/>
    <w:rPr>
      <w:b/>
      <w:bCs/>
      <w:smallCaps/>
      <w:color w:val="0F4761" w:themeColor="accent1" w:themeShade="BF"/>
      <w:spacing w:val="5"/>
    </w:rPr>
  </w:style>
  <w:style w:type="paragraph" w:styleId="Header">
    <w:name w:val="header"/>
    <w:basedOn w:val="Normal"/>
    <w:link w:val="HeaderChar"/>
    <w:uiPriority w:val="99"/>
    <w:unhideWhenUsed/>
    <w:rsid w:val="009E5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0B2"/>
  </w:style>
  <w:style w:type="paragraph" w:styleId="Footer">
    <w:name w:val="footer"/>
    <w:basedOn w:val="Normal"/>
    <w:link w:val="FooterChar"/>
    <w:uiPriority w:val="99"/>
    <w:unhideWhenUsed/>
    <w:rsid w:val="009E5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929FAA-EC33-4D12-845B-1179AC428FC6}">
  <we:reference id="wa200004774" version="1.7.0.0" store="en-US" storeType="OMEX"/>
  <we:alternateReferences>
    <we:reference id="wa200004774" version="1.7.0.0" store="wa200004774" storeType="OMEX"/>
  </we:alternateReferences>
  <we:properties>
    <we:property name="documentId" value="&quot;016bc502-be67-4e65-8537-7fb555602f3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3</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Weiss</dc:creator>
  <cp:keywords/>
  <dc:description/>
  <cp:lastModifiedBy>Avi Weiss</cp:lastModifiedBy>
  <cp:revision>2</cp:revision>
  <dcterms:created xsi:type="dcterms:W3CDTF">2025-11-07T14:24:00Z</dcterms:created>
  <dcterms:modified xsi:type="dcterms:W3CDTF">2025-11-07T14:24:00Z</dcterms:modified>
</cp:coreProperties>
</file>