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AION 2 — Global Launch : état des connaissances</w:t>
      </w:r>
    </w:p>
    <w:p>
      <w:pPr>
        <w:jc w:val="left"/>
      </w:pPr>
      <w:r>
        <w:rPr>
          <w:color w:val="5A5A5A"/>
          <w:sz w:val="22"/>
        </w:rPr>
        <w:t>Chronologie, courbe de progression, Heroic, points de vigilance et hypothèses</w:t>
      </w:r>
    </w:p>
    <w:p>
      <w:r>
        <w:rPr>
          <w:b/>
          <w:sz w:val="18"/>
        </w:rPr>
        <w:t>État documentaire au 3 septembre 2026</w:t>
      </w:r>
    </w:p>
    <w:p>
      <w:pPr>
        <w:pStyle w:val="Callout"/>
      </w:pPr>
      <w:r>
        <w:t>Ce document distingue explicitement les faits officiels, les observations de builds, les observations KR/TW, les recommandations de créateurs et nos analyses. Les valeurs version-spécifiques ne doivent pas être réutilisées sans vérifier leur applicabilité.</w:t>
      </w:r>
    </w:p>
    <w:p>
      <w:pPr>
        <w:pStyle w:val="Heading1"/>
      </w:pPr>
      <w:r>
        <w:t>1. Faits Global actuellement confirmés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088"/>
            <w:shd w:fill="253746"/>
            <w:vAlign w:val="center"/>
          </w:tcPr>
          <w:p>
            <w:r>
              <w:rPr>
                <w:b/>
                <w:color w:val="FFFFFF"/>
                <w:sz w:val="16"/>
              </w:rPr>
              <w:t>Sujet</w:t>
            </w:r>
          </w:p>
        </w:tc>
        <w:tc>
          <w:tcPr>
            <w:tcW w:type="dxa" w:w="4968"/>
            <w:shd w:fill="253746"/>
            <w:vAlign w:val="center"/>
          </w:tcPr>
          <w:p>
            <w:r>
              <w:rPr>
                <w:b/>
                <w:color w:val="FFFFFF"/>
                <w:sz w:val="16"/>
              </w:rPr>
              <w:t>État</w:t>
            </w:r>
          </w:p>
        </w:tc>
        <w:tc>
          <w:tcPr>
            <w:tcW w:type="dxa" w:w="2088"/>
            <w:shd w:fill="253746"/>
            <w:vAlign w:val="center"/>
          </w:tcPr>
          <w:p>
            <w:r>
              <w:rPr>
                <w:b/>
                <w:color w:val="FFFFFF"/>
                <w:sz w:val="16"/>
              </w:rPr>
              <w:t>Statut</w:t>
            </w:r>
          </w:p>
        </w:tc>
        <w:tc>
          <w:tcPr>
            <w:tcW w:type="dxa" w:w="1872"/>
            <w:shd w:fill="253746"/>
            <w:vAlign w:val="center"/>
          </w:tcPr>
          <w:p>
            <w:r>
              <w:rPr>
                <w:b/>
                <w:color w:val="FFFFFF"/>
                <w:sz w:val="16"/>
              </w:rPr>
              <w:t>Source</w:t>
            </w:r>
          </w:p>
        </w:tc>
      </w:tr>
      <w:tr>
        <w:tc>
          <w:tcPr>
            <w:tcW w:type="dxa" w:w="2088"/>
            <w:vAlign w:val="top"/>
          </w:tcPr>
          <w:p>
            <w:pPr>
              <w:spacing w:after="20"/>
            </w:pPr>
            <w:r>
              <w:rPr>
                <w:sz w:val="16"/>
              </w:rPr>
              <w:t>Sortie mondiale</w:t>
            </w:r>
          </w:p>
        </w:tc>
        <w:tc>
          <w:tcPr>
            <w:tcW w:type="dxa" w:w="4968"/>
            <w:vAlign w:val="top"/>
          </w:tcPr>
          <w:p>
            <w:pPr>
              <w:spacing w:after="20"/>
            </w:pPr>
            <w:r>
              <w:rPr>
                <w:sz w:val="16"/>
              </w:rPr>
              <w:t>5 octobre 2026</w:t>
            </w:r>
          </w:p>
        </w:tc>
        <w:tc>
          <w:tcPr>
            <w:tcW w:type="dxa" w:w="2088"/>
            <w:vAlign w:val="top"/>
          </w:tcPr>
          <w:p>
            <w:pPr>
              <w:spacing w:after="20"/>
            </w:pPr>
            <w:r>
              <w:rPr>
                <w:sz w:val="16"/>
              </w:rPr>
              <w:t>CONFIRMED_GLOBAL</w:t>
            </w:r>
          </w:p>
        </w:tc>
        <w:tc>
          <w:tcPr>
            <w:tcW w:type="dxa" w:w="1872"/>
            <w:vAlign w:val="top"/>
          </w:tcPr>
          <w:p>
            <w:pPr>
              <w:spacing w:after="20"/>
            </w:pPr>
            <w:r>
              <w:rPr>
                <w:sz w:val="16"/>
              </w:rPr>
              <w:t>OFF-01 / OFF-02</w:t>
            </w:r>
          </w:p>
        </w:tc>
      </w:tr>
      <w:tr>
        <w:tc>
          <w:tcPr>
            <w:tcW w:type="dxa" w:w="2088"/>
            <w:vAlign w:val="top"/>
          </w:tcPr>
          <w:p>
            <w:pPr>
              <w:spacing w:after="20"/>
            </w:pPr>
            <w:r>
              <w:rPr>
                <w:sz w:val="16"/>
              </w:rPr>
              <w:t>Plateformes</w:t>
            </w:r>
          </w:p>
        </w:tc>
        <w:tc>
          <w:tcPr>
            <w:tcW w:type="dxa" w:w="4968"/>
            <w:vAlign w:val="top"/>
          </w:tcPr>
          <w:p>
            <w:pPr>
              <w:spacing w:after="20"/>
            </w:pPr>
            <w:r>
              <w:rPr>
                <w:sz w:val="16"/>
              </w:rPr>
              <w:t>PC via Steam et PURPLE</w:t>
            </w:r>
          </w:p>
        </w:tc>
        <w:tc>
          <w:tcPr>
            <w:tcW w:type="dxa" w:w="2088"/>
            <w:vAlign w:val="top"/>
          </w:tcPr>
          <w:p>
            <w:pPr>
              <w:spacing w:after="20"/>
            </w:pPr>
            <w:r>
              <w:rPr>
                <w:sz w:val="16"/>
              </w:rPr>
              <w:t>CONFIRMED_GLOBAL</w:t>
            </w:r>
          </w:p>
        </w:tc>
        <w:tc>
          <w:tcPr>
            <w:tcW w:type="dxa" w:w="1872"/>
            <w:vAlign w:val="top"/>
          </w:tcPr>
          <w:p>
            <w:pPr>
              <w:spacing w:after="20"/>
            </w:pPr>
            <w:r>
              <w:rPr>
                <w:sz w:val="16"/>
              </w:rPr>
              <w:t>OFF-02 / OFF-03</w:t>
            </w:r>
          </w:p>
        </w:tc>
      </w:tr>
      <w:tr>
        <w:tc>
          <w:tcPr>
            <w:tcW w:type="dxa" w:w="2088"/>
            <w:vAlign w:val="top"/>
          </w:tcPr>
          <w:p>
            <w:pPr>
              <w:spacing w:after="20"/>
            </w:pPr>
            <w:r>
              <w:rPr>
                <w:sz w:val="16"/>
              </w:rPr>
              <w:t>Launch Scale Test</w:t>
            </w:r>
          </w:p>
        </w:tc>
        <w:tc>
          <w:tcPr>
            <w:tcW w:type="dxa" w:w="4968"/>
            <w:vAlign w:val="top"/>
          </w:tcPr>
          <w:p>
            <w:pPr>
              <w:spacing w:after="20"/>
            </w:pPr>
            <w:r>
              <w:rPr>
                <w:sz w:val="16"/>
              </w:rPr>
              <w:t>Préchargement 16/09 22:00 ; sessions 17–18 et 19 septembre</w:t>
            </w:r>
          </w:p>
        </w:tc>
        <w:tc>
          <w:tcPr>
            <w:tcW w:type="dxa" w:w="2088"/>
            <w:vAlign w:val="top"/>
          </w:tcPr>
          <w:p>
            <w:pPr>
              <w:spacing w:after="20"/>
            </w:pPr>
            <w:r>
              <w:rPr>
                <w:sz w:val="16"/>
              </w:rPr>
              <w:t>CONFIRMED_GLOBAL</w:t>
            </w:r>
          </w:p>
        </w:tc>
        <w:tc>
          <w:tcPr>
            <w:tcW w:type="dxa" w:w="1872"/>
            <w:vAlign w:val="top"/>
          </w:tcPr>
          <w:p>
            <w:pPr>
              <w:spacing w:after="20"/>
            </w:pPr>
            <w:r>
              <w:rPr>
                <w:sz w:val="16"/>
              </w:rPr>
              <w:t>OFF-01</w:t>
            </w:r>
          </w:p>
        </w:tc>
      </w:tr>
      <w:tr>
        <w:tc>
          <w:tcPr>
            <w:tcW w:type="dxa" w:w="2088"/>
            <w:vAlign w:val="top"/>
          </w:tcPr>
          <w:p>
            <w:pPr>
              <w:spacing w:after="20"/>
            </w:pPr>
            <w:r>
              <w:rPr>
                <w:sz w:val="16"/>
              </w:rPr>
              <w:t>Founder packs</w:t>
            </w:r>
          </w:p>
        </w:tc>
        <w:tc>
          <w:tcPr>
            <w:tcW w:type="dxa" w:w="4968"/>
            <w:vAlign w:val="top"/>
          </w:tcPr>
          <w:p>
            <w:pPr>
              <w:spacing w:after="20"/>
            </w:pPr>
            <w:r>
              <w:rPr>
                <w:sz w:val="16"/>
              </w:rPr>
              <w:t>Accès anticipé de 5 jours + 30 jours de Membership affichés sur le site officiel</w:t>
            </w:r>
          </w:p>
        </w:tc>
        <w:tc>
          <w:tcPr>
            <w:tcW w:type="dxa" w:w="2088"/>
            <w:vAlign w:val="top"/>
          </w:tcPr>
          <w:p>
            <w:pPr>
              <w:spacing w:after="20"/>
            </w:pPr>
            <w:r>
              <w:rPr>
                <w:sz w:val="16"/>
              </w:rPr>
              <w:t>CONFIRMED_GLOBAL</w:t>
            </w:r>
          </w:p>
        </w:tc>
        <w:tc>
          <w:tcPr>
            <w:tcW w:type="dxa" w:w="1872"/>
            <w:vAlign w:val="top"/>
          </w:tcPr>
          <w:p>
            <w:pPr>
              <w:spacing w:after="20"/>
            </w:pPr>
            <w:r>
              <w:rPr>
                <w:sz w:val="16"/>
              </w:rPr>
              <w:t>OFF-01</w:t>
            </w:r>
          </w:p>
        </w:tc>
      </w:tr>
      <w:tr>
        <w:tc>
          <w:tcPr>
            <w:tcW w:type="dxa" w:w="2088"/>
            <w:vAlign w:val="top"/>
          </w:tcPr>
          <w:p>
            <w:pPr>
              <w:spacing w:after="20"/>
            </w:pPr>
            <w:r>
              <w:rPr>
                <w:sz w:val="16"/>
              </w:rPr>
              <w:t>Classes de base</w:t>
            </w:r>
          </w:p>
        </w:tc>
        <w:tc>
          <w:tcPr>
            <w:tcW w:type="dxa" w:w="4968"/>
            <w:vAlign w:val="top"/>
          </w:tcPr>
          <w:p>
            <w:pPr>
              <w:spacing w:after="20"/>
            </w:pPr>
            <w:r>
              <w:rPr>
                <w:sz w:val="16"/>
              </w:rPr>
              <w:t>Gladiator, Templar, Assassin, Ranger, Chanter, Cleric, Sorcerer, Spiritmaster</w:t>
            </w:r>
          </w:p>
        </w:tc>
        <w:tc>
          <w:tcPr>
            <w:tcW w:type="dxa" w:w="2088"/>
            <w:vAlign w:val="top"/>
          </w:tcPr>
          <w:p>
            <w:pPr>
              <w:spacing w:after="20"/>
            </w:pPr>
            <w:r>
              <w:rPr>
                <w:sz w:val="16"/>
              </w:rPr>
              <w:t>CONFIRMED / OFFICIAL DESIGN</w:t>
            </w:r>
          </w:p>
        </w:tc>
        <w:tc>
          <w:tcPr>
            <w:tcW w:type="dxa" w:w="1872"/>
            <w:vAlign w:val="top"/>
          </w:tcPr>
          <w:p>
            <w:pPr>
              <w:spacing w:after="20"/>
            </w:pPr>
            <w:r>
              <w:rPr>
                <w:sz w:val="16"/>
              </w:rPr>
              <w:t>OFF-05 + site Global</w:t>
            </w:r>
          </w:p>
        </w:tc>
      </w:tr>
    </w:tbl>
    <w:p/>
    <w:p>
      <w:pPr>
        <w:pStyle w:val="Heading1"/>
      </w:pPr>
      <w:r>
        <w:t>2. Progression Global observée fin août</w:t>
      </w:r>
    </w:p>
    <w:p>
      <w:r>
        <w:t>La présentation Global analysée par Starline montre une courbe de progression nettement différente du TW actuel. Nous la conservons comme OBSERVED_GLOBAL_BUILD : suffisamment forte pour planifier, mais pas comme contrat immuable avant le Launch Scale Test.</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880"/>
            <w:shd w:fill="253746"/>
            <w:vAlign w:val="center"/>
          </w:tcPr>
          <w:p>
            <w:r>
              <w:rPr>
                <w:b/>
                <w:color w:val="FFFFFF"/>
                <w:sz w:val="16"/>
              </w:rPr>
              <w:t>Étape</w:t>
            </w:r>
          </w:p>
        </w:tc>
        <w:tc>
          <w:tcPr>
            <w:tcW w:type="dxa" w:w="3312"/>
            <w:shd w:fill="253746"/>
            <w:vAlign w:val="center"/>
          </w:tcPr>
          <w:p>
            <w:r>
              <w:rPr>
                <w:b/>
                <w:color w:val="FFFFFF"/>
                <w:sz w:val="16"/>
              </w:rPr>
              <w:t>Valeur de travail</w:t>
            </w:r>
          </w:p>
        </w:tc>
        <w:tc>
          <w:tcPr>
            <w:tcW w:type="dxa" w:w="3312"/>
            <w:shd w:fill="253746"/>
            <w:vAlign w:val="center"/>
          </w:tcPr>
          <w:p>
            <w:r>
              <w:rPr>
                <w:b/>
                <w:color w:val="FFFFFF"/>
                <w:sz w:val="16"/>
              </w:rPr>
              <w:t>Statut</w:t>
            </w:r>
          </w:p>
        </w:tc>
      </w:tr>
      <w:tr>
        <w:tc>
          <w:tcPr>
            <w:tcW w:type="dxa" w:w="2880"/>
            <w:vAlign w:val="top"/>
          </w:tcPr>
          <w:p>
            <w:pPr>
              <w:spacing w:after="20"/>
            </w:pPr>
            <w:r>
              <w:rPr>
                <w:sz w:val="16"/>
              </w:rPr>
              <w:t>Fin du leveling</w:t>
            </w:r>
          </w:p>
        </w:tc>
        <w:tc>
          <w:tcPr>
            <w:tcW w:type="dxa" w:w="3312"/>
            <w:vAlign w:val="top"/>
          </w:tcPr>
          <w:p>
            <w:pPr>
              <w:spacing w:after="20"/>
            </w:pPr>
            <w:r>
              <w:rPr>
                <w:sz w:val="16"/>
              </w:rPr>
              <w:t>~700–750 GS estimés par le créateur</w:t>
            </w:r>
          </w:p>
        </w:tc>
        <w:tc>
          <w:tcPr>
            <w:tcW w:type="dxa" w:w="3312"/>
            <w:vAlign w:val="top"/>
          </w:tcPr>
          <w:p>
            <w:pPr>
              <w:spacing w:after="20"/>
            </w:pPr>
            <w:r>
              <w:rPr>
                <w:sz w:val="16"/>
              </w:rPr>
              <w:t>CREATOR/OBSERVED</w:t>
            </w:r>
          </w:p>
        </w:tc>
      </w:tr>
      <w:tr>
        <w:tc>
          <w:tcPr>
            <w:tcW w:type="dxa" w:w="2880"/>
            <w:vAlign w:val="top"/>
          </w:tcPr>
          <w:p>
            <w:pPr>
              <w:spacing w:after="20"/>
            </w:pPr>
            <w:r>
              <w:rPr>
                <w:sz w:val="16"/>
              </w:rPr>
              <w:t>Premières Conquêtes</w:t>
            </w:r>
          </w:p>
        </w:tc>
        <w:tc>
          <w:tcPr>
            <w:tcW w:type="dxa" w:w="3312"/>
            <w:vAlign w:val="top"/>
          </w:tcPr>
          <w:p>
            <w:pPr>
              <w:spacing w:after="20"/>
            </w:pPr>
            <w:r>
              <w:rPr>
                <w:sz w:val="16"/>
              </w:rPr>
              <w:t>~800 GS</w:t>
            </w:r>
          </w:p>
        </w:tc>
        <w:tc>
          <w:tcPr>
            <w:tcW w:type="dxa" w:w="3312"/>
            <w:vAlign w:val="top"/>
          </w:tcPr>
          <w:p>
            <w:pPr>
              <w:spacing w:after="20"/>
            </w:pPr>
            <w:r>
              <w:rPr>
                <w:sz w:val="16"/>
              </w:rPr>
              <w:t>OBSERVED_GLOBAL_BUILD</w:t>
            </w:r>
          </w:p>
        </w:tc>
      </w:tr>
      <w:tr>
        <w:tc>
          <w:tcPr>
            <w:tcW w:type="dxa" w:w="2880"/>
            <w:vAlign w:val="top"/>
          </w:tcPr>
          <w:p>
            <w:pPr>
              <w:spacing w:after="20"/>
            </w:pPr>
            <w:r>
              <w:rPr>
                <w:sz w:val="16"/>
              </w:rPr>
              <w:t>Transcendence T1</w:t>
            </w:r>
          </w:p>
        </w:tc>
        <w:tc>
          <w:tcPr>
            <w:tcW w:type="dxa" w:w="3312"/>
            <w:vAlign w:val="top"/>
          </w:tcPr>
          <w:p>
            <w:pPr>
              <w:spacing w:after="20"/>
            </w:pPr>
            <w:r>
              <w:rPr>
                <w:sz w:val="16"/>
              </w:rPr>
              <w:t>~1800 GS</w:t>
            </w:r>
          </w:p>
        </w:tc>
        <w:tc>
          <w:tcPr>
            <w:tcW w:type="dxa" w:w="3312"/>
            <w:vAlign w:val="top"/>
          </w:tcPr>
          <w:p>
            <w:pPr>
              <w:spacing w:after="20"/>
            </w:pPr>
            <w:r>
              <w:rPr>
                <w:sz w:val="16"/>
              </w:rPr>
              <w:t>OBSERVED_GLOBAL_BUILD</w:t>
            </w:r>
          </w:p>
        </w:tc>
      </w:tr>
      <w:tr>
        <w:tc>
          <w:tcPr>
            <w:tcW w:type="dxa" w:w="2880"/>
            <w:vAlign w:val="top"/>
          </w:tcPr>
          <w:p>
            <w:pPr>
              <w:spacing w:after="20"/>
            </w:pPr>
            <w:r>
              <w:rPr>
                <w:sz w:val="16"/>
              </w:rPr>
              <w:t>Transcendence T4</w:t>
            </w:r>
          </w:p>
        </w:tc>
        <w:tc>
          <w:tcPr>
            <w:tcW w:type="dxa" w:w="3312"/>
            <w:vAlign w:val="top"/>
          </w:tcPr>
          <w:p>
            <w:pPr>
              <w:spacing w:after="20"/>
            </w:pPr>
            <w:r>
              <w:rPr>
                <w:sz w:val="16"/>
              </w:rPr>
              <w:t>~2700 GS</w:t>
            </w:r>
          </w:p>
        </w:tc>
        <w:tc>
          <w:tcPr>
            <w:tcW w:type="dxa" w:w="3312"/>
            <w:vAlign w:val="top"/>
          </w:tcPr>
          <w:p>
            <w:pPr>
              <w:spacing w:after="20"/>
            </w:pPr>
            <w:r>
              <w:rPr>
                <w:sz w:val="16"/>
              </w:rPr>
              <w:t>OBSERVED_GLOBAL_BUILD</w:t>
            </w:r>
          </w:p>
        </w:tc>
      </w:tr>
      <w:tr>
        <w:tc>
          <w:tcPr>
            <w:tcW w:type="dxa" w:w="2880"/>
            <w:vAlign w:val="top"/>
          </w:tcPr>
          <w:p>
            <w:pPr>
              <w:spacing w:after="20"/>
            </w:pPr>
            <w:r>
              <w:rPr>
                <w:sz w:val="16"/>
              </w:rPr>
              <w:t>Ludra</w:t>
            </w:r>
          </w:p>
        </w:tc>
        <w:tc>
          <w:tcPr>
            <w:tcW w:type="dxa" w:w="3312"/>
            <w:vAlign w:val="top"/>
          </w:tcPr>
          <w:p>
            <w:pPr>
              <w:spacing w:after="20"/>
            </w:pPr>
            <w:r>
              <w:rPr>
                <w:sz w:val="16"/>
              </w:rPr>
              <w:t>~2800 GS</w:t>
            </w:r>
          </w:p>
        </w:tc>
        <w:tc>
          <w:tcPr>
            <w:tcW w:type="dxa" w:w="3312"/>
            <w:vAlign w:val="top"/>
          </w:tcPr>
          <w:p>
            <w:pPr>
              <w:spacing w:after="20"/>
            </w:pPr>
            <w:r>
              <w:rPr>
                <w:sz w:val="16"/>
              </w:rPr>
              <w:t>OBSERVED_GLOBAL_BUILD</w:t>
            </w:r>
          </w:p>
        </w:tc>
      </w:tr>
    </w:tbl>
    <w:p/>
    <w:p>
      <w:pPr>
        <w:pStyle w:val="Heading1"/>
      </w:pPr>
      <w:r>
        <w:t>3. Hypothèse de route de progression au lancement</w:t>
      </w:r>
    </w:p>
    <w:p>
      <w:pPr>
        <w:pStyle w:val="ListNumber"/>
      </w:pPr>
      <w:r>
        <w:t>Leveling jusqu’au niveau 45</w:t>
      </w:r>
    </w:p>
    <w:p>
      <w:pPr>
        <w:pStyle w:val="ListNumber"/>
      </w:pPr>
      <w:r>
        <w:t>Donjons scellés / strongholds / exploration</w:t>
      </w:r>
    </w:p>
    <w:p>
      <w:pPr>
        <w:pStyle w:val="ListNumber"/>
      </w:pPr>
      <w:r>
        <w:t>Conquêtes dès ~800 GS</w:t>
      </w:r>
    </w:p>
    <w:p>
      <w:pPr>
        <w:pStyle w:val="ListNumber"/>
      </w:pPr>
      <w:r>
        <w:t>Phase de gearing, enchantement et optimisation plus longue</w:t>
      </w:r>
    </w:p>
    <w:p>
      <w:pPr>
        <w:pStyle w:val="ListNumber"/>
      </w:pPr>
      <w:r>
        <w:t>Transcendence autour de ~1800 → 2700 GS</w:t>
      </w:r>
    </w:p>
    <w:p>
      <w:pPr>
        <w:pStyle w:val="ListNumber"/>
      </w:pPr>
      <w:r>
        <w:t>Ludra autour de ~2800 GS</w:t>
      </w:r>
    </w:p>
    <w:p>
      <w:r>
        <w:t>Analyse : la Global ne paraît pas seulement « plus lente ». Les premiers contenus sont rendus accessibles plus tôt, tandis que les contenus supérieurs sont repoussés, ce qui crée un véritable midgame. Cette conclusion est une ANALYSE, pas une déclaration d’intention officielle de NC.</w:t>
      </w:r>
    </w:p>
    <w:p>
      <w:pPr>
        <w:pStyle w:val="Heading1"/>
      </w:pPr>
      <w:r>
        <w:t>4. Heroic : point central du launch</w:t>
      </w:r>
    </w:p>
    <w:p>
      <w:r>
        <w:t>Les écrans/explications Global disponibles indiquent qu’aucun équipement Heroic ne serait présent dans la boucle de loot PvE initiale des Conquêtes et de Ludra. Le transcript Global insiste explicitement sur ce point. Nous le classons OBSERVED_GLOBAL_BUILD, confiance élevée, mais pas encore comme une déclaration officielle catégorique « aucun Heroic n’existe au lancement ».</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880"/>
            <w:shd w:fill="253746"/>
            <w:vAlign w:val="center"/>
          </w:tcPr>
          <w:p>
            <w:r>
              <w:rPr>
                <w:b/>
                <w:color w:val="FFFFFF"/>
                <w:sz w:val="16"/>
              </w:rPr>
              <w:t>Palier</w:t>
            </w:r>
          </w:p>
        </w:tc>
        <w:tc>
          <w:tcPr>
            <w:tcW w:type="dxa" w:w="4608"/>
            <w:shd w:fill="253746"/>
            <w:vAlign w:val="center"/>
          </w:tcPr>
          <w:p>
            <w:r>
              <w:rPr>
                <w:b/>
                <w:color w:val="FFFFFF"/>
                <w:sz w:val="16"/>
              </w:rPr>
              <w:t>Lecture actuelle</w:t>
            </w:r>
          </w:p>
        </w:tc>
        <w:tc>
          <w:tcPr>
            <w:tcW w:type="dxa" w:w="2304"/>
            <w:shd w:fill="253746"/>
            <w:vAlign w:val="center"/>
          </w:tcPr>
          <w:p>
            <w:r>
              <w:rPr>
                <w:b/>
                <w:color w:val="FFFFFF"/>
                <w:sz w:val="16"/>
              </w:rPr>
              <w:t>Confiance</w:t>
            </w:r>
          </w:p>
        </w:tc>
      </w:tr>
      <w:tr>
        <w:tc>
          <w:tcPr>
            <w:tcW w:type="dxa" w:w="2880"/>
            <w:vAlign w:val="top"/>
          </w:tcPr>
          <w:p>
            <w:pPr>
              <w:spacing w:after="20"/>
            </w:pPr>
            <w:r>
              <w:rPr>
                <w:sz w:val="16"/>
              </w:rPr>
              <w:t>Unique/Gold</w:t>
            </w:r>
          </w:p>
        </w:tc>
        <w:tc>
          <w:tcPr>
            <w:tcW w:type="dxa" w:w="4608"/>
            <w:vAlign w:val="top"/>
          </w:tcPr>
          <w:p>
            <w:pPr>
              <w:spacing w:after="20"/>
            </w:pPr>
            <w:r>
              <w:rPr>
                <w:sz w:val="16"/>
              </w:rPr>
              <w:t>Palier majeur de progression au launch</w:t>
            </w:r>
          </w:p>
        </w:tc>
        <w:tc>
          <w:tcPr>
            <w:tcW w:type="dxa" w:w="2304"/>
            <w:vAlign w:val="top"/>
          </w:tcPr>
          <w:p>
            <w:pPr>
              <w:spacing w:after="20"/>
            </w:pPr>
            <w:r>
              <w:rPr>
                <w:sz w:val="16"/>
              </w:rPr>
              <w:t>Fortement probable</w:t>
            </w:r>
          </w:p>
        </w:tc>
      </w:tr>
      <w:tr>
        <w:tc>
          <w:tcPr>
            <w:tcW w:type="dxa" w:w="2880"/>
            <w:vAlign w:val="top"/>
          </w:tcPr>
          <w:p>
            <w:pPr>
              <w:spacing w:after="20"/>
            </w:pPr>
            <w:r>
              <w:rPr>
                <w:sz w:val="16"/>
              </w:rPr>
              <w:t>Heroic/Orange — Conquest</w:t>
            </w:r>
          </w:p>
        </w:tc>
        <w:tc>
          <w:tcPr>
            <w:tcW w:type="dxa" w:w="4608"/>
            <w:vAlign w:val="top"/>
          </w:tcPr>
          <w:p>
            <w:pPr>
              <w:spacing w:after="20"/>
            </w:pPr>
            <w:r>
              <w:rPr>
                <w:sz w:val="16"/>
              </w:rPr>
              <w:t>Absent des récompenses montrées</w:t>
            </w:r>
          </w:p>
        </w:tc>
        <w:tc>
          <w:tcPr>
            <w:tcW w:type="dxa" w:w="2304"/>
            <w:vAlign w:val="top"/>
          </w:tcPr>
          <w:p>
            <w:pPr>
              <w:spacing w:after="20"/>
            </w:pPr>
            <w:r>
              <w:rPr>
                <w:sz w:val="16"/>
              </w:rPr>
              <w:t>OBSERVED_GLOBAL_BUILD</w:t>
            </w:r>
          </w:p>
        </w:tc>
      </w:tr>
      <w:tr>
        <w:tc>
          <w:tcPr>
            <w:tcW w:type="dxa" w:w="2880"/>
            <w:vAlign w:val="top"/>
          </w:tcPr>
          <w:p>
            <w:pPr>
              <w:spacing w:after="20"/>
            </w:pPr>
            <w:r>
              <w:rPr>
                <w:sz w:val="16"/>
              </w:rPr>
              <w:t>Heroic/Orange — Ludra</w:t>
            </w:r>
          </w:p>
        </w:tc>
        <w:tc>
          <w:tcPr>
            <w:tcW w:type="dxa" w:w="4608"/>
            <w:vAlign w:val="top"/>
          </w:tcPr>
          <w:p>
            <w:pPr>
              <w:spacing w:after="20"/>
            </w:pPr>
            <w:r>
              <w:rPr>
                <w:sz w:val="16"/>
              </w:rPr>
              <w:t>Absent des récompenses montrées</w:t>
            </w:r>
          </w:p>
        </w:tc>
        <w:tc>
          <w:tcPr>
            <w:tcW w:type="dxa" w:w="2304"/>
            <w:vAlign w:val="top"/>
          </w:tcPr>
          <w:p>
            <w:pPr>
              <w:spacing w:after="20"/>
            </w:pPr>
            <w:r>
              <w:rPr>
                <w:sz w:val="16"/>
              </w:rPr>
              <w:t>OBSERVED_GLOBAL_BUILD</w:t>
            </w:r>
          </w:p>
        </w:tc>
      </w:tr>
      <w:tr>
        <w:tc>
          <w:tcPr>
            <w:tcW w:type="dxa" w:w="2880"/>
            <w:vAlign w:val="top"/>
          </w:tcPr>
          <w:p>
            <w:pPr>
              <w:spacing w:after="20"/>
            </w:pPr>
            <w:r>
              <w:rPr>
                <w:sz w:val="16"/>
              </w:rPr>
              <w:t>Heroic plus tard</w:t>
            </w:r>
          </w:p>
        </w:tc>
        <w:tc>
          <w:tcPr>
            <w:tcW w:type="dxa" w:w="4608"/>
            <w:vAlign w:val="top"/>
          </w:tcPr>
          <w:p>
            <w:pPr>
              <w:spacing w:after="20"/>
            </w:pPr>
            <w:r>
              <w:rPr>
                <w:sz w:val="16"/>
              </w:rPr>
              <w:t>Très probable au fil des saisons/contenus</w:t>
            </w:r>
          </w:p>
        </w:tc>
        <w:tc>
          <w:tcPr>
            <w:tcW w:type="dxa" w:w="2304"/>
            <w:vAlign w:val="top"/>
          </w:tcPr>
          <w:p>
            <w:pPr>
              <w:spacing w:after="20"/>
            </w:pPr>
            <w:r>
              <w:rPr>
                <w:sz w:val="16"/>
              </w:rPr>
              <w:t>Inférence forte depuis KR/TW</w:t>
            </w:r>
          </w:p>
        </w:tc>
      </w:tr>
    </w:tbl>
    <w:p/>
    <w:p>
      <w:r>
        <w:t>Conséquence theorycraft : un bon Unique peut être un véritable équipement endgame de lancement. Cela augmente l’intérêt d’optimiser ses substats, Soul Binding, Manastones, enchantement et étoiles au lieu d’attendre immédiatement un Heroic.</w:t>
      </w:r>
    </w:p>
    <w:p>
      <w:pPr>
        <w:pStyle w:val="Heading1"/>
      </w:pPr>
      <w:r>
        <w:t>5. Pourquoi la Global ne doit pas être traitée comme TW-current</w:t>
      </w:r>
    </w:p>
    <w:p>
      <w:pPr>
        <w:pStyle w:val="ListBullet"/>
      </w:pPr>
      <w:r>
        <w:t>Le speedrun TW a démontré ~6h30 niveau 45 et ~2200 GS en ~15h, mais la nouvelle courbe Global semble précisément casser cette portabilité.</w:t>
      </w:r>
    </w:p>
    <w:p>
      <w:pPr>
        <w:pStyle w:val="ListBullet"/>
      </w:pPr>
      <w:r>
        <w:t>Le TW actuel a accumulé plusieurs saisons de QoL, catch-up, nouveaux tiers, systèmes de transfert et caps augmentés.</w:t>
      </w:r>
    </w:p>
    <w:p>
      <w:pPr>
        <w:pStyle w:val="ListBullet"/>
      </w:pPr>
      <w:r>
        <w:t>Les classes sont encore très mouvantes : gros patch le 26 août, nouvelles retouches Templar/Chanter le 2 septembre.</w:t>
      </w:r>
    </w:p>
    <w:p>
      <w:pPr>
        <w:pStyle w:val="ListBullet"/>
      </w:pPr>
      <w:r>
        <w:t>Les systèmes existent souvent sur Global, mais leur cap, coût, taux et timing de déblocage peuvent être différents.</w:t>
      </w:r>
    </w:p>
    <w:p>
      <w:pPr>
        <w:pStyle w:val="Heading1"/>
      </w:pPr>
      <w:r>
        <w:t>6. Watchlist Launch Scale Test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232"/>
            <w:shd w:fill="253746"/>
            <w:vAlign w:val="center"/>
          </w:tcPr>
          <w:p>
            <w:r>
              <w:rPr>
                <w:b/>
                <w:color w:val="FFFFFF"/>
                <w:sz w:val="16"/>
              </w:rPr>
              <w:t>Sujet</w:t>
            </w:r>
          </w:p>
        </w:tc>
        <w:tc>
          <w:tcPr>
            <w:tcW w:type="dxa" w:w="7776"/>
            <w:shd w:fill="253746"/>
            <w:vAlign w:val="center"/>
          </w:tcPr>
          <w:p>
            <w:r>
              <w:rPr>
                <w:b/>
                <w:color w:val="FFFFFF"/>
                <w:sz w:val="16"/>
              </w:rPr>
              <w:t>À établir</w:t>
            </w:r>
          </w:p>
        </w:tc>
      </w:tr>
      <w:tr>
        <w:tc>
          <w:tcPr>
            <w:tcW w:type="dxa" w:w="2232"/>
            <w:vAlign w:val="top"/>
          </w:tcPr>
          <w:p>
            <w:pPr>
              <w:spacing w:after="20"/>
            </w:pPr>
            <w:r>
              <w:rPr>
                <w:sz w:val="16"/>
              </w:rPr>
              <w:t>Loot Heroic</w:t>
            </w:r>
          </w:p>
        </w:tc>
        <w:tc>
          <w:tcPr>
            <w:tcW w:type="dxa" w:w="7776"/>
            <w:vAlign w:val="top"/>
          </w:tcPr>
          <w:p>
            <w:pPr>
              <w:spacing w:after="20"/>
            </w:pPr>
            <w:r>
              <w:rPr>
                <w:sz w:val="16"/>
              </w:rPr>
              <w:t>Vérifier toutes les loot tables Conquest/Transcendence/Sanctuary et craft de saison.</w:t>
            </w:r>
          </w:p>
        </w:tc>
      </w:tr>
      <w:tr>
        <w:tc>
          <w:tcPr>
            <w:tcW w:type="dxa" w:w="2232"/>
            <w:vAlign w:val="top"/>
          </w:tcPr>
          <w:p>
            <w:pPr>
              <w:spacing w:after="20"/>
            </w:pPr>
            <w:r>
              <w:rPr>
                <w:sz w:val="16"/>
              </w:rPr>
              <w:t>Stigma</w:t>
            </w:r>
          </w:p>
        </w:tc>
        <w:tc>
          <w:tcPr>
            <w:tcW w:type="dxa" w:w="7776"/>
            <w:vAlign w:val="top"/>
          </w:tcPr>
          <w:p>
            <w:pPr>
              <w:spacing w:after="20"/>
            </w:pPr>
            <w:r>
              <w:rPr>
                <w:sz w:val="16"/>
              </w:rPr>
              <w:t>Vérifier cap Global et nombre de slots ; KR a évolué jusqu’à 25 et 5 slots.</w:t>
            </w:r>
          </w:p>
        </w:tc>
      </w:tr>
      <w:tr>
        <w:tc>
          <w:tcPr>
            <w:tcW w:type="dxa" w:w="2232"/>
            <w:vAlign w:val="top"/>
          </w:tcPr>
          <w:p>
            <w:pPr>
              <w:spacing w:after="20"/>
            </w:pPr>
            <w:r>
              <w:rPr>
                <w:sz w:val="16"/>
              </w:rPr>
              <w:t>Pets/Genus</w:t>
            </w:r>
          </w:p>
        </w:tc>
        <w:tc>
          <w:tcPr>
            <w:tcW w:type="dxa" w:w="7776"/>
            <w:vAlign w:val="top"/>
          </w:tcPr>
          <w:p>
            <w:pPr>
              <w:spacing w:after="20"/>
            </w:pPr>
            <w:r>
              <w:rPr>
                <w:sz w:val="16"/>
              </w:rPr>
              <w:t>Vérifier cap de pet Global, conversion en cristaux et tables Genus Insight.</w:t>
            </w:r>
          </w:p>
        </w:tc>
      </w:tr>
      <w:tr>
        <w:tc>
          <w:tcPr>
            <w:tcW w:type="dxa" w:w="2232"/>
            <w:vAlign w:val="top"/>
          </w:tcPr>
          <w:p>
            <w:pPr>
              <w:spacing w:after="20"/>
            </w:pPr>
            <w:r>
              <w:rPr>
                <w:sz w:val="16"/>
              </w:rPr>
              <w:t>Accuracy</w:t>
            </w:r>
          </w:p>
        </w:tc>
        <w:tc>
          <w:tcPr>
            <w:tcW w:type="dxa" w:w="7776"/>
            <w:vAlign w:val="top"/>
          </w:tcPr>
          <w:p>
            <w:pPr>
              <w:spacing w:after="20"/>
            </w:pPr>
            <w:r>
              <w:rPr>
                <w:sz w:val="16"/>
              </w:rPr>
              <w:t>Mesurer réellement les caps par contenu Global ; ne pas reprendre 800–1200 ou 1800–2200 TW sans test.</w:t>
            </w:r>
          </w:p>
        </w:tc>
      </w:tr>
      <w:tr>
        <w:tc>
          <w:tcPr>
            <w:tcW w:type="dxa" w:w="2232"/>
            <w:vAlign w:val="top"/>
          </w:tcPr>
          <w:p>
            <w:pPr>
              <w:spacing w:after="20"/>
            </w:pPr>
            <w:r>
              <w:rPr>
                <w:sz w:val="16"/>
              </w:rPr>
              <w:t>Contribution healer</w:t>
            </w:r>
          </w:p>
        </w:tc>
        <w:tc>
          <w:tcPr>
            <w:tcW w:type="dxa" w:w="7776"/>
            <w:vAlign w:val="top"/>
          </w:tcPr>
          <w:p>
            <w:pPr>
              <w:spacing w:after="20"/>
            </w:pPr>
            <w:r>
              <w:rPr>
                <w:sz w:val="16"/>
              </w:rPr>
              <w:t>Vérifier la formule de contribution/loot sur boss et activités : dégâts, heal, aggro, groupe, présence.</w:t>
            </w:r>
          </w:p>
        </w:tc>
      </w:tr>
      <w:tr>
        <w:tc>
          <w:tcPr>
            <w:tcW w:type="dxa" w:w="2232"/>
            <w:vAlign w:val="top"/>
          </w:tcPr>
          <w:p>
            <w:pPr>
              <w:spacing w:after="20"/>
            </w:pPr>
            <w:r>
              <w:rPr>
                <w:sz w:val="16"/>
              </w:rPr>
              <w:t>Craft</w:t>
            </w:r>
          </w:p>
        </w:tc>
        <w:tc>
          <w:tcPr>
            <w:tcW w:type="dxa" w:w="7776"/>
            <w:vAlign w:val="top"/>
          </w:tcPr>
          <w:p>
            <w:pPr>
              <w:spacing w:after="20"/>
            </w:pPr>
            <w:r>
              <w:rPr>
                <w:sz w:val="16"/>
              </w:rPr>
              <w:t>Vérifier Season Shop, crafts garantis, taux de proc et transfert disponibles au launch.</w:t>
            </w:r>
          </w:p>
        </w:tc>
      </w:tr>
      <w:tr>
        <w:tc>
          <w:tcPr>
            <w:tcW w:type="dxa" w:w="2232"/>
            <w:vAlign w:val="top"/>
          </w:tcPr>
          <w:p>
            <w:pPr>
              <w:spacing w:after="20"/>
            </w:pPr>
            <w:r>
              <w:rPr>
                <w:sz w:val="16"/>
              </w:rPr>
              <w:t>Party/PvP</w:t>
            </w:r>
          </w:p>
        </w:tc>
        <w:tc>
          <w:tcPr>
            <w:tcW w:type="dxa" w:w="7776"/>
            <w:vAlign w:val="top"/>
          </w:tcPr>
          <w:p>
            <w:pPr>
              <w:spacing w:after="20"/>
            </w:pPr>
            <w:r>
              <w:rPr>
                <w:sz w:val="16"/>
              </w:rPr>
              <w:t>Valider tailles de groupes, contribution et coefficients PvP Global.</w:t>
            </w:r>
          </w:p>
        </w:tc>
      </w:tr>
    </w:tbl>
    <w:p/>
    <w:p>
      <w:pPr>
        <w:pStyle w:val="Heading1"/>
      </w:pPr>
      <w:r>
        <w:t>7. Références principales</w:t>
      </w:r>
    </w:p>
    <w:p>
      <w:r>
        <w:rPr>
          <w:b/>
        </w:rPr>
        <w:t xml:space="preserve">OFF-01 AION2 Global official site: </w:t>
      </w:r>
      <w:hyperlink r:id="rId9">
        <w:r>
          <w:rPr>
            <w:color w:val="0563C1"/>
            <w:u w:val="single"/>
          </w:rPr>
          <w:t>https://aion2.ncsoft.jp/en/contents</w:t>
        </w:r>
      </w:hyperlink>
      <w:r>
        <w:t xml:space="preserve"> — Date de sortie 5 octobre 2026 ; Launch Scale Test ; Founder packs.</w:t>
      </w:r>
    </w:p>
    <w:p>
      <w:r>
        <w:rPr>
          <w:b/>
        </w:rPr>
        <w:t xml:space="preserve">OFF-02 NC Gamescom 2026 press release: </w:t>
      </w:r>
      <w:hyperlink r:id="rId10">
        <w:r>
          <w:rPr>
            <w:color w:val="0563C1"/>
            <w:u w:val="single"/>
          </w:rPr>
          <w:t>https://about.ncsoft.com/news/article/GAMESCOM_update_20260826</w:t>
        </w:r>
      </w:hyperlink>
      <w:r>
        <w:t xml:space="preserve"> — Confirmation officielle de la sortie mondiale le 5 octobre 2026 et test avant lancement.</w:t>
      </w:r>
    </w:p>
    <w:p>
      <w:r>
        <w:rPr>
          <w:b/>
        </w:rPr>
        <w:t xml:space="preserve">OFF-03 NC Japan pre-registration / Global: </w:t>
      </w:r>
      <w:hyperlink r:id="rId11">
        <w:r>
          <w:rPr>
            <w:color w:val="0563C1"/>
            <w:u w:val="single"/>
          </w:rPr>
          <w:t>https://about.ncsoft.com/jp/news/article/aion2_update_260608</w:t>
        </w:r>
      </w:hyperlink>
      <w:r>
        <w:t xml:space="preserve"> — Préinscription, PC Steam/PURPLE, pets de préinscription.</w:t>
      </w:r>
    </w:p>
    <w:p>
      <w:r>
        <w:rPr>
          <w:b/>
        </w:rPr>
        <w:t xml:space="preserve">OFF-04 NC class overhaul — 25 Mar 2026: </w:t>
      </w:r>
      <w:hyperlink r:id="rId12">
        <w:r>
          <w:rPr>
            <w:color w:val="0563C1"/>
            <w:u w:val="single"/>
          </w:rPr>
          <w:t>https://about.ncsoft.com/en/news/article/aion2_update_260325</w:t>
        </w:r>
      </w:hyperlink>
      <w:r>
        <w:t xml:space="preserve"> — Refonte classes, nouvelles Stigmas, séparation coefficients PvP/PvE, Kina liée.</w:t>
      </w:r>
    </w:p>
    <w:p>
      <w:r>
        <w:rPr>
          <w:b/>
        </w:rPr>
        <w:t xml:space="preserve">OFF-05 NC core content / eight classes: </w:t>
      </w:r>
      <w:hyperlink r:id="rId13">
        <w:r>
          <w:rPr>
            <w:color w:val="0563C1"/>
            <w:u w:val="single"/>
          </w:rPr>
          <w:t>https://about.ncsoft.com/en/news/article/aion2-update-250530-2</w:t>
        </w:r>
      </w:hyperlink>
      <w:r>
        <w:t xml:space="preserve"> — Présentation officielle des huit classes de base et des systèmes principaux.</w:t>
      </w:r>
    </w:p>
    <w:p>
      <w:r>
        <w:rPr>
          <w:b/>
        </w:rPr>
        <w:t xml:space="preserve">SEC-01 AION2 Hub 26 août: </w:t>
      </w:r>
      <w:hyperlink r:id="rId14">
        <w:r>
          <w:rPr>
            <w:color w:val="0563C1"/>
            <w:u w:val="single"/>
          </w:rPr>
          <w:t>https://aion2hub.com/updates/aion-2-update-2026-08-26</w:t>
        </w:r>
      </w:hyperlink>
      <w:r>
        <w:t xml:space="preserve"> — Suivi de la volatilité des classes KR.</w:t>
      </w:r>
    </w:p>
    <w:p>
      <w:r>
        <w:rPr>
          <w:b/>
        </w:rPr>
        <w:t xml:space="preserve">SEC-02 AION2 Hub 2 septembre: </w:t>
      </w:r>
      <w:hyperlink r:id="rId15">
        <w:r>
          <w:rPr>
            <w:color w:val="0563C1"/>
            <w:u w:val="single"/>
          </w:rPr>
          <w:t>https://aion2hub.com/updates/aion-2-update-2026-09-02</w:t>
        </w:r>
      </w:hyperlink>
      <w:r>
        <w:t xml:space="preserve"> — Retouches supplémentaires Templar/Chanter et nouveau PvP KR.</w:t>
      </w:r>
    </w:p>
    <w:sectPr w:rsidR="00FC693F" w:rsidRPr="0006063C" w:rsidSect="00034616">
      <w:footerReference w:type="default" r:id="rId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AION 2 — Global Launch — 3 septembre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80" w:after="120"/>
      <w:ind w:left="288" w:right="144"/>
    </w:pPr>
    <w:rPr>
      <w:rFonts w:ascii="Aptos" w:hAnsi="Apto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aion2.ncsoft.jp/en/contents" TargetMode="External"/><Relationship Id="rId10" Type="http://schemas.openxmlformats.org/officeDocument/2006/relationships/hyperlink" Target="https://about.ncsoft.com/news/article/GAMESCOM_update_20260826" TargetMode="External"/><Relationship Id="rId11" Type="http://schemas.openxmlformats.org/officeDocument/2006/relationships/hyperlink" Target="https://about.ncsoft.com/jp/news/article/aion2_update_260608" TargetMode="External"/><Relationship Id="rId12" Type="http://schemas.openxmlformats.org/officeDocument/2006/relationships/hyperlink" Target="https://about.ncsoft.com/en/news/article/aion2_update_260325" TargetMode="External"/><Relationship Id="rId13" Type="http://schemas.openxmlformats.org/officeDocument/2006/relationships/hyperlink" Target="https://about.ncsoft.com/en/news/article/aion2-update-250530-2" TargetMode="External"/><Relationship Id="rId14" Type="http://schemas.openxmlformats.org/officeDocument/2006/relationships/hyperlink" Target="https://aion2hub.com/updates/aion-2-update-2026-08-26" TargetMode="External"/><Relationship Id="rId15" Type="http://schemas.openxmlformats.org/officeDocument/2006/relationships/hyperlink" Target="https://aion2hub.com/updates/aion-2-update-2026-09-02" TargetMode="External"/><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