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AION 2 — Classes, kits &amp; projection PvP Global</w:t>
      </w:r>
    </w:p>
    <w:p>
      <w:pPr>
        <w:jc w:val="left"/>
      </w:pPr>
      <w:r>
        <w:rPr>
          <w:color w:val="5A5A5A"/>
          <w:sz w:val="22"/>
        </w:rPr>
        <w:t>Identités historiques des kits, fiabilité des sources et tier-list de travail</w:t>
      </w:r>
    </w:p>
    <w:p>
      <w:r>
        <w:rPr>
          <w:b/>
          <w:sz w:val="18"/>
        </w:rPr>
        <w:t>État documentaire au 3 septembre 2026</w:t>
      </w:r>
    </w:p>
    <w:p>
      <w:pPr>
        <w:pStyle w:val="Callout"/>
      </w:pPr>
      <w:r>
        <w:t>Ce document distingue explicitement les faits officiels, les observations de builds, les observations KR/TW, les recommandations de créateurs et nos analyses. Les valeurs version-spécifiques ne doivent pas être réutilisées sans vérifier leur applicabilité.</w:t>
      </w:r>
    </w:p>
    <w:p>
      <w:pPr>
        <w:pStyle w:val="Heading1"/>
      </w:pPr>
      <w:r>
        <w:t>1. Avertissement</w:t>
      </w:r>
    </w:p>
    <w:p>
      <w:r>
        <w:t>Les vidéos « TOUS LES SORTS… » viennent de captures KR pré-release/G-Star filmées au téléphone et traduites manuellement. Elles sont utiles pour comprendre l’ADN d’une classe, mais leurs dégâts, cooldowns, perks et parfois leurs enchaînements sont obsolescents. Les patchs KR du 26 août et du 2 septembre montrent que le balance reste très mouvant.</w:t>
      </w:r>
    </w:p>
    <w:p>
      <w:pPr>
        <w:pStyle w:val="Heading1"/>
      </w:pPr>
      <w:r>
        <w:t>2. Identités de classe extraites du corpus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253746"/>
            <w:vAlign w:val="center"/>
          </w:tcPr>
          <w:p>
            <w:r>
              <w:rPr>
                <w:b/>
                <w:color w:val="FFFFFF"/>
                <w:sz w:val="16"/>
              </w:rPr>
              <w:t>Classe</w:t>
            </w:r>
          </w:p>
        </w:tc>
        <w:tc>
          <w:tcPr>
            <w:tcW w:type="dxa" w:w="8136"/>
            <w:shd w:fill="253746"/>
            <w:vAlign w:val="center"/>
          </w:tcPr>
          <w:p>
            <w:r>
              <w:rPr>
                <w:b/>
                <w:color w:val="FFFFFF"/>
                <w:sz w:val="16"/>
              </w:rPr>
              <w:t>Identité de travail</w:t>
            </w:r>
          </w:p>
        </w:tc>
      </w:tr>
      <w:tr>
        <w:tc>
          <w:tcPr>
            <w:tcW w:type="dxa" w:w="1872"/>
            <w:vAlign w:val="top"/>
          </w:tcPr>
          <w:p>
            <w:pPr>
              <w:spacing w:after="20"/>
            </w:pPr>
            <w:r>
              <w:rPr>
                <w:sz w:val="16"/>
              </w:rPr>
              <w:t>Cleric</w:t>
            </w:r>
          </w:p>
        </w:tc>
        <w:tc>
          <w:tcPr>
            <w:tcW w:type="dxa" w:w="8136"/>
            <w:vAlign w:val="top"/>
          </w:tcPr>
          <w:p>
            <w:pPr>
              <w:spacing w:after="20"/>
            </w:pPr>
            <w:r>
              <w:rPr>
                <w:sz w:val="16"/>
              </w:rPr>
              <w:t>Heal de groupe, HoT, dispel, rez, protection/invulnérabilité, buffs, DoTs Earth/Wind, debuffs de résistances, DPS conditionné par DoTs.</w:t>
            </w:r>
          </w:p>
        </w:tc>
      </w:tr>
      <w:tr>
        <w:tc>
          <w:tcPr>
            <w:tcW w:type="dxa" w:w="1872"/>
            <w:vAlign w:val="top"/>
          </w:tcPr>
          <w:p>
            <w:pPr>
              <w:spacing w:after="20"/>
            </w:pPr>
            <w:r>
              <w:rPr>
                <w:sz w:val="16"/>
              </w:rPr>
              <w:t>Assassin</w:t>
            </w:r>
          </w:p>
        </w:tc>
        <w:tc>
          <w:tcPr>
            <w:tcW w:type="dxa" w:w="8136"/>
            <w:vAlign w:val="top"/>
          </w:tcPr>
          <w:p>
            <w:pPr>
              <w:spacing w:after="20"/>
            </w:pPr>
            <w:r>
              <w:rPr>
                <w:sz w:val="16"/>
              </w:rPr>
              <w:t>Marks → back attacks → crit → déclencheurs conditionnels → CC → Pattern Explosion → manipulation de cooldowns.</w:t>
            </w:r>
          </w:p>
        </w:tc>
      </w:tr>
      <w:tr>
        <w:tc>
          <w:tcPr>
            <w:tcW w:type="dxa" w:w="1872"/>
            <w:vAlign w:val="top"/>
          </w:tcPr>
          <w:p>
            <w:pPr>
              <w:spacing w:after="20"/>
            </w:pPr>
            <w:r>
              <w:rPr>
                <w:sz w:val="16"/>
              </w:rPr>
              <w:t>Sorcerer</w:t>
            </w:r>
          </w:p>
        </w:tc>
        <w:tc>
          <w:tcPr>
            <w:tcW w:type="dxa" w:w="8136"/>
            <w:vAlign w:val="top"/>
          </w:tcPr>
          <w:p>
            <w:pPr>
              <w:spacing w:after="20"/>
            </w:pPr>
            <w:r>
              <w:rPr>
                <w:sz w:val="16"/>
              </w:rPr>
              <w:t>Fire Mark + eau/glace + freeze → exploitation d’états → burst conditionnel + contrôle.</w:t>
            </w:r>
          </w:p>
        </w:tc>
      </w:tr>
      <w:tr>
        <w:tc>
          <w:tcPr>
            <w:tcW w:type="dxa" w:w="1872"/>
            <w:vAlign w:val="top"/>
          </w:tcPr>
          <w:p>
            <w:pPr>
              <w:spacing w:after="20"/>
            </w:pPr>
            <w:r>
              <w:rPr>
                <w:sz w:val="16"/>
              </w:rPr>
              <w:t>Templar</w:t>
            </w:r>
          </w:p>
        </w:tc>
        <w:tc>
          <w:tcPr>
            <w:tcW w:type="dxa" w:w="8136"/>
            <w:vAlign w:val="top"/>
          </w:tcPr>
          <w:p>
            <w:pPr>
              <w:spacing w:after="20"/>
            </w:pPr>
            <w:r>
              <w:rPr>
                <w:sz w:val="16"/>
              </w:rPr>
              <w:t>Block → reactive skills → stun/weakness → Judgment/Punishment → threat + mitigation.</w:t>
            </w:r>
          </w:p>
        </w:tc>
      </w:tr>
      <w:tr>
        <w:tc>
          <w:tcPr>
            <w:tcW w:type="dxa" w:w="1872"/>
            <w:vAlign w:val="top"/>
          </w:tcPr>
          <w:p>
            <w:pPr>
              <w:spacing w:after="20"/>
            </w:pPr>
            <w:r>
              <w:rPr>
                <w:sz w:val="16"/>
              </w:rPr>
              <w:t>Chanter</w:t>
            </w:r>
          </w:p>
        </w:tc>
        <w:tc>
          <w:tcPr>
            <w:tcW w:type="dxa" w:w="8136"/>
            <w:vAlign w:val="top"/>
          </w:tcPr>
          <w:p>
            <w:pPr>
              <w:spacing w:after="20"/>
            </w:pPr>
            <w:r>
              <w:rPr>
                <w:sz w:val="16"/>
              </w:rPr>
              <w:t>Attaque/support → block → mantras/buffs → heal → offensive support → party amplification.</w:t>
            </w:r>
          </w:p>
        </w:tc>
      </w:tr>
      <w:tr>
        <w:tc>
          <w:tcPr>
            <w:tcW w:type="dxa" w:w="1872"/>
            <w:vAlign w:val="top"/>
          </w:tcPr>
          <w:p>
            <w:pPr>
              <w:spacing w:after="20"/>
            </w:pPr>
            <w:r>
              <w:rPr>
                <w:sz w:val="16"/>
              </w:rPr>
              <w:t>Gladiator</w:t>
            </w:r>
          </w:p>
        </w:tc>
        <w:tc>
          <w:tcPr>
            <w:tcW w:type="dxa" w:w="8136"/>
            <w:vAlign w:val="top"/>
          </w:tcPr>
          <w:p>
            <w:pPr>
              <w:spacing w:after="20"/>
            </w:pPr>
            <w:r>
              <w:rPr>
                <w:sz w:val="16"/>
              </w:rPr>
              <w:t>Bruiser → contrôle → block/counter → gros hits conditionnels → sustain/lifesteal → exploitation des cibles contrôlées.</w:t>
            </w:r>
          </w:p>
        </w:tc>
      </w:tr>
      <w:tr>
        <w:tc>
          <w:tcPr>
            <w:tcW w:type="dxa" w:w="1872"/>
            <w:vAlign w:val="top"/>
          </w:tcPr>
          <w:p>
            <w:pPr>
              <w:spacing w:after="20"/>
            </w:pPr>
            <w:r>
              <w:rPr>
                <w:sz w:val="16"/>
              </w:rPr>
              <w:t>Ranger</w:t>
            </w:r>
          </w:p>
        </w:tc>
        <w:tc>
          <w:tcPr>
            <w:tcW w:type="dxa" w:w="8136"/>
            <w:vAlign w:val="top"/>
          </w:tcPr>
          <w:p>
            <w:pPr>
              <w:spacing w:after="20"/>
            </w:pPr>
            <w:r>
              <w:rPr>
                <w:sz w:val="16"/>
              </w:rPr>
              <w:t>Ranged marks, tirs chargés, traps, CC, burst conditionnel.</w:t>
            </w:r>
          </w:p>
        </w:tc>
      </w:tr>
      <w:tr>
        <w:tc>
          <w:tcPr>
            <w:tcW w:type="dxa" w:w="1872"/>
            <w:vAlign w:val="top"/>
          </w:tcPr>
          <w:p>
            <w:pPr>
              <w:spacing w:after="20"/>
            </w:pPr>
            <w:r>
              <w:rPr>
                <w:sz w:val="16"/>
              </w:rPr>
              <w:t>Spiritmaster</w:t>
            </w:r>
          </w:p>
        </w:tc>
        <w:tc>
          <w:tcPr>
            <w:tcW w:type="dxa" w:w="8136"/>
            <w:vAlign w:val="top"/>
          </w:tcPr>
          <w:p>
            <w:pPr>
              <w:spacing w:after="20"/>
            </w:pPr>
            <w:r>
              <w:rPr>
                <w:sz w:val="16"/>
              </w:rPr>
              <w:t>Classe officielle de lancement, mais transcript complet non encore fourni dans le corpus.</w:t>
            </w:r>
          </w:p>
        </w:tc>
      </w:tr>
    </w:tbl>
    <w:p/>
    <w:p>
      <w:pPr>
        <w:pStyle w:val="Heading1"/>
      </w:pPr>
      <w:r>
        <w:t>3. Projection PvP Global — état de travail</w:t>
      </w:r>
    </w:p>
    <w:p>
      <w:r>
        <w:t>Cette tier-list est une projection de lancement, pas une vérité Global mesurée. Elle combine identité de classe, KR/TW récent et build Global connu. Elle devra être remplacée par des observations du Launch Scale Test.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656"/>
            <w:shd w:fill="253746"/>
            <w:vAlign w:val="center"/>
          </w:tcPr>
          <w:p>
            <w:r>
              <w:rPr>
                <w:b/>
                <w:color w:val="FFFFFF"/>
                <w:sz w:val="15"/>
              </w:rPr>
              <w:t>Classe</w:t>
            </w:r>
          </w:p>
        </w:tc>
        <w:tc>
          <w:tcPr>
            <w:tcW w:type="dxa" w:w="1152"/>
            <w:shd w:fill="253746"/>
            <w:vAlign w:val="center"/>
          </w:tcPr>
          <w:p>
            <w:r>
              <w:rPr>
                <w:b/>
                <w:color w:val="FFFFFF"/>
                <w:sz w:val="15"/>
              </w:rPr>
              <w:t>Solo/1v1</w:t>
            </w:r>
          </w:p>
        </w:tc>
        <w:tc>
          <w:tcPr>
            <w:tcW w:type="dxa" w:w="1152"/>
            <w:shd w:fill="253746"/>
            <w:vAlign w:val="center"/>
          </w:tcPr>
          <w:p>
            <w:r>
              <w:rPr>
                <w:b/>
                <w:color w:val="FFFFFF"/>
                <w:sz w:val="15"/>
              </w:rPr>
              <w:t>Small</w:t>
            </w:r>
          </w:p>
        </w:tc>
        <w:tc>
          <w:tcPr>
            <w:tcW w:type="dxa" w:w="1440"/>
            <w:shd w:fill="253746"/>
            <w:vAlign w:val="center"/>
          </w:tcPr>
          <w:p>
            <w:r>
              <w:rPr>
                <w:b/>
                <w:color w:val="FFFFFF"/>
                <w:sz w:val="15"/>
              </w:rPr>
              <w:t>Mass/Abyss</w:t>
            </w:r>
          </w:p>
        </w:tc>
        <w:tc>
          <w:tcPr>
            <w:tcW w:type="dxa" w:w="4608"/>
            <w:shd w:fill="253746"/>
            <w:vAlign w:val="center"/>
          </w:tcPr>
          <w:p>
            <w:r>
              <w:rPr>
                <w:b/>
                <w:color w:val="FFFFFF"/>
                <w:sz w:val="15"/>
              </w:rPr>
              <w:t>Lecture</w:t>
            </w:r>
          </w:p>
        </w:tc>
      </w:tr>
      <w:tr>
        <w:tc>
          <w:tcPr>
            <w:tcW w:type="dxa" w:w="1656"/>
            <w:vAlign w:val="top"/>
          </w:tcPr>
          <w:p>
            <w:pPr>
              <w:spacing w:after="20"/>
            </w:pPr>
            <w:r>
              <w:rPr>
                <w:sz w:val="15"/>
              </w:rPr>
              <w:t>Assassin</w:t>
            </w:r>
          </w:p>
        </w:tc>
        <w:tc>
          <w:tcPr>
            <w:tcW w:type="dxa" w:w="1152"/>
            <w:vAlign w:val="top"/>
          </w:tcPr>
          <w:p>
            <w:pPr>
              <w:spacing w:after="20"/>
            </w:pPr>
            <w:r>
              <w:rPr>
                <w:sz w:val="15"/>
              </w:rPr>
              <w:t>S</w:t>
            </w:r>
          </w:p>
        </w:tc>
        <w:tc>
          <w:tcPr>
            <w:tcW w:type="dxa" w:w="1152"/>
            <w:vAlign w:val="top"/>
          </w:tcPr>
          <w:p>
            <w:pPr>
              <w:spacing w:after="20"/>
            </w:pPr>
            <w:r>
              <w:rPr>
                <w:sz w:val="15"/>
              </w:rPr>
              <w:t>A+</w:t>
            </w:r>
          </w:p>
        </w:tc>
        <w:tc>
          <w:tcPr>
            <w:tcW w:type="dxa" w:w="1440"/>
            <w:vAlign w:val="top"/>
          </w:tcPr>
          <w:p>
            <w:pPr>
              <w:spacing w:after="20"/>
            </w:pPr>
            <w:r>
              <w:rPr>
                <w:sz w:val="15"/>
              </w:rPr>
              <w:t>B+</w:t>
            </w:r>
          </w:p>
        </w:tc>
        <w:tc>
          <w:tcPr>
            <w:tcW w:type="dxa" w:w="4608"/>
            <w:vAlign w:val="top"/>
          </w:tcPr>
          <w:p>
            <w:pPr>
              <w:spacing w:after="20"/>
            </w:pPr>
            <w:r>
              <w:rPr>
                <w:sz w:val="15"/>
              </w:rPr>
              <w:t>Très fort en pick/duel ; valeur relative baisse en masse.</w:t>
            </w:r>
          </w:p>
        </w:tc>
      </w:tr>
      <w:tr>
        <w:tc>
          <w:tcPr>
            <w:tcW w:type="dxa" w:w="1656"/>
            <w:vAlign w:val="top"/>
          </w:tcPr>
          <w:p>
            <w:pPr>
              <w:spacing w:after="20"/>
            </w:pPr>
            <w:r>
              <w:rPr>
                <w:sz w:val="15"/>
              </w:rPr>
              <w:t>Gladiator</w:t>
            </w:r>
          </w:p>
        </w:tc>
        <w:tc>
          <w:tcPr>
            <w:tcW w:type="dxa" w:w="1152"/>
            <w:vAlign w:val="top"/>
          </w:tcPr>
          <w:p>
            <w:pPr>
              <w:spacing w:after="20"/>
            </w:pPr>
            <w:r>
              <w:rPr>
                <w:sz w:val="15"/>
              </w:rPr>
              <w:t>S</w:t>
            </w:r>
          </w:p>
        </w:tc>
        <w:tc>
          <w:tcPr>
            <w:tcW w:type="dxa" w:w="1152"/>
            <w:vAlign w:val="top"/>
          </w:tcPr>
          <w:p>
            <w:pPr>
              <w:spacing w:after="20"/>
            </w:pPr>
            <w:r>
              <w:rPr>
                <w:sz w:val="15"/>
              </w:rPr>
              <w:t>A+</w:t>
            </w:r>
          </w:p>
        </w:tc>
        <w:tc>
          <w:tcPr>
            <w:tcW w:type="dxa" w:w="1440"/>
            <w:vAlign w:val="top"/>
          </w:tcPr>
          <w:p>
            <w:pPr>
              <w:spacing w:after="20"/>
            </w:pPr>
            <w:r>
              <w:rPr>
                <w:sz w:val="15"/>
              </w:rPr>
              <w:t>A</w:t>
            </w:r>
          </w:p>
        </w:tc>
        <w:tc>
          <w:tcPr>
            <w:tcW w:type="dxa" w:w="4608"/>
            <w:vAlign w:val="top"/>
          </w:tcPr>
          <w:p>
            <w:pPr>
              <w:spacing w:after="20"/>
            </w:pPr>
            <w:r>
              <w:rPr>
                <w:sz w:val="15"/>
              </w:rPr>
              <w:t>Bruiser très fort individuellement, contrôle et sustain.</w:t>
            </w:r>
          </w:p>
        </w:tc>
      </w:tr>
      <w:tr>
        <w:tc>
          <w:tcPr>
            <w:tcW w:type="dxa" w:w="1656"/>
            <w:vAlign w:val="top"/>
          </w:tcPr>
          <w:p>
            <w:pPr>
              <w:spacing w:after="20"/>
            </w:pPr>
            <w:r>
              <w:rPr>
                <w:sz w:val="15"/>
              </w:rPr>
              <w:t>Cleric</w:t>
            </w:r>
          </w:p>
        </w:tc>
        <w:tc>
          <w:tcPr>
            <w:tcW w:type="dxa" w:w="1152"/>
            <w:vAlign w:val="top"/>
          </w:tcPr>
          <w:p>
            <w:pPr>
              <w:spacing w:after="20"/>
            </w:pPr>
            <w:r>
              <w:rPr>
                <w:sz w:val="15"/>
              </w:rPr>
              <w:t>B</w:t>
            </w:r>
          </w:p>
        </w:tc>
        <w:tc>
          <w:tcPr>
            <w:tcW w:type="dxa" w:w="1152"/>
            <w:vAlign w:val="top"/>
          </w:tcPr>
          <w:p>
            <w:pPr>
              <w:spacing w:after="20"/>
            </w:pPr>
            <w:r>
              <w:rPr>
                <w:sz w:val="15"/>
              </w:rPr>
              <w:t>S</w:t>
            </w:r>
          </w:p>
        </w:tc>
        <w:tc>
          <w:tcPr>
            <w:tcW w:type="dxa" w:w="1440"/>
            <w:vAlign w:val="top"/>
          </w:tcPr>
          <w:p>
            <w:pPr>
              <w:spacing w:after="20"/>
            </w:pPr>
            <w:r>
              <w:rPr>
                <w:sz w:val="15"/>
              </w:rPr>
              <w:t>S</w:t>
            </w:r>
          </w:p>
        </w:tc>
        <w:tc>
          <w:tcPr>
            <w:tcW w:type="dxa" w:w="4608"/>
            <w:vAlign w:val="top"/>
          </w:tcPr>
          <w:p>
            <w:pPr>
              <w:spacing w:after="20"/>
            </w:pPr>
            <w:r>
              <w:rPr>
                <w:sz w:val="15"/>
              </w:rPr>
              <w:t>Valeur explose en groupe : heal/dispel/protection/rez/uptime.</w:t>
            </w:r>
          </w:p>
        </w:tc>
      </w:tr>
      <w:tr>
        <w:tc>
          <w:tcPr>
            <w:tcW w:type="dxa" w:w="1656"/>
            <w:vAlign w:val="top"/>
          </w:tcPr>
          <w:p>
            <w:pPr>
              <w:spacing w:after="20"/>
            </w:pPr>
            <w:r>
              <w:rPr>
                <w:sz w:val="15"/>
              </w:rPr>
              <w:t>Templar</w:t>
            </w:r>
          </w:p>
        </w:tc>
        <w:tc>
          <w:tcPr>
            <w:tcW w:type="dxa" w:w="1152"/>
            <w:vAlign w:val="top"/>
          </w:tcPr>
          <w:p>
            <w:pPr>
              <w:spacing w:after="20"/>
            </w:pPr>
            <w:r>
              <w:rPr>
                <w:sz w:val="15"/>
              </w:rPr>
              <w:t>B+</w:t>
            </w:r>
          </w:p>
        </w:tc>
        <w:tc>
          <w:tcPr>
            <w:tcW w:type="dxa" w:w="1152"/>
            <w:vAlign w:val="top"/>
          </w:tcPr>
          <w:p>
            <w:pPr>
              <w:spacing w:after="20"/>
            </w:pPr>
            <w:r>
              <w:rPr>
                <w:sz w:val="15"/>
              </w:rPr>
              <w:t>A+</w:t>
            </w:r>
          </w:p>
        </w:tc>
        <w:tc>
          <w:tcPr>
            <w:tcW w:type="dxa" w:w="1440"/>
            <w:vAlign w:val="top"/>
          </w:tcPr>
          <w:p>
            <w:pPr>
              <w:spacing w:after="20"/>
            </w:pPr>
            <w:r>
              <w:rPr>
                <w:sz w:val="15"/>
              </w:rPr>
              <w:t>S</w:t>
            </w:r>
          </w:p>
        </w:tc>
        <w:tc>
          <w:tcPr>
            <w:tcW w:type="dxa" w:w="4608"/>
            <w:vAlign w:val="top"/>
          </w:tcPr>
          <w:p>
            <w:pPr>
              <w:spacing w:after="20"/>
            </w:pPr>
            <w:r>
              <w:rPr>
                <w:sz w:val="15"/>
              </w:rPr>
              <w:t>Protection, contrôle, frontline et valeur organisée.</w:t>
            </w:r>
          </w:p>
        </w:tc>
      </w:tr>
      <w:tr>
        <w:tc>
          <w:tcPr>
            <w:tcW w:type="dxa" w:w="1656"/>
            <w:vAlign w:val="top"/>
          </w:tcPr>
          <w:p>
            <w:pPr>
              <w:spacing w:after="20"/>
            </w:pPr>
            <w:r>
              <w:rPr>
                <w:sz w:val="15"/>
              </w:rPr>
              <w:t>Sorcerer</w:t>
            </w:r>
          </w:p>
        </w:tc>
        <w:tc>
          <w:tcPr>
            <w:tcW w:type="dxa" w:w="1152"/>
            <w:vAlign w:val="top"/>
          </w:tcPr>
          <w:p>
            <w:pPr>
              <w:spacing w:after="20"/>
            </w:pPr>
            <w:r>
              <w:rPr>
                <w:sz w:val="15"/>
              </w:rPr>
              <w:t>A</w:t>
            </w:r>
          </w:p>
        </w:tc>
        <w:tc>
          <w:tcPr>
            <w:tcW w:type="dxa" w:w="1152"/>
            <w:vAlign w:val="top"/>
          </w:tcPr>
          <w:p>
            <w:pPr>
              <w:spacing w:after="20"/>
            </w:pPr>
            <w:r>
              <w:rPr>
                <w:sz w:val="15"/>
              </w:rPr>
              <w:t>A</w:t>
            </w:r>
          </w:p>
        </w:tc>
        <w:tc>
          <w:tcPr>
            <w:tcW w:type="dxa" w:w="1440"/>
            <w:vAlign w:val="top"/>
          </w:tcPr>
          <w:p>
            <w:pPr>
              <w:spacing w:after="20"/>
            </w:pPr>
            <w:r>
              <w:rPr>
                <w:sz w:val="15"/>
              </w:rPr>
              <w:t>A+</w:t>
            </w:r>
          </w:p>
        </w:tc>
        <w:tc>
          <w:tcPr>
            <w:tcW w:type="dxa" w:w="4608"/>
            <w:vAlign w:val="top"/>
          </w:tcPr>
          <w:p>
            <w:pPr>
              <w:spacing w:after="20"/>
            </w:pPr>
            <w:r>
              <w:rPr>
                <w:sz w:val="15"/>
              </w:rPr>
              <w:t>Contrôle de zone/burst à distance ; dépend du positionnement.</w:t>
            </w:r>
          </w:p>
        </w:tc>
      </w:tr>
      <w:tr>
        <w:tc>
          <w:tcPr>
            <w:tcW w:type="dxa" w:w="1656"/>
            <w:vAlign w:val="top"/>
          </w:tcPr>
          <w:p>
            <w:pPr>
              <w:spacing w:after="20"/>
            </w:pPr>
            <w:r>
              <w:rPr>
                <w:sz w:val="15"/>
              </w:rPr>
              <w:t>Ranger</w:t>
            </w:r>
          </w:p>
        </w:tc>
        <w:tc>
          <w:tcPr>
            <w:tcW w:type="dxa" w:w="1152"/>
            <w:vAlign w:val="top"/>
          </w:tcPr>
          <w:p>
            <w:pPr>
              <w:spacing w:after="20"/>
            </w:pPr>
            <w:r>
              <w:rPr>
                <w:sz w:val="15"/>
              </w:rPr>
              <w:t>A+</w:t>
            </w:r>
          </w:p>
        </w:tc>
        <w:tc>
          <w:tcPr>
            <w:tcW w:type="dxa" w:w="1152"/>
            <w:vAlign w:val="top"/>
          </w:tcPr>
          <w:p>
            <w:pPr>
              <w:spacing w:after="20"/>
            </w:pPr>
            <w:r>
              <w:rPr>
                <w:sz w:val="15"/>
              </w:rPr>
              <w:t>A</w:t>
            </w:r>
          </w:p>
        </w:tc>
        <w:tc>
          <w:tcPr>
            <w:tcW w:type="dxa" w:w="1440"/>
            <w:vAlign w:val="top"/>
          </w:tcPr>
          <w:p>
            <w:pPr>
              <w:spacing w:after="20"/>
            </w:pPr>
            <w:r>
              <w:rPr>
                <w:sz w:val="15"/>
              </w:rPr>
              <w:t>A+</w:t>
            </w:r>
          </w:p>
        </w:tc>
        <w:tc>
          <w:tcPr>
            <w:tcW w:type="dxa" w:w="4608"/>
            <w:vAlign w:val="top"/>
          </w:tcPr>
          <w:p>
            <w:pPr>
              <w:spacing w:after="20"/>
            </w:pPr>
            <w:r>
              <w:rPr>
                <w:sz w:val="15"/>
              </w:rPr>
              <w:t>Range, kiting, contrôle et pression.</w:t>
            </w:r>
          </w:p>
        </w:tc>
      </w:tr>
      <w:tr>
        <w:tc>
          <w:tcPr>
            <w:tcW w:type="dxa" w:w="1656"/>
            <w:vAlign w:val="top"/>
          </w:tcPr>
          <w:p>
            <w:pPr>
              <w:spacing w:after="20"/>
            </w:pPr>
            <w:r>
              <w:rPr>
                <w:sz w:val="15"/>
              </w:rPr>
              <w:t>Chanter</w:t>
            </w:r>
          </w:p>
        </w:tc>
        <w:tc>
          <w:tcPr>
            <w:tcW w:type="dxa" w:w="1152"/>
            <w:vAlign w:val="top"/>
          </w:tcPr>
          <w:p>
            <w:pPr>
              <w:spacing w:after="20"/>
            </w:pPr>
            <w:r>
              <w:rPr>
                <w:sz w:val="15"/>
              </w:rPr>
              <w:t>B-/B</w:t>
            </w:r>
          </w:p>
        </w:tc>
        <w:tc>
          <w:tcPr>
            <w:tcW w:type="dxa" w:w="1152"/>
            <w:vAlign w:val="top"/>
          </w:tcPr>
          <w:p>
            <w:pPr>
              <w:spacing w:after="20"/>
            </w:pPr>
            <w:r>
              <w:rPr>
                <w:sz w:val="15"/>
              </w:rPr>
              <w:t>A+</w:t>
            </w:r>
          </w:p>
        </w:tc>
        <w:tc>
          <w:tcPr>
            <w:tcW w:type="dxa" w:w="1440"/>
            <w:vAlign w:val="top"/>
          </w:tcPr>
          <w:p>
            <w:pPr>
              <w:spacing w:after="20"/>
            </w:pPr>
            <w:r>
              <w:rPr>
                <w:sz w:val="15"/>
              </w:rPr>
              <w:t>A</w:t>
            </w:r>
          </w:p>
        </w:tc>
        <w:tc>
          <w:tcPr>
            <w:tcW w:type="dxa" w:w="4608"/>
            <w:vAlign w:val="top"/>
          </w:tcPr>
          <w:p>
            <w:pPr>
              <w:spacing w:after="20"/>
            </w:pPr>
            <w:r>
              <w:rPr>
                <w:sz w:val="15"/>
              </w:rPr>
              <w:t>Support offensif/utility ; kit en forte évolution.</w:t>
            </w:r>
          </w:p>
        </w:tc>
      </w:tr>
      <w:tr>
        <w:tc>
          <w:tcPr>
            <w:tcW w:type="dxa" w:w="1656"/>
            <w:vAlign w:val="top"/>
          </w:tcPr>
          <w:p>
            <w:pPr>
              <w:spacing w:after="20"/>
            </w:pPr>
            <w:r>
              <w:rPr>
                <w:sz w:val="15"/>
              </w:rPr>
              <w:t>Spiritmaster</w:t>
            </w:r>
          </w:p>
        </w:tc>
        <w:tc>
          <w:tcPr>
            <w:tcW w:type="dxa" w:w="1152"/>
            <w:vAlign w:val="top"/>
          </w:tcPr>
          <w:p>
            <w:pPr>
              <w:spacing w:after="20"/>
            </w:pPr>
            <w:r>
              <w:rPr>
                <w:sz w:val="15"/>
              </w:rPr>
              <w:t>B+</w:t>
            </w:r>
          </w:p>
        </w:tc>
        <w:tc>
          <w:tcPr>
            <w:tcW w:type="dxa" w:w="1152"/>
            <w:vAlign w:val="top"/>
          </w:tcPr>
          <w:p>
            <w:pPr>
              <w:spacing w:after="20"/>
            </w:pPr>
            <w:r>
              <w:rPr>
                <w:sz w:val="15"/>
              </w:rPr>
              <w:t>B+/A</w:t>
            </w:r>
          </w:p>
        </w:tc>
        <w:tc>
          <w:tcPr>
            <w:tcW w:type="dxa" w:w="1440"/>
            <w:vAlign w:val="top"/>
          </w:tcPr>
          <w:p>
            <w:pPr>
              <w:spacing w:after="20"/>
            </w:pPr>
            <w:r>
              <w:rPr>
                <w:sz w:val="15"/>
              </w:rPr>
              <w:t>A</w:t>
            </w:r>
          </w:p>
        </w:tc>
        <w:tc>
          <w:tcPr>
            <w:tcW w:type="dxa" w:w="4608"/>
            <w:vAlign w:val="top"/>
          </w:tcPr>
          <w:p>
            <w:pPr>
              <w:spacing w:after="20"/>
            </w:pPr>
            <w:r>
              <w:rPr>
                <w:sz w:val="15"/>
              </w:rPr>
              <w:t>Projection moins fiable faute de transcript complet et avec balance mouvant.</w:t>
            </w:r>
          </w:p>
        </w:tc>
      </w:tr>
    </w:tbl>
    <w:p/>
    <w:p>
      <w:pPr>
        <w:pStyle w:val="Heading1"/>
      </w:pPr>
      <w:r>
        <w:t>4. Sens des notes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253746"/>
            <w:vAlign w:val="center"/>
          </w:tcPr>
          <w:p>
            <w:r>
              <w:rPr>
                <w:b/>
                <w:color w:val="FFFFFF"/>
                <w:sz w:val="16"/>
              </w:rPr>
              <w:t>Tier</w:t>
            </w:r>
          </w:p>
        </w:tc>
        <w:tc>
          <w:tcPr>
            <w:tcW w:type="dxa" w:w="8352"/>
            <w:shd w:fill="253746"/>
            <w:vAlign w:val="center"/>
          </w:tcPr>
          <w:p>
            <w:r>
              <w:rPr>
                <w:b/>
                <w:color w:val="FFFFFF"/>
                <w:sz w:val="16"/>
              </w:rPr>
              <w:t>Sens</w:t>
            </w:r>
          </w:p>
        </w:tc>
      </w:tr>
      <w:tr>
        <w:tc>
          <w:tcPr>
            <w:tcW w:type="dxa" w:w="1440"/>
            <w:vAlign w:val="top"/>
          </w:tcPr>
          <w:p>
            <w:pPr>
              <w:spacing w:after="20"/>
            </w:pPr>
            <w:r>
              <w:rPr>
                <w:sz w:val="16"/>
              </w:rPr>
              <w:t>S+</w:t>
            </w:r>
          </w:p>
        </w:tc>
        <w:tc>
          <w:tcPr>
            <w:tcW w:type="dxa" w:w="8352"/>
            <w:vAlign w:val="top"/>
          </w:tcPr>
          <w:p>
            <w:pPr>
              <w:spacing w:after="20"/>
            </w:pPr>
            <w:r>
              <w:rPr>
                <w:sz w:val="16"/>
              </w:rPr>
              <w:t>Dominant / méta, excellent presque partout. Aucun pick ne mérite ce statut avec confiance pour l’instant.</w:t>
            </w:r>
          </w:p>
        </w:tc>
      </w:tr>
      <w:tr>
        <w:tc>
          <w:tcPr>
            <w:tcW w:type="dxa" w:w="1440"/>
            <w:vAlign w:val="top"/>
          </w:tcPr>
          <w:p>
            <w:pPr>
              <w:spacing w:after="20"/>
            </w:pPr>
            <w:r>
              <w:rPr>
                <w:sz w:val="16"/>
              </w:rPr>
              <w:t>S</w:t>
            </w:r>
          </w:p>
        </w:tc>
        <w:tc>
          <w:tcPr>
            <w:tcW w:type="dxa" w:w="8352"/>
            <w:vAlign w:val="top"/>
          </w:tcPr>
          <w:p>
            <w:pPr>
              <w:spacing w:after="20"/>
            </w:pPr>
            <w:r>
              <w:rPr>
                <w:sz w:val="16"/>
              </w:rPr>
              <w:t>Excellent dans le contexte ; très forte valeur PvP.</w:t>
            </w:r>
          </w:p>
        </w:tc>
      </w:tr>
      <w:tr>
        <w:tc>
          <w:tcPr>
            <w:tcW w:type="dxa" w:w="1440"/>
            <w:vAlign w:val="top"/>
          </w:tcPr>
          <w:p>
            <w:pPr>
              <w:spacing w:after="20"/>
            </w:pPr>
            <w:r>
              <w:rPr>
                <w:sz w:val="16"/>
              </w:rPr>
              <w:t>A+</w:t>
            </w:r>
          </w:p>
        </w:tc>
        <w:tc>
          <w:tcPr>
            <w:tcW w:type="dxa" w:w="8352"/>
            <w:vAlign w:val="top"/>
          </w:tcPr>
          <w:p>
            <w:pPr>
              <w:spacing w:after="20"/>
            </w:pPr>
            <w:r>
              <w:rPr>
                <w:sz w:val="16"/>
              </w:rPr>
              <w:t>Très fort, juste sous le top méta.</w:t>
            </w:r>
          </w:p>
        </w:tc>
      </w:tr>
      <w:tr>
        <w:tc>
          <w:tcPr>
            <w:tcW w:type="dxa" w:w="1440"/>
            <w:vAlign w:val="top"/>
          </w:tcPr>
          <w:p>
            <w:pPr>
              <w:spacing w:after="20"/>
            </w:pPr>
            <w:r>
              <w:rPr>
                <w:sz w:val="16"/>
              </w:rPr>
              <w:t>A</w:t>
            </w:r>
          </w:p>
        </w:tc>
        <w:tc>
          <w:tcPr>
            <w:tcW w:type="dxa" w:w="8352"/>
            <w:vAlign w:val="top"/>
          </w:tcPr>
          <w:p>
            <w:pPr>
              <w:spacing w:after="20"/>
            </w:pPr>
            <w:r>
              <w:rPr>
                <w:sz w:val="16"/>
              </w:rPr>
              <w:t>Bon à très bon, compétitif avec limites identifiables.</w:t>
            </w:r>
          </w:p>
        </w:tc>
      </w:tr>
      <w:tr>
        <w:tc>
          <w:tcPr>
            <w:tcW w:type="dxa" w:w="1440"/>
            <w:vAlign w:val="top"/>
          </w:tcPr>
          <w:p>
            <w:pPr>
              <w:spacing w:after="20"/>
            </w:pPr>
            <w:r>
              <w:rPr>
                <w:sz w:val="16"/>
              </w:rPr>
              <w:t>B+</w:t>
            </w:r>
          </w:p>
        </w:tc>
        <w:tc>
          <w:tcPr>
            <w:tcW w:type="dxa" w:w="8352"/>
            <w:vAlign w:val="top"/>
          </w:tcPr>
          <w:p>
            <w:pPr>
              <w:spacing w:after="20"/>
            </w:pPr>
            <w:r>
              <w:rPr>
                <w:sz w:val="16"/>
              </w:rPr>
              <w:t>Correct à bon, davantage dépendant du contexte/matchup.</w:t>
            </w:r>
          </w:p>
        </w:tc>
      </w:tr>
      <w:tr>
        <w:tc>
          <w:tcPr>
            <w:tcW w:type="dxa" w:w="1440"/>
            <w:vAlign w:val="top"/>
          </w:tcPr>
          <w:p>
            <w:pPr>
              <w:spacing w:after="20"/>
            </w:pPr>
            <w:r>
              <w:rPr>
                <w:sz w:val="16"/>
              </w:rPr>
              <w:t>B</w:t>
            </w:r>
          </w:p>
        </w:tc>
        <w:tc>
          <w:tcPr>
            <w:tcW w:type="dxa" w:w="8352"/>
            <w:vAlign w:val="top"/>
          </w:tcPr>
          <w:p>
            <w:pPr>
              <w:spacing w:after="20"/>
            </w:pPr>
            <w:r>
              <w:rPr>
                <w:sz w:val="16"/>
              </w:rPr>
              <w:t>Moyen/viable, moins universel.</w:t>
            </w:r>
          </w:p>
        </w:tc>
      </w:tr>
      <w:tr>
        <w:tc>
          <w:tcPr>
            <w:tcW w:type="dxa" w:w="1440"/>
            <w:vAlign w:val="top"/>
          </w:tcPr>
          <w:p>
            <w:pPr>
              <w:spacing w:after="20"/>
            </w:pPr>
            <w:r>
              <w:rPr>
                <w:sz w:val="16"/>
              </w:rPr>
              <w:t>C</w:t>
            </w:r>
          </w:p>
        </w:tc>
        <w:tc>
          <w:tcPr>
            <w:tcW w:type="dxa" w:w="8352"/>
            <w:vAlign w:val="top"/>
          </w:tcPr>
          <w:p>
            <w:pPr>
              <w:spacing w:after="20"/>
            </w:pPr>
            <w:r>
              <w:rPr>
                <w:sz w:val="16"/>
              </w:rPr>
              <w:t>Faible dans la méta ou trop situationnel.</w:t>
            </w:r>
          </w:p>
        </w:tc>
      </w:tr>
      <w:tr>
        <w:tc>
          <w:tcPr>
            <w:tcW w:type="dxa" w:w="1440"/>
            <w:vAlign w:val="top"/>
          </w:tcPr>
          <w:p>
            <w:pPr>
              <w:spacing w:after="20"/>
            </w:pPr>
            <w:r>
              <w:rPr>
                <w:sz w:val="16"/>
              </w:rPr>
              <w:t>D</w:t>
            </w:r>
          </w:p>
        </w:tc>
        <w:tc>
          <w:tcPr>
            <w:tcW w:type="dxa" w:w="8352"/>
            <w:vAlign w:val="top"/>
          </w:tcPr>
          <w:p>
            <w:pPr>
              <w:spacing w:after="20"/>
            </w:pPr>
            <w:r>
              <w:rPr>
                <w:sz w:val="16"/>
              </w:rPr>
              <w:t>Fortement désavantagé.</w:t>
            </w:r>
          </w:p>
        </w:tc>
      </w:tr>
    </w:tbl>
    <w:p/>
    <w:p>
      <w:pPr>
        <w:pStyle w:val="Heading1"/>
      </w:pPr>
      <w:r>
        <w:t>5. Focus Cleric</w:t>
      </w:r>
    </w:p>
    <w:p>
      <w:pPr>
        <w:pStyle w:val="ListBullet"/>
      </w:pPr>
      <w:r>
        <w:t>Projection actuelle : B en duel, S en petit groupe, S en mass/Abyss.</w:t>
      </w:r>
    </w:p>
    <w:p>
      <w:pPr>
        <w:pStyle w:val="ListBullet"/>
      </w:pPr>
      <w:r>
        <w:t>Le Cleric n’est pas uniquement un healer passif : DoTs, debuffs de résistances, anti-heal/pression offensive et buffs apparaissent dans son identité historique.</w:t>
      </w:r>
    </w:p>
    <w:p>
      <w:pPr>
        <w:pStyle w:val="ListBullet"/>
      </w:pPr>
      <w:r>
        <w:t>Les reworks récents de heal rendent les chiffres anciens inutilisables ; il faut mesurer le kit Global et ses coefficients réels.</w:t>
      </w:r>
    </w:p>
    <w:p>
      <w:pPr>
        <w:pStyle w:val="ListBullet"/>
      </w:pPr>
      <w:r>
        <w:t>Pour un Cleric PvP, la survie peut créer plus de valeur réelle que le pur CP offensif : rester vivant augmente l’uptime de heal, dispel et utility.</w:t>
      </w:r>
    </w:p>
    <w:p>
      <w:pPr>
        <w:pStyle w:val="ListBullet"/>
      </w:pPr>
      <w:r>
        <w:t>Question ouverte critique : la formule de contribution/loot des boss et activités Global n’est pas encore établie pour les healers. Ne pas supposer qu’elle est purement damage-based.</w:t>
      </w:r>
    </w:p>
    <w:p>
      <w:pPr>
        <w:pStyle w:val="Heading1"/>
      </w:pPr>
      <w:r>
        <w:t>6. Fiabilité par classe des anciennes vidéos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253746"/>
            <w:vAlign w:val="center"/>
          </w:tcPr>
          <w:p>
            <w:r>
              <w:rPr>
                <w:b/>
                <w:color w:val="FFFFFF"/>
                <w:sz w:val="16"/>
              </w:rPr>
              <w:t>Classe</w:t>
            </w:r>
          </w:p>
        </w:tc>
        <w:tc>
          <w:tcPr>
            <w:tcW w:type="dxa" w:w="2520"/>
            <w:shd w:fill="253746"/>
            <w:vAlign w:val="center"/>
          </w:tcPr>
          <w:p>
            <w:r>
              <w:rPr>
                <w:b/>
                <w:color w:val="FFFFFF"/>
                <w:sz w:val="16"/>
              </w:rPr>
              <w:t>Qualification</w:t>
            </w:r>
          </w:p>
        </w:tc>
        <w:tc>
          <w:tcPr>
            <w:tcW w:type="dxa" w:w="5472"/>
            <w:shd w:fill="253746"/>
            <w:vAlign w:val="center"/>
          </w:tcPr>
          <w:p>
            <w:r>
              <w:rPr>
                <w:b/>
                <w:color w:val="FFFFFF"/>
                <w:sz w:val="16"/>
              </w:rPr>
              <w:t>Usage</w:t>
            </w:r>
          </w:p>
        </w:tc>
      </w:tr>
      <w:tr>
        <w:tc>
          <w:tcPr>
            <w:tcW w:type="dxa" w:w="1800"/>
            <w:vAlign w:val="top"/>
          </w:tcPr>
          <w:p>
            <w:pPr>
              <w:spacing w:after="20"/>
            </w:pPr>
            <w:r>
              <w:rPr>
                <w:sz w:val="16"/>
              </w:rPr>
              <w:t>Cleric</w:t>
            </w:r>
          </w:p>
        </w:tc>
        <w:tc>
          <w:tcPr>
            <w:tcW w:type="dxa" w:w="2520"/>
            <w:vAlign w:val="top"/>
          </w:tcPr>
          <w:p>
            <w:pPr>
              <w:spacing w:after="20"/>
            </w:pPr>
            <w:r>
              <w:rPr>
                <w:sz w:val="16"/>
              </w:rPr>
              <w:t>A- identité / D valeurs</w:t>
            </w:r>
          </w:p>
        </w:tc>
        <w:tc>
          <w:tcPr>
            <w:tcW w:type="dxa" w:w="5472"/>
            <w:vAlign w:val="top"/>
          </w:tcPr>
          <w:p>
            <w:pPr>
              <w:spacing w:after="20"/>
            </w:pPr>
            <w:r>
              <w:rPr>
                <w:sz w:val="16"/>
              </w:rPr>
              <w:t>Bon modèle fonctionnel ; coefficients à jeter.</w:t>
            </w:r>
          </w:p>
        </w:tc>
      </w:tr>
      <w:tr>
        <w:tc>
          <w:tcPr>
            <w:tcW w:type="dxa" w:w="1800"/>
            <w:vAlign w:val="top"/>
          </w:tcPr>
          <w:p>
            <w:pPr>
              <w:spacing w:after="20"/>
            </w:pPr>
            <w:r>
              <w:rPr>
                <w:sz w:val="16"/>
              </w:rPr>
              <w:t>Assassin</w:t>
            </w:r>
          </w:p>
        </w:tc>
        <w:tc>
          <w:tcPr>
            <w:tcW w:type="dxa" w:w="2520"/>
            <w:vAlign w:val="top"/>
          </w:tcPr>
          <w:p>
            <w:pPr>
              <w:spacing w:after="20"/>
            </w:pPr>
            <w:r>
              <w:rPr>
                <w:sz w:val="16"/>
              </w:rPr>
              <w:t>A- identité / D valeurs</w:t>
            </w:r>
          </w:p>
        </w:tc>
        <w:tc>
          <w:tcPr>
            <w:tcW w:type="dxa" w:w="5472"/>
            <w:vAlign w:val="top"/>
          </w:tcPr>
          <w:p>
            <w:pPr>
              <w:spacing w:after="20"/>
            </w:pPr>
            <w:r>
              <w:rPr>
                <w:sz w:val="16"/>
              </w:rPr>
              <w:t>Graphe marks/crit/back attacks utile.</w:t>
            </w:r>
          </w:p>
        </w:tc>
      </w:tr>
      <w:tr>
        <w:tc>
          <w:tcPr>
            <w:tcW w:type="dxa" w:w="1800"/>
            <w:vAlign w:val="top"/>
          </w:tcPr>
          <w:p>
            <w:pPr>
              <w:spacing w:after="20"/>
            </w:pPr>
            <w:r>
              <w:rPr>
                <w:sz w:val="16"/>
              </w:rPr>
              <w:t>Sorcerer</w:t>
            </w:r>
          </w:p>
        </w:tc>
        <w:tc>
          <w:tcPr>
            <w:tcW w:type="dxa" w:w="2520"/>
            <w:vAlign w:val="top"/>
          </w:tcPr>
          <w:p>
            <w:pPr>
              <w:spacing w:after="20"/>
            </w:pPr>
            <w:r>
              <w:rPr>
                <w:sz w:val="16"/>
              </w:rPr>
              <w:t>A- identité / D valeurs</w:t>
            </w:r>
          </w:p>
        </w:tc>
        <w:tc>
          <w:tcPr>
            <w:tcW w:type="dxa" w:w="5472"/>
            <w:vAlign w:val="top"/>
          </w:tcPr>
          <w:p>
            <w:pPr>
              <w:spacing w:after="20"/>
            </w:pPr>
            <w:r>
              <w:rPr>
                <w:sz w:val="16"/>
              </w:rPr>
              <w:t>États élémentaires et burst conditionnel utiles.</w:t>
            </w:r>
          </w:p>
        </w:tc>
      </w:tr>
      <w:tr>
        <w:tc>
          <w:tcPr>
            <w:tcW w:type="dxa" w:w="1800"/>
            <w:vAlign w:val="top"/>
          </w:tcPr>
          <w:p>
            <w:pPr>
              <w:spacing w:after="20"/>
            </w:pPr>
            <w:r>
              <w:rPr>
                <w:sz w:val="16"/>
              </w:rPr>
              <w:t>Templar</w:t>
            </w:r>
          </w:p>
        </w:tc>
        <w:tc>
          <w:tcPr>
            <w:tcW w:type="dxa" w:w="2520"/>
            <w:vAlign w:val="top"/>
          </w:tcPr>
          <w:p>
            <w:pPr>
              <w:spacing w:after="20"/>
            </w:pPr>
            <w:r>
              <w:rPr>
                <w:sz w:val="16"/>
              </w:rPr>
              <w:t>B+ identité / D- valeurs</w:t>
            </w:r>
          </w:p>
        </w:tc>
        <w:tc>
          <w:tcPr>
            <w:tcW w:type="dxa" w:w="5472"/>
            <w:vAlign w:val="top"/>
          </w:tcPr>
          <w:p>
            <w:pPr>
              <w:spacing w:after="20"/>
            </w:pPr>
            <w:r>
              <w:rPr>
                <w:sz w:val="16"/>
              </w:rPr>
              <w:t>Core loop retravaillée récemment.</w:t>
            </w:r>
          </w:p>
        </w:tc>
      </w:tr>
      <w:tr>
        <w:tc>
          <w:tcPr>
            <w:tcW w:type="dxa" w:w="1800"/>
            <w:vAlign w:val="top"/>
          </w:tcPr>
          <w:p>
            <w:pPr>
              <w:spacing w:after="20"/>
            </w:pPr>
            <w:r>
              <w:rPr>
                <w:sz w:val="16"/>
              </w:rPr>
              <w:t>Chanter</w:t>
            </w:r>
          </w:p>
        </w:tc>
        <w:tc>
          <w:tcPr>
            <w:tcW w:type="dxa" w:w="2520"/>
            <w:vAlign w:val="top"/>
          </w:tcPr>
          <w:p>
            <w:pPr>
              <w:spacing w:after="20"/>
            </w:pPr>
            <w:r>
              <w:rPr>
                <w:sz w:val="16"/>
              </w:rPr>
              <w:t>B+ identité / D- valeurs</w:t>
            </w:r>
          </w:p>
        </w:tc>
        <w:tc>
          <w:tcPr>
            <w:tcW w:type="dxa" w:w="5472"/>
            <w:vAlign w:val="top"/>
          </w:tcPr>
          <w:p>
            <w:pPr>
              <w:spacing w:after="20"/>
            </w:pPr>
            <w:r>
              <w:rPr>
                <w:sz w:val="16"/>
              </w:rPr>
              <w:t>Très gros changements récents, notamment Spinning Strike.</w:t>
            </w:r>
          </w:p>
        </w:tc>
      </w:tr>
      <w:tr>
        <w:tc>
          <w:tcPr>
            <w:tcW w:type="dxa" w:w="1800"/>
            <w:vAlign w:val="top"/>
          </w:tcPr>
          <w:p>
            <w:pPr>
              <w:spacing w:after="20"/>
            </w:pPr>
            <w:r>
              <w:rPr>
                <w:sz w:val="16"/>
              </w:rPr>
              <w:t>Gladiator</w:t>
            </w:r>
          </w:p>
        </w:tc>
        <w:tc>
          <w:tcPr>
            <w:tcW w:type="dxa" w:w="2520"/>
            <w:vAlign w:val="top"/>
          </w:tcPr>
          <w:p>
            <w:pPr>
              <w:spacing w:after="20"/>
            </w:pPr>
            <w:r>
              <w:rPr>
                <w:sz w:val="16"/>
              </w:rPr>
              <w:t>B+ identité / D valeurs</w:t>
            </w:r>
          </w:p>
        </w:tc>
        <w:tc>
          <w:tcPr>
            <w:tcW w:type="dxa" w:w="5472"/>
            <w:vAlign w:val="top"/>
          </w:tcPr>
          <w:p>
            <w:pPr>
              <w:spacing w:after="20"/>
            </w:pPr>
            <w:r>
              <w:rPr>
                <w:sz w:val="16"/>
              </w:rPr>
              <w:t>Plusieurs balance passes depuis.</w:t>
            </w:r>
          </w:p>
        </w:tc>
      </w:tr>
      <w:tr>
        <w:tc>
          <w:tcPr>
            <w:tcW w:type="dxa" w:w="1800"/>
            <w:vAlign w:val="top"/>
          </w:tcPr>
          <w:p>
            <w:pPr>
              <w:spacing w:after="20"/>
            </w:pPr>
            <w:r>
              <w:rPr>
                <w:sz w:val="16"/>
              </w:rPr>
              <w:t>Ranger</w:t>
            </w:r>
          </w:p>
        </w:tc>
        <w:tc>
          <w:tcPr>
            <w:tcW w:type="dxa" w:w="2520"/>
            <w:vAlign w:val="top"/>
          </w:tcPr>
          <w:p>
            <w:pPr>
              <w:spacing w:after="20"/>
            </w:pPr>
            <w:r>
              <w:rPr>
                <w:sz w:val="16"/>
              </w:rPr>
              <w:t>A- identité / D valeurs</w:t>
            </w:r>
          </w:p>
        </w:tc>
        <w:tc>
          <w:tcPr>
            <w:tcW w:type="dxa" w:w="5472"/>
            <w:vAlign w:val="top"/>
          </w:tcPr>
          <w:p>
            <w:pPr>
              <w:spacing w:after="20"/>
            </w:pPr>
            <w:r>
              <w:rPr>
                <w:sz w:val="16"/>
              </w:rPr>
              <w:t>Le transcript appelé Rogue est Ranger.</w:t>
            </w:r>
          </w:p>
        </w:tc>
      </w:tr>
    </w:tbl>
    <w:p/>
    <w:p>
      <w:pPr>
        <w:pStyle w:val="Heading1"/>
      </w:pPr>
      <w:r>
        <w:t>7. Sources récentes de balance à surveiller</w:t>
      </w:r>
    </w:p>
    <w:p>
      <w:r>
        <w:rPr>
          <w:b/>
        </w:rPr>
        <w:t xml:space="preserve">AION2 Hub — 26 août 2026: </w:t>
      </w:r>
      <w:hyperlink r:id="rId9">
        <w:r>
          <w:rPr>
            <w:color w:val="0563C1"/>
            <w:u w:val="single"/>
          </w:rPr>
          <w:t>https://aion2hub.com/updates/aion-2-update-2026-08-26</w:t>
        </w:r>
      </w:hyperlink>
      <w:r>
        <w:t xml:space="preserve"> — Gros rework Templar/Chanter et rééquilibrage des synergies de groupe.</w:t>
      </w:r>
    </w:p>
    <w:p>
      <w:r>
        <w:rPr>
          <w:b/>
        </w:rPr>
        <w:t xml:space="preserve">AION2 Hub — 2 septembre 2026: </w:t>
      </w:r>
      <w:hyperlink r:id="rId10">
        <w:r>
          <w:rPr>
            <w:color w:val="0563C1"/>
            <w:u w:val="single"/>
          </w:rPr>
          <w:t>https://aion2hub.com/updates/aion-2-update-2026-09-02</w:t>
        </w:r>
      </w:hyperlink>
      <w:r>
        <w:t xml:space="preserve"> — Nouvelles retouches une semaine plus tard ; preuve de forte volatilité.</w:t>
      </w:r>
    </w:p>
    <w:p>
      <w:r>
        <w:rPr>
          <w:b/>
        </w:rPr>
        <w:t xml:space="preserve">NC — overhaul 25 mars 2026: </w:t>
      </w:r>
      <w:hyperlink r:id="rId11">
        <w:r>
          <w:rPr>
            <w:color w:val="0563C1"/>
            <w:u w:val="single"/>
          </w:rPr>
          <w:t>https://about.ncsoft.com/en/news/article/aion2_update_260325</w:t>
        </w:r>
      </w:hyperlink>
      <w:r>
        <w:t xml:space="preserve"> — Refonte générale des classes et séparation PvE/PvP.</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AION 2 — Classes &amp; PvP — 3 septembre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8" w:right="144"/>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ion2hub.com/updates/aion-2-update-2026-08-26" TargetMode="External"/><Relationship Id="rId10" Type="http://schemas.openxmlformats.org/officeDocument/2006/relationships/hyperlink" Target="https://aion2hub.com/updates/aion-2-update-2026-09-02" TargetMode="External"/><Relationship Id="rId11" Type="http://schemas.openxmlformats.org/officeDocument/2006/relationships/hyperlink" Target="https://about.ncsoft.com/en/news/article/aion2_update_260325"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