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4121B" w14:textId="05687B29" w:rsidR="00862AAD" w:rsidRPr="00076572" w:rsidRDefault="00862AAD" w:rsidP="00862AAD">
      <w:pPr>
        <w:rPr>
          <w:rFonts w:cstheme="minorHAnsi"/>
          <w:b/>
          <w:bCs/>
          <w:color w:val="000000" w:themeColor="text1"/>
        </w:rPr>
      </w:pPr>
      <w:r w:rsidRPr="00076572">
        <w:rPr>
          <w:rFonts w:cstheme="minorHAnsi"/>
          <w:b/>
          <w:bCs/>
          <w:color w:val="000000" w:themeColor="text1"/>
        </w:rPr>
        <w:t>LSP</w:t>
      </w:r>
      <w:r w:rsidR="00127755">
        <w:rPr>
          <w:rFonts w:cstheme="minorHAnsi"/>
          <w:b/>
          <w:bCs/>
          <w:color w:val="000000" w:themeColor="text1"/>
        </w:rPr>
        <w:t>-</w:t>
      </w:r>
      <w:proofErr w:type="spellStart"/>
      <w:r w:rsidRPr="00076572">
        <w:rPr>
          <w:rFonts w:cstheme="minorHAnsi"/>
          <w:b/>
          <w:bCs/>
          <w:color w:val="000000" w:themeColor="text1"/>
        </w:rPr>
        <w:t>OptimalKinase</w:t>
      </w:r>
      <w:proofErr w:type="spellEnd"/>
      <w:r w:rsidRPr="00076572">
        <w:rPr>
          <w:rFonts w:cstheme="minorHAnsi"/>
          <w:b/>
          <w:bCs/>
          <w:color w:val="000000" w:themeColor="text1"/>
        </w:rPr>
        <w:t xml:space="preserve"> library</w:t>
      </w:r>
    </w:p>
    <w:p w14:paraId="56C73AAC" w14:textId="77777777" w:rsidR="00862AAD" w:rsidRPr="00447037" w:rsidRDefault="00862AAD" w:rsidP="00862AAD">
      <w:pPr>
        <w:rPr>
          <w:rFonts w:cstheme="minorHAnsi"/>
          <w:color w:val="000000" w:themeColor="text1"/>
        </w:rPr>
      </w:pPr>
    </w:p>
    <w:p w14:paraId="1D274F35" w14:textId="14874949" w:rsidR="002F4A03" w:rsidRPr="00447037" w:rsidRDefault="00862AAD" w:rsidP="00447037">
      <w:pPr>
        <w:jc w:val="both"/>
        <w:rPr>
          <w:rFonts w:eastAsia="Times New Roman" w:cstheme="minorHAnsi"/>
          <w:color w:val="000000" w:themeColor="text1"/>
        </w:rPr>
      </w:pPr>
      <w:r w:rsidRPr="00447037">
        <w:rPr>
          <w:rFonts w:cstheme="minorHAnsi"/>
          <w:color w:val="000000" w:themeColor="text1"/>
        </w:rPr>
        <w:t xml:space="preserve">The </w:t>
      </w:r>
      <w:proofErr w:type="spellStart"/>
      <w:r w:rsidRPr="00447037">
        <w:rPr>
          <w:rFonts w:cstheme="minorHAnsi"/>
          <w:color w:val="000000" w:themeColor="text1"/>
        </w:rPr>
        <w:t>LSP_OptimalKinase</w:t>
      </w:r>
      <w:proofErr w:type="spellEnd"/>
      <w:r w:rsidRPr="00447037">
        <w:rPr>
          <w:rFonts w:cstheme="minorHAnsi"/>
          <w:color w:val="000000" w:themeColor="text1"/>
        </w:rPr>
        <w:t xml:space="preserve"> library is a collection of kinase inhibitors in the public domain </w:t>
      </w:r>
      <w:r w:rsidR="00447037" w:rsidRPr="00447037">
        <w:rPr>
          <w:rFonts w:cstheme="minorHAnsi"/>
          <w:color w:val="000000" w:themeColor="text1"/>
        </w:rPr>
        <w:t>that</w:t>
      </w:r>
      <w:r w:rsidRPr="00447037">
        <w:rPr>
          <w:rFonts w:cstheme="minorHAnsi"/>
          <w:color w:val="000000" w:themeColor="text1"/>
        </w:rPr>
        <w:t xml:space="preserve"> were selected based on criteria described in</w:t>
      </w:r>
      <w:r w:rsidR="00C33244" w:rsidRPr="00447037">
        <w:rPr>
          <w:rFonts w:cstheme="minorHAnsi"/>
          <w:color w:val="000000" w:themeColor="text1"/>
        </w:rPr>
        <w:t xml:space="preserve"> </w:t>
      </w:r>
      <w:r w:rsidR="00C33244" w:rsidRPr="00447037">
        <w:rPr>
          <w:rFonts w:cstheme="minorHAnsi"/>
          <w:color w:val="000000" w:themeColor="text1"/>
        </w:rPr>
        <w:fldChar w:fldCharType="begin"/>
      </w:r>
      <w:r w:rsidR="00C33244" w:rsidRPr="00447037">
        <w:rPr>
          <w:rFonts w:cstheme="minorHAnsi"/>
          <w:color w:val="000000" w:themeColor="text1"/>
        </w:rPr>
        <w:instrText xml:space="preserve"> ADDIN ZOTERO_ITEM CSL_CITATION {"citationID":"0ilKEl6O","properties":{"formattedCitation":"(Moret et al., 2019)","plainCitation":"(Moret et al., 2019)","noteIndex":0},"citationItems":[{"id":4234,"uris":["http://zotero.org/groups/1220643/items/CURAGZUW"],"uri":["http://zotero.org/groups/1220643/items/CURAGZUW"],"itemData":{"id":4234,"type":"article-journal","title":"Cheminformatics Tools for Analyzing and Designing Optimized Small-Molecule Collections and Libraries","container-title":"Cell Chemical Biology","page":"765-777.e3","volume":"26","issue":"5","source":"PubMed","abstract":"Libraries of well-annotated small molecules have many uses in chemical genetics, drug discovery, and therapeutic repurposing. Multiple libraries are available, but few data-driven approaches exist to compare them and design new libraries. We describe an approach to scoring and creating libraries based on binding selectivity, target coverage, and induced cellular phenotypes as well as chemical structure, stage of clinical development, and user preference. The approach, available via the online tool http://www.smallmoleculesuite.org, assembles sets of compounds with the lowest possible off-target overlap. Analysis of six kinase inhibitor libraries using our approach reveals dramatic differences among them and led us to design a new LSP-OptimalKinase library that outperforms existing collections in target coverage and compact size. We also describe a mechanism of action library that optimally covers 1,852 targets in the liganded genome. Our tools facilitate creation, analysis, and updates of both private and public compound collections.","DOI":"10.1016/j.chembiol.2019.02.018","ISSN":"2451-9448","note":"PMID: 30956147\nPMCID: PMC6526536","journalAbbreviation":"Cell Chem Biol","language":"eng","author":[{"family":"Moret","given":"Nienke"},{"family":"Clark","given":"Nicholas A."},{"family":"Hafner","given":"Marc"},{"family":"Wang","given":"Yuan"},{"family":"Lounkine","given":"Eugen"},{"family":"Medvedovic","given":"Mario"},{"family":"Wang","given":"Jinhua"},{"family":"Gray","given":"Nathanael"},{"family":"Jenkins","given":"Jeremy"},{"family":"Sorger","given":"Peter K."}],"issued":{"date-parts":[["2019",5,16]]}}}],"schema":"https://github.com/citation-style-language/schema/raw/master/csl-citation.json"} </w:instrText>
      </w:r>
      <w:r w:rsidR="00C33244" w:rsidRPr="00447037">
        <w:rPr>
          <w:rFonts w:cstheme="minorHAnsi"/>
          <w:color w:val="000000" w:themeColor="text1"/>
        </w:rPr>
        <w:fldChar w:fldCharType="separate"/>
      </w:r>
      <w:r w:rsidR="00C33244" w:rsidRPr="00447037">
        <w:rPr>
          <w:rFonts w:cstheme="minorHAnsi"/>
          <w:noProof/>
          <w:color w:val="000000" w:themeColor="text1"/>
        </w:rPr>
        <w:t>Moret et al. (2019</w:t>
      </w:r>
      <w:r w:rsidR="00C33244" w:rsidRPr="00447037">
        <w:rPr>
          <w:rFonts w:cstheme="minorHAnsi"/>
          <w:color w:val="000000" w:themeColor="text1"/>
        </w:rPr>
        <w:fldChar w:fldCharType="end"/>
      </w:r>
      <w:r w:rsidR="00C33244" w:rsidRPr="00447037">
        <w:rPr>
          <w:rFonts w:cstheme="minorHAnsi"/>
          <w:color w:val="000000" w:themeColor="text1"/>
        </w:rPr>
        <w:t>)</w:t>
      </w:r>
      <w:r w:rsidR="002F4A03" w:rsidRPr="00447037">
        <w:rPr>
          <w:rFonts w:cstheme="minorHAnsi"/>
          <w:color w:val="000000" w:themeColor="text1"/>
        </w:rPr>
        <w:t xml:space="preserve">[link to </w:t>
      </w:r>
      <w:hyperlink r:id="rId4" w:anchor="secsectitle0010" w:history="1">
        <w:r w:rsidR="002F4A03" w:rsidRPr="00447037">
          <w:rPr>
            <w:rFonts w:eastAsia="Times New Roman" w:cstheme="minorHAnsi"/>
            <w:color w:val="000000" w:themeColor="text1"/>
            <w:u w:val="single"/>
          </w:rPr>
          <w:t>https://www.cell.com/cell-chemical-biology/fulltext/S2451-9456(19)30073-X#secsectitle0010</w:t>
        </w:r>
      </w:hyperlink>
    </w:p>
    <w:tbl>
      <w:tblPr>
        <w:tblStyle w:val="TableGrid"/>
        <w:tblpPr w:leftFromText="288" w:rightFromText="288" w:bottomFromText="230" w:vertAnchor="text" w:horzAnchor="margin" w:tblpXSpec="right" w:tblpY="1081"/>
        <w:tblW w:w="6356" w:type="dxa"/>
        <w:tblLook w:val="04A0" w:firstRow="1" w:lastRow="0" w:firstColumn="1" w:lastColumn="0" w:noHBand="0" w:noVBand="1"/>
      </w:tblPr>
      <w:tblGrid>
        <w:gridCol w:w="6356"/>
      </w:tblGrid>
      <w:tr w:rsidR="00127755" w14:paraId="3C293100" w14:textId="77777777" w:rsidTr="0007409C">
        <w:trPr>
          <w:trHeight w:val="3140"/>
        </w:trPr>
        <w:tc>
          <w:tcPr>
            <w:tcW w:w="6356" w:type="dxa"/>
          </w:tcPr>
          <w:p w14:paraId="2828B15E" w14:textId="77777777" w:rsidR="00127755" w:rsidRDefault="00127755" w:rsidP="0007409C">
            <w:pPr>
              <w:jc w:val="both"/>
            </w:pPr>
            <w:r>
              <w:rPr>
                <w:noProof/>
              </w:rPr>
              <w:drawing>
                <wp:inline distT="0" distB="0" distL="0" distR="0" wp14:anchorId="4B75F419" wp14:editId="07224937">
                  <wp:extent cx="3899083" cy="1997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ry_education_Fi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2768" cy="2035364"/>
                          </a:xfrm>
                          <a:prstGeom prst="rect">
                            <a:avLst/>
                          </a:prstGeom>
                        </pic:spPr>
                      </pic:pic>
                    </a:graphicData>
                  </a:graphic>
                </wp:inline>
              </w:drawing>
            </w:r>
          </w:p>
        </w:tc>
      </w:tr>
      <w:tr w:rsidR="00127755" w14:paraId="09FD0A04" w14:textId="77777777" w:rsidTr="0007409C">
        <w:trPr>
          <w:trHeight w:val="70"/>
        </w:trPr>
        <w:tc>
          <w:tcPr>
            <w:tcW w:w="6356" w:type="dxa"/>
          </w:tcPr>
          <w:p w14:paraId="13499C47" w14:textId="795F177D" w:rsidR="00127755" w:rsidRPr="0007409C" w:rsidRDefault="00127755" w:rsidP="0007409C">
            <w:pPr>
              <w:rPr>
                <w:sz w:val="20"/>
                <w:szCs w:val="20"/>
              </w:rPr>
            </w:pPr>
            <w:r w:rsidRPr="0007409C">
              <w:rPr>
                <w:color w:val="404040" w:themeColor="text1" w:themeTint="BF"/>
                <w:sz w:val="20"/>
                <w:szCs w:val="20"/>
              </w:rPr>
              <w:t xml:space="preserve">Figure 1 </w:t>
            </w:r>
            <w:proofErr w:type="gramStart"/>
            <w:r w:rsidRPr="0007409C">
              <w:rPr>
                <w:color w:val="404040" w:themeColor="text1" w:themeTint="BF"/>
                <w:sz w:val="20"/>
                <w:szCs w:val="20"/>
              </w:rPr>
              <w:t xml:space="preserve">– </w:t>
            </w:r>
            <w:r w:rsidR="0007409C" w:rsidRPr="0007409C">
              <w:rPr>
                <w:color w:val="404040" w:themeColor="text1" w:themeTint="BF"/>
                <w:sz w:val="20"/>
                <w:szCs w:val="20"/>
              </w:rPr>
              <w:t xml:space="preserve"> </w:t>
            </w:r>
            <w:r w:rsidR="0007409C" w:rsidRPr="0007409C">
              <w:rPr>
                <w:color w:val="404040" w:themeColor="text1" w:themeTint="BF"/>
                <w:sz w:val="20"/>
                <w:szCs w:val="20"/>
              </w:rPr>
              <w:t>Illustration</w:t>
            </w:r>
            <w:proofErr w:type="gramEnd"/>
            <w:r w:rsidR="0007409C" w:rsidRPr="0007409C">
              <w:rPr>
                <w:color w:val="404040" w:themeColor="text1" w:themeTint="BF"/>
                <w:sz w:val="20"/>
                <w:szCs w:val="20"/>
              </w:rPr>
              <w:t xml:space="preserve"> of the compound selection procedure for a query target “BRAF” based on selectivity score and clinical phase. In this case, all compounds shown belong to tier A as they either have MS selectivity or are clinically approved drugs.</w:t>
            </w:r>
          </w:p>
        </w:tc>
      </w:tr>
    </w:tbl>
    <w:p w14:paraId="119DD2AC" w14:textId="7C342369" w:rsidR="00F605B8" w:rsidRDefault="002F4A03" w:rsidP="00447037">
      <w:pPr>
        <w:jc w:val="both"/>
        <w:rPr>
          <w:rFonts w:cstheme="minorHAnsi"/>
          <w:color w:val="000000" w:themeColor="text1"/>
        </w:rPr>
      </w:pPr>
      <w:r w:rsidRPr="00447037">
        <w:rPr>
          <w:rFonts w:cstheme="minorHAnsi"/>
          <w:color w:val="000000" w:themeColor="text1"/>
        </w:rPr>
        <w:t>]</w:t>
      </w:r>
      <w:r w:rsidR="00C33244" w:rsidRPr="00447037">
        <w:rPr>
          <w:rFonts w:cstheme="minorHAnsi"/>
          <w:color w:val="000000" w:themeColor="text1"/>
        </w:rPr>
        <w:t xml:space="preserve">. </w:t>
      </w:r>
      <w:r w:rsidR="00447037" w:rsidRPr="00447037">
        <w:rPr>
          <w:rFonts w:cstheme="minorHAnsi"/>
          <w:color w:val="000000" w:themeColor="text1"/>
        </w:rPr>
        <w:t>T</w:t>
      </w:r>
      <w:r w:rsidR="001E2861" w:rsidRPr="00447037">
        <w:rPr>
          <w:rFonts w:cstheme="minorHAnsi"/>
          <w:color w:val="000000" w:themeColor="text1"/>
        </w:rPr>
        <w:t>he library was developed with the aim to have a pair of inhibitors for each kinase</w:t>
      </w:r>
      <w:r w:rsidR="00F605B8">
        <w:rPr>
          <w:rFonts w:cstheme="minorHAnsi"/>
          <w:color w:val="000000" w:themeColor="text1"/>
        </w:rPr>
        <w:t xml:space="preserve"> </w:t>
      </w:r>
      <w:r w:rsidR="00DA28B2" w:rsidRPr="00447037">
        <w:rPr>
          <w:rFonts w:cstheme="minorHAnsi"/>
          <w:color w:val="000000" w:themeColor="text1"/>
        </w:rPr>
        <w:t>with the members of the pair structurally distinct</w:t>
      </w:r>
      <w:r w:rsidR="00DA28B2">
        <w:rPr>
          <w:rFonts w:cstheme="minorHAnsi"/>
          <w:color w:val="000000" w:themeColor="text1"/>
        </w:rPr>
        <w:t xml:space="preserve"> </w:t>
      </w:r>
      <w:r w:rsidR="00DA28B2" w:rsidRPr="00447037">
        <w:rPr>
          <w:rFonts w:cstheme="minorHAnsi"/>
          <w:color w:val="000000" w:themeColor="text1"/>
        </w:rPr>
        <w:t>but similar in selectivity for the intended kinase</w:t>
      </w:r>
      <w:r w:rsidR="00DA28B2">
        <w:rPr>
          <w:rFonts w:cstheme="minorHAnsi"/>
          <w:color w:val="000000" w:themeColor="text1"/>
        </w:rPr>
        <w:t xml:space="preserve">, </w:t>
      </w:r>
      <w:r w:rsidR="00F605B8">
        <w:rPr>
          <w:rFonts w:cstheme="minorHAnsi"/>
          <w:color w:val="000000" w:themeColor="text1"/>
        </w:rPr>
        <w:t>along with all approved drugs or clinical candidates</w:t>
      </w:r>
      <w:r w:rsidR="00DA28B2">
        <w:rPr>
          <w:rFonts w:cstheme="minorHAnsi"/>
          <w:color w:val="000000" w:themeColor="text1"/>
        </w:rPr>
        <w:t xml:space="preserve"> that show affinity for said particular kinase</w:t>
      </w:r>
      <w:r w:rsidR="00127755">
        <w:rPr>
          <w:rFonts w:cstheme="minorHAnsi"/>
          <w:color w:val="000000" w:themeColor="text1"/>
        </w:rPr>
        <w:t xml:space="preserve"> (</w:t>
      </w:r>
      <w:r w:rsidR="00127755" w:rsidRPr="00127755">
        <w:rPr>
          <w:rFonts w:cstheme="minorHAnsi"/>
          <w:b/>
          <w:bCs/>
          <w:color w:val="000000" w:themeColor="text1"/>
        </w:rPr>
        <w:t>Figure 1</w:t>
      </w:r>
      <w:r w:rsidR="00127755">
        <w:rPr>
          <w:rFonts w:cstheme="minorHAnsi"/>
          <w:color w:val="000000" w:themeColor="text1"/>
        </w:rPr>
        <w:t>)</w:t>
      </w:r>
      <w:r w:rsidR="00F605B8">
        <w:rPr>
          <w:rFonts w:cstheme="minorHAnsi"/>
          <w:color w:val="000000" w:themeColor="text1"/>
        </w:rPr>
        <w:t>. Being structurally distinct has the advantage</w:t>
      </w:r>
      <w:r w:rsidR="001E2861" w:rsidRPr="00447037">
        <w:rPr>
          <w:rFonts w:cstheme="minorHAnsi"/>
          <w:color w:val="000000" w:themeColor="text1"/>
        </w:rPr>
        <w:t xml:space="preserve"> that the</w:t>
      </w:r>
      <w:r w:rsidR="00F605B8">
        <w:rPr>
          <w:rFonts w:cstheme="minorHAnsi"/>
          <w:color w:val="000000" w:themeColor="text1"/>
        </w:rPr>
        <w:t xml:space="preserve"> inhibitors</w:t>
      </w:r>
      <w:r w:rsidR="001E2861" w:rsidRPr="00447037">
        <w:rPr>
          <w:rFonts w:cstheme="minorHAnsi"/>
          <w:color w:val="000000" w:themeColor="text1"/>
        </w:rPr>
        <w:t xml:space="preserve"> are the most likely to have orthogonal target affinity spectra (TAS) and phenotypic fingerprint (PFP). </w:t>
      </w:r>
      <w:r w:rsidR="00DA28B2">
        <w:rPr>
          <w:rFonts w:cstheme="minorHAnsi"/>
          <w:color w:val="000000" w:themeColor="text1"/>
        </w:rPr>
        <w:t xml:space="preserve">To assess whether </w:t>
      </w:r>
      <w:r w:rsidR="00127755">
        <w:rPr>
          <w:rFonts w:cstheme="minorHAnsi"/>
          <w:color w:val="000000" w:themeColor="text1"/>
        </w:rPr>
        <w:t>two compounds are similar in selectivity</w:t>
      </w:r>
      <w:r w:rsidR="00E265A9" w:rsidRPr="00447037">
        <w:rPr>
          <w:rFonts w:cstheme="minorHAnsi"/>
          <w:color w:val="000000" w:themeColor="text1"/>
        </w:rPr>
        <w:t>, we discretized the selectivity of compounds into four qualitative levels; most selective (MS), semi selective (SS), poly selective (PS) and unknown (UN).</w:t>
      </w:r>
      <w:r w:rsidR="00447037" w:rsidRPr="00447037">
        <w:rPr>
          <w:rFonts w:cstheme="minorHAnsi"/>
          <w:color w:val="000000" w:themeColor="text1"/>
        </w:rPr>
        <w:t xml:space="preserve"> </w:t>
      </w:r>
    </w:p>
    <w:p w14:paraId="4D50ACAA" w14:textId="77777777" w:rsidR="0007409C" w:rsidRDefault="0007409C" w:rsidP="0007409C">
      <w:pPr>
        <w:jc w:val="both"/>
        <w:rPr>
          <w:rFonts w:cstheme="minorHAnsi"/>
          <w:color w:val="000000" w:themeColor="text1"/>
        </w:rPr>
      </w:pPr>
    </w:p>
    <w:p w14:paraId="3422C069" w14:textId="0DC9D1CC" w:rsidR="00862AAD" w:rsidRDefault="00127755" w:rsidP="00127755">
      <w:pPr>
        <w:ind w:firstLine="720"/>
        <w:jc w:val="both"/>
        <w:rPr>
          <w:rFonts w:eastAsia="Times New Roman" w:cstheme="minorHAnsi"/>
          <w:color w:val="000000" w:themeColor="text1"/>
          <w:shd w:val="clear" w:color="auto" w:fill="FFFFFF"/>
        </w:rPr>
      </w:pPr>
      <w:r w:rsidRPr="00447037">
        <w:rPr>
          <w:rFonts w:cstheme="minorHAnsi"/>
          <w:color w:val="000000" w:themeColor="text1"/>
        </w:rPr>
        <w:t xml:space="preserve"> </w:t>
      </w:r>
      <w:r w:rsidR="00447037" w:rsidRPr="00447037">
        <w:rPr>
          <w:rFonts w:cstheme="minorHAnsi"/>
          <w:color w:val="000000" w:themeColor="text1"/>
        </w:rPr>
        <w:t xml:space="preserve">The library is dividable into different tiers: </w:t>
      </w:r>
      <w:r w:rsidR="00447037" w:rsidRPr="00447037">
        <w:rPr>
          <w:rFonts w:eastAsia="Times New Roman" w:cstheme="minorHAnsi"/>
          <w:color w:val="000000" w:themeColor="text1"/>
          <w:shd w:val="clear" w:color="auto" w:fill="FFFFFF"/>
        </w:rPr>
        <w:t>Tier A is the minimal library and contains only those compounds (1) binding the specified list of genes with MS selectivity and (2) FDA-approved drugs binding more strongly than the affinity cutoff (which did not result in library redundancy). Tier B adds compounds with SS selectivity that target genes not covered by MS selectivity plus all compounds that bind the genes of interest and are in clinical development (clinical phases I–III). Tier C adds compounds from PS and UN specificity classes to maximally cover the user-specified list.</w:t>
      </w:r>
    </w:p>
    <w:p w14:paraId="1282368F" w14:textId="77777777" w:rsidR="00373AE4" w:rsidRPr="00127755" w:rsidRDefault="00373AE4" w:rsidP="00127755">
      <w:pPr>
        <w:ind w:firstLine="720"/>
        <w:jc w:val="both"/>
        <w:rPr>
          <w:rFonts w:eastAsia="Times New Roman" w:cstheme="minorHAnsi"/>
          <w:color w:val="000000" w:themeColor="text1"/>
        </w:rPr>
      </w:pPr>
      <w:bookmarkStart w:id="0" w:name="_GoBack"/>
      <w:bookmarkEnd w:id="0"/>
    </w:p>
    <w:tbl>
      <w:tblPr>
        <w:tblStyle w:val="TableGrid"/>
        <w:tblpPr w:leftFromText="288" w:rightFromText="288" w:topFromText="43" w:bottomFromText="187" w:vertAnchor="text" w:horzAnchor="margin" w:tblpY="102"/>
        <w:tblW w:w="0" w:type="auto"/>
        <w:tblLook w:val="04A0" w:firstRow="1" w:lastRow="0" w:firstColumn="1" w:lastColumn="0" w:noHBand="0" w:noVBand="1"/>
      </w:tblPr>
      <w:tblGrid>
        <w:gridCol w:w="4225"/>
        <w:gridCol w:w="4756"/>
      </w:tblGrid>
      <w:tr w:rsidR="0007409C" w14:paraId="4AC49098" w14:textId="77777777" w:rsidTr="0007409C">
        <w:tc>
          <w:tcPr>
            <w:tcW w:w="4225" w:type="dxa"/>
          </w:tcPr>
          <w:p w14:paraId="4A2A99B7" w14:textId="77777777" w:rsidR="0007409C" w:rsidRDefault="0007409C" w:rsidP="0007409C">
            <w:pPr>
              <w:jc w:val="both"/>
            </w:pPr>
            <w:r>
              <w:rPr>
                <w:noProof/>
              </w:rPr>
              <w:drawing>
                <wp:inline distT="0" distB="0" distL="0" distR="0" wp14:anchorId="1A627D36" wp14:editId="4F6A3225">
                  <wp:extent cx="2309943" cy="1892104"/>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rary_education_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1737" cy="1918147"/>
                          </a:xfrm>
                          <a:prstGeom prst="rect">
                            <a:avLst/>
                          </a:prstGeom>
                        </pic:spPr>
                      </pic:pic>
                    </a:graphicData>
                  </a:graphic>
                </wp:inline>
              </w:drawing>
            </w:r>
          </w:p>
        </w:tc>
        <w:tc>
          <w:tcPr>
            <w:tcW w:w="4756" w:type="dxa"/>
          </w:tcPr>
          <w:p w14:paraId="5F57EA4E" w14:textId="77777777" w:rsidR="0007409C" w:rsidRDefault="0007409C" w:rsidP="0007409C">
            <w:pPr>
              <w:jc w:val="both"/>
              <w:rPr>
                <w:noProof/>
              </w:rPr>
            </w:pPr>
            <w:r>
              <w:rPr>
                <w:noProof/>
              </w:rPr>
              <w:drawing>
                <wp:inline distT="0" distB="0" distL="0" distR="0" wp14:anchorId="381291C1" wp14:editId="3B6E6A90">
                  <wp:extent cx="2224912" cy="1891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_education_Fig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6807" cy="1927285"/>
                          </a:xfrm>
                          <a:prstGeom prst="rect">
                            <a:avLst/>
                          </a:prstGeom>
                        </pic:spPr>
                      </pic:pic>
                    </a:graphicData>
                  </a:graphic>
                </wp:inline>
              </w:drawing>
            </w:r>
          </w:p>
        </w:tc>
      </w:tr>
      <w:tr w:rsidR="0007409C" w14:paraId="41349C71" w14:textId="77777777" w:rsidTr="0007409C">
        <w:tc>
          <w:tcPr>
            <w:tcW w:w="4225" w:type="dxa"/>
          </w:tcPr>
          <w:p w14:paraId="71EC0463" w14:textId="77777777" w:rsidR="0007409C" w:rsidRPr="0007409C" w:rsidRDefault="0007409C" w:rsidP="0007409C">
            <w:pPr>
              <w:jc w:val="both"/>
              <w:rPr>
                <w:sz w:val="20"/>
                <w:szCs w:val="20"/>
              </w:rPr>
            </w:pPr>
            <w:r w:rsidRPr="0007409C">
              <w:rPr>
                <w:color w:val="404040" w:themeColor="text1" w:themeTint="BF"/>
                <w:sz w:val="20"/>
                <w:szCs w:val="20"/>
              </w:rPr>
              <w:t>Figure 2 - Number of kinases inhibited at a specified selectivity class based for the LSP-</w:t>
            </w:r>
            <w:proofErr w:type="spellStart"/>
            <w:r w:rsidRPr="0007409C">
              <w:rPr>
                <w:color w:val="404040" w:themeColor="text1" w:themeTint="BF"/>
                <w:sz w:val="20"/>
                <w:szCs w:val="20"/>
              </w:rPr>
              <w:t>OptimalKinase</w:t>
            </w:r>
            <w:proofErr w:type="spellEnd"/>
            <w:r w:rsidRPr="0007409C">
              <w:rPr>
                <w:color w:val="404040" w:themeColor="text1" w:themeTint="BF"/>
                <w:sz w:val="20"/>
                <w:szCs w:val="20"/>
              </w:rPr>
              <w:t xml:space="preserve"> library. The highest selectivity achieved for each of the 545 human kinases is shown. </w:t>
            </w:r>
          </w:p>
        </w:tc>
        <w:tc>
          <w:tcPr>
            <w:tcW w:w="4756" w:type="dxa"/>
          </w:tcPr>
          <w:p w14:paraId="06713CC2" w14:textId="62D424A9" w:rsidR="0007409C" w:rsidRPr="00DC67E1" w:rsidRDefault="00DC67E1" w:rsidP="0007409C">
            <w:pPr>
              <w:jc w:val="both"/>
              <w:rPr>
                <w:sz w:val="20"/>
                <w:szCs w:val="20"/>
              </w:rPr>
            </w:pPr>
            <w:r w:rsidRPr="00DC67E1">
              <w:rPr>
                <w:color w:val="404040" w:themeColor="text1" w:themeTint="BF"/>
                <w:sz w:val="20"/>
                <w:szCs w:val="20"/>
              </w:rPr>
              <w:t xml:space="preserve">Figure 3 - </w:t>
            </w:r>
            <w:r w:rsidRPr="00DC67E1">
              <w:rPr>
                <w:color w:val="404040" w:themeColor="text1" w:themeTint="BF"/>
                <w:sz w:val="20"/>
                <w:szCs w:val="20"/>
              </w:rPr>
              <w:t>Clinical grade compounds in the LSP-Optimal Kinase library by tier.</w:t>
            </w:r>
          </w:p>
        </w:tc>
      </w:tr>
    </w:tbl>
    <w:p w14:paraId="6DD7C554" w14:textId="09BA2480" w:rsidR="002F4A03" w:rsidRDefault="002F4A03" w:rsidP="00447037">
      <w:pPr>
        <w:jc w:val="both"/>
      </w:pPr>
    </w:p>
    <w:p w14:paraId="4516F514" w14:textId="77777777" w:rsidR="002F4A03" w:rsidRDefault="002F4A03" w:rsidP="00447037">
      <w:pPr>
        <w:jc w:val="both"/>
      </w:pPr>
    </w:p>
    <w:p w14:paraId="7C378DF5" w14:textId="79556743" w:rsidR="00B26728" w:rsidRDefault="00B26728" w:rsidP="00447037">
      <w:pPr>
        <w:jc w:val="both"/>
      </w:pPr>
    </w:p>
    <w:sectPr w:rsidR="00B26728" w:rsidSect="00074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AD"/>
    <w:rsid w:val="0007409C"/>
    <w:rsid w:val="00076572"/>
    <w:rsid w:val="00127755"/>
    <w:rsid w:val="001E2861"/>
    <w:rsid w:val="002F4A03"/>
    <w:rsid w:val="00373AE4"/>
    <w:rsid w:val="00447037"/>
    <w:rsid w:val="005518F6"/>
    <w:rsid w:val="0060789B"/>
    <w:rsid w:val="008126D8"/>
    <w:rsid w:val="00862AAD"/>
    <w:rsid w:val="00AF479E"/>
    <w:rsid w:val="00B26728"/>
    <w:rsid w:val="00C33244"/>
    <w:rsid w:val="00CD2E67"/>
    <w:rsid w:val="00DA28B2"/>
    <w:rsid w:val="00DC67E1"/>
    <w:rsid w:val="00E265A9"/>
    <w:rsid w:val="00F6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DE50"/>
  <w15:chartTrackingRefBased/>
  <w15:docId w15:val="{CE31186D-39CA-F74A-8DE0-7B4D50B2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4A03"/>
    <w:rPr>
      <w:color w:val="0000FF"/>
      <w:u w:val="single"/>
    </w:rPr>
  </w:style>
  <w:style w:type="table" w:styleId="TableGrid">
    <w:name w:val="Table Grid"/>
    <w:basedOn w:val="TableNormal"/>
    <w:uiPriority w:val="39"/>
    <w:rsid w:val="002F4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4A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A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254095">
      <w:bodyDiv w:val="1"/>
      <w:marLeft w:val="0"/>
      <w:marRight w:val="0"/>
      <w:marTop w:val="0"/>
      <w:marBottom w:val="0"/>
      <w:divBdr>
        <w:top w:val="none" w:sz="0" w:space="0" w:color="auto"/>
        <w:left w:val="none" w:sz="0" w:space="0" w:color="auto"/>
        <w:bottom w:val="none" w:sz="0" w:space="0" w:color="auto"/>
        <w:right w:val="none" w:sz="0" w:space="0" w:color="auto"/>
      </w:divBdr>
    </w:div>
    <w:div w:id="1499031734">
      <w:bodyDiv w:val="1"/>
      <w:marLeft w:val="0"/>
      <w:marRight w:val="0"/>
      <w:marTop w:val="0"/>
      <w:marBottom w:val="0"/>
      <w:divBdr>
        <w:top w:val="none" w:sz="0" w:space="0" w:color="auto"/>
        <w:left w:val="none" w:sz="0" w:space="0" w:color="auto"/>
        <w:bottom w:val="none" w:sz="0" w:space="0" w:color="auto"/>
        <w:right w:val="none" w:sz="0" w:space="0" w:color="auto"/>
      </w:divBdr>
    </w:div>
    <w:div w:id="19248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ell.com/cell-chemical-biology/fulltext/S2451-9456(19)30073-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nienke.moret@gmail.com</dc:creator>
  <cp:keywords/>
  <dc:description/>
  <cp:lastModifiedBy>nienke.moret@gmail.com</cp:lastModifiedBy>
  <cp:revision>9</cp:revision>
  <cp:lastPrinted>2019-06-26T14:18:00Z</cp:lastPrinted>
  <dcterms:created xsi:type="dcterms:W3CDTF">2019-06-26T14:18:00Z</dcterms:created>
  <dcterms:modified xsi:type="dcterms:W3CDTF">2019-06-26T15:05:00Z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zotero-version="5.0.67.3"&gt;&lt;session id="egELO6x6"/&gt;&lt;style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