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CB676" w14:textId="4949EF77" w:rsidR="00571484" w:rsidRPr="00571484" w:rsidRDefault="00671438" w:rsidP="00571484">
      <w:pPr>
        <w:snapToGrid w:val="0"/>
        <w:spacing w:line="312" w:lineRule="auto"/>
        <w:ind w:firstLine="721"/>
        <w:jc w:val="center"/>
        <w:rPr>
          <w:rFonts w:ascii="Times New Roman" w:hAnsi="Times New Roman" w:cs="Times New Roman"/>
          <w:color w:val="auto"/>
          <w:kern w:val="2"/>
          <w:sz w:val="21"/>
          <w:szCs w:val="22"/>
          <w:lang w:eastAsia="zh-CN" w:bidi="ar-SA"/>
        </w:rPr>
      </w:pPr>
      <w:r w:rsidR="00571484" w:rsidRPr="00571484">
        <w:rPr>
          <w:rFonts w:ascii="华文中宋" w:eastAsia="华文中宋" w:hAnsi="华文中宋" w:cs="Times New Roman"/>
          <w:b/>
          <w:noProof/>
          <w:kern w:val="2"/>
          <w:sz w:val="36"/>
          <w:szCs w:val="36"/>
          <w:lang w:eastAsia="zh-CN" w:bidi="ar-SA"/>
        </w:rPr>
        <w:drawing>
          <wp:inline distT="0" distB="0" distL="0" distR="0" wp14:anchorId="7C7AC8EE" wp14:editId="0D7B2BBF">
            <wp:extent cx="1301750" cy="831850"/>
            <wp:effectExtent l="0" t="0" r="0" b="6350"/>
            <wp:docPr id="1324739087" name="图片 9" descr="资源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descr="资源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301750" cy="831850"/>
                    </a:xfrm>
                    <a:prstGeom prst="rect">
                      <a:avLst/>
                    </a:prstGeom>
                    <a:noFill/>
                    <a:ln>
                      <a:noFill/>
                    </a:ln>
                    <a:effectLst/>
                  </pic:spPr>
                </pic:pic>
              </a:graphicData>
            </a:graphic>
          </wp:inline>
        </w:drawing>
      </w:r>
      <w:r w:rsidR="00571484" w:rsidRPr="00571484">
        <w:rPr>
          <w:rFonts w:ascii="Times New Roman" w:hAnsi="Times New Roman" w:cs="Times New Roman"/>
          <w:noProof/>
          <w:color w:val="auto"/>
          <w:kern w:val="2"/>
          <w:sz w:val="21"/>
          <w:szCs w:val="22"/>
          <w:lang w:eastAsia="zh-CN" w:bidi="ar-SA"/>
        </w:rPr>
        <w:drawing>
          <wp:inline distT="0" distB="0" distL="0" distR="0" wp14:anchorId="0D7B5404" wp14:editId="32C7FAA9">
            <wp:extent cx="996950" cy="958850"/>
            <wp:effectExtent l="0" t="0" r="0" b="0"/>
            <wp:docPr id="98312517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996950" cy="958850"/>
                    </a:xfrm>
                    <a:prstGeom prst="rect">
                      <a:avLst/>
                    </a:prstGeom>
                    <a:noFill/>
                    <a:ln>
                      <a:noFill/>
                    </a:ln>
                    <a:effectLst/>
                  </pic:spPr>
                </pic:pic>
              </a:graphicData>
            </a:graphic>
          </wp:inline>
        </w:drawing>
      </w:r>
      <w:r w:rsidR="00571484" w:rsidRPr="00571484">
        <w:rPr>
          <w:rFonts w:ascii="华文中宋" w:eastAsia="华文中宋" w:hAnsi="华文中宋" w:cs="Times New Roman"/>
          <w:b/>
          <w:kern w:val="2"/>
          <w:sz w:val="36"/>
          <w:szCs w:val="36"/>
          <w:lang w:eastAsia="zh-CN" w:bidi="ar-SA"/>
        </w:rPr>
        <w:pict w14:anchorId="4F52D32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0" type="#_x0000_t75" style="width:79.5pt;height:79.5pt">
            <v:imagedata r:id="rId10" r:href="rId11"/>
          </v:shape>
        </w:pict>
      </w:r>
      <w:r w:rsidR="00571484" w:rsidRPr="00571484">
        <w:rPr>
          <w:rFonts w:ascii="Times New Roman" w:hAnsi="Times New Roman" w:cs="Times New Roman"/>
          <w:noProof/>
          <w:color w:val="auto"/>
          <w:kern w:val="2"/>
          <w:sz w:val="21"/>
          <w:szCs w:val="22"/>
          <w:lang w:eastAsia="zh-CN" w:bidi="ar-SA"/>
        </w:rPr>
        <w:drawing>
          <wp:inline distT="0" distB="0" distL="0" distR="0" wp14:anchorId="377C4841" wp14:editId="0FCFD26B">
            <wp:extent cx="869950" cy="819150"/>
            <wp:effectExtent l="0" t="0" r="6350" b="0"/>
            <wp:docPr id="75047353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8"/>
                    <pic:cNvPicPr>
                      <a:picLocks noChangeAspect="1" noChangeArrowheads="1"/>
                    </pic:cNvPicPr>
                  </pic:nvPicPr>
                  <pic:blipFill>
                    <a:blip r:embed="rId12" cstate="print">
                      <a:extLst>
                        <a:ext uri="{28A0092B-C50C-407E-A947-70E740481C1C}">
                          <a14:useLocalDpi xmlns:a14="http://schemas.microsoft.com/office/drawing/2010/main" val="0"/>
                        </a:ext>
                      </a:extLst>
                    </a:blip>
                    <a:srcRect r="71553"/>
                    <a:stretch>
                      <a:fillRect/>
                    </a:stretch>
                  </pic:blipFill>
                  <pic:spPr bwMode="auto">
                    <a:xfrm>
                      <a:off x="0" y="0"/>
                      <a:ext cx="869950" cy="819150"/>
                    </a:xfrm>
                    <a:prstGeom prst="rect">
                      <a:avLst/>
                    </a:prstGeom>
                    <a:noFill/>
                    <a:ln>
                      <a:noFill/>
                    </a:ln>
                  </pic:spPr>
                </pic:pic>
              </a:graphicData>
            </a:graphic>
          </wp:inline>
        </w:drawing>
      </w:r>
    </w:p>
    <w:p w14:paraId="5520A655" w14:textId="77777777" w:rsidR="00571484" w:rsidRPr="00571484" w:rsidRDefault="00571484" w:rsidP="00571484">
      <w:pPr>
        <w:snapToGrid w:val="0"/>
        <w:spacing w:line="312" w:lineRule="auto"/>
        <w:ind w:firstLineChars="0" w:firstLine="0"/>
        <w:jc w:val="center"/>
        <w:rPr>
          <w:rFonts w:ascii="华文中宋" w:eastAsia="华文中宋" w:hAnsi="华文中宋" w:cs="Times New Roman"/>
          <w:b/>
          <w:kern w:val="2"/>
          <w:sz w:val="36"/>
          <w:szCs w:val="36"/>
          <w:lang w:eastAsia="zh-CN" w:bidi="ar-SA"/>
        </w:rPr>
      </w:pPr>
    </w:p>
    <w:p w14:paraId="6099E012" w14:textId="77777777" w:rsidR="00571484" w:rsidRPr="00571484" w:rsidRDefault="00571484" w:rsidP="00571484">
      <w:pPr>
        <w:spacing w:line="20" w:lineRule="atLeast"/>
        <w:ind w:firstLineChars="0" w:firstLine="0"/>
        <w:jc w:val="center"/>
        <w:rPr>
          <w:rFonts w:ascii="华文新魏" w:eastAsia="华文新魏" w:hAnsi="宋体" w:cs="Times New Roman"/>
          <w:b/>
          <w:bCs/>
          <w:color w:val="auto"/>
          <w:kern w:val="2"/>
          <w:sz w:val="36"/>
          <w:szCs w:val="36"/>
          <w:lang w:eastAsia="zh-CN" w:bidi="ar-SA"/>
          <w14:shadow w14:blurRad="50800" w14:dist="38100" w14:dir="2700000" w14:sx="100000" w14:sy="100000" w14:kx="0" w14:ky="0" w14:algn="tl">
            <w14:srgbClr w14:val="000000">
              <w14:alpha w14:val="60000"/>
            </w14:srgbClr>
          </w14:shadow>
        </w:rPr>
      </w:pPr>
      <w:bookmarkStart w:id="0" w:name="OLE_LINK1"/>
      <w:bookmarkStart w:id="1" w:name="OLE_LINK2"/>
      <w:r w:rsidRPr="00571484">
        <w:rPr>
          <w:rFonts w:ascii="华文新魏" w:eastAsia="华文新魏" w:hAnsi="宋体" w:cs="Times New Roman"/>
          <w:b/>
          <w:bCs/>
          <w:color w:val="auto"/>
          <w:kern w:val="2"/>
          <w:sz w:val="36"/>
          <w:szCs w:val="36"/>
          <w:lang w:eastAsia="zh-CN" w:bidi="ar-SA"/>
          <w14:shadow w14:blurRad="50800" w14:dist="38100" w14:dir="2700000" w14:sx="100000" w14:sy="100000" w14:kx="0" w14:ky="0" w14:algn="tl">
            <w14:srgbClr w14:val="000000">
              <w14:alpha w14:val="60000"/>
            </w14:srgbClr>
          </w14:shadow>
        </w:rPr>
        <w:t>中国研究生创新实践系列大赛</w:t>
      </w:r>
    </w:p>
    <w:p w14:paraId="0A36008A" w14:textId="77777777" w:rsidR="00571484" w:rsidRPr="00571484" w:rsidRDefault="00571484" w:rsidP="00571484">
      <w:pPr>
        <w:spacing w:line="20" w:lineRule="atLeast"/>
        <w:ind w:firstLineChars="0" w:firstLine="0"/>
        <w:jc w:val="center"/>
        <w:rPr>
          <w:rFonts w:ascii="华文新魏" w:eastAsia="华文新魏" w:hAnsi="宋体" w:cs="Times New Roman"/>
          <w:b/>
          <w:bCs/>
          <w:color w:val="auto"/>
          <w:kern w:val="2"/>
          <w:sz w:val="44"/>
          <w:szCs w:val="44"/>
          <w:lang w:eastAsia="zh-CN" w:bidi="ar-SA"/>
          <w14:shadow w14:blurRad="50800" w14:dist="38100" w14:dir="2700000" w14:sx="100000" w14:sy="100000" w14:kx="0" w14:ky="0" w14:algn="tl">
            <w14:srgbClr w14:val="000000">
              <w14:alpha w14:val="60000"/>
            </w14:srgbClr>
          </w14:shadow>
        </w:rPr>
      </w:pPr>
      <w:r w:rsidRPr="00571484">
        <w:rPr>
          <w:rFonts w:ascii="华文新魏" w:eastAsia="华文新魏" w:hAnsi="宋体" w:cs="Times New Roman"/>
          <w:b/>
          <w:bCs/>
          <w:color w:val="auto"/>
          <w:kern w:val="2"/>
          <w:sz w:val="44"/>
          <w:szCs w:val="44"/>
          <w:lang w:eastAsia="zh-CN" w:bidi="ar-SA"/>
          <w14:shadow w14:blurRad="50800" w14:dist="38100" w14:dir="2700000" w14:sx="100000" w14:sy="100000" w14:kx="0" w14:ky="0" w14:algn="tl">
            <w14:srgbClr w14:val="000000">
              <w14:alpha w14:val="60000"/>
            </w14:srgbClr>
          </w14:shadow>
        </w:rPr>
        <w:t xml:space="preserve"> </w:t>
      </w:r>
      <w:r w:rsidRPr="00571484">
        <w:rPr>
          <w:rFonts w:ascii="华文新魏" w:eastAsia="华文新魏" w:hAnsi="宋体" w:cs="Times New Roman"/>
          <w:b/>
          <w:bCs/>
          <w:color w:val="auto"/>
          <w:kern w:val="2"/>
          <w:sz w:val="44"/>
          <w:szCs w:val="44"/>
          <w:lang w:eastAsia="zh-CN" w:bidi="ar-SA"/>
          <w14:shadow w14:blurRad="50800" w14:dist="38100" w14:dir="2700000" w14:sx="100000" w14:sy="100000" w14:kx="0" w14:ky="0" w14:algn="tl">
            <w14:srgbClr w14:val="000000">
              <w14:alpha w14:val="60000"/>
            </w14:srgbClr>
          </w14:shadow>
        </w:rPr>
        <w:t>“</w:t>
      </w:r>
      <w:r w:rsidRPr="00571484">
        <w:rPr>
          <w:rFonts w:ascii="华文新魏" w:eastAsia="华文新魏" w:hAnsi="宋体" w:cs="Times New Roman"/>
          <w:b/>
          <w:bCs/>
          <w:color w:val="auto"/>
          <w:kern w:val="2"/>
          <w:sz w:val="44"/>
          <w:szCs w:val="44"/>
          <w:lang w:eastAsia="zh-CN" w:bidi="ar-SA"/>
          <w14:shadow w14:blurRad="50800" w14:dist="38100" w14:dir="2700000" w14:sx="100000" w14:sy="100000" w14:kx="0" w14:ky="0" w14:algn="tl">
            <w14:srgbClr w14:val="000000">
              <w14:alpha w14:val="60000"/>
            </w14:srgbClr>
          </w14:shadow>
        </w:rPr>
        <w:t>华为杯</w:t>
      </w:r>
      <w:r w:rsidRPr="00571484">
        <w:rPr>
          <w:rFonts w:ascii="华文新魏" w:eastAsia="华文新魏" w:hAnsi="宋体" w:cs="Times New Roman"/>
          <w:b/>
          <w:bCs/>
          <w:color w:val="auto"/>
          <w:kern w:val="2"/>
          <w:sz w:val="44"/>
          <w:szCs w:val="44"/>
          <w:lang w:eastAsia="zh-CN" w:bidi="ar-SA"/>
          <w14:shadow w14:blurRad="50800" w14:dist="38100" w14:dir="2700000" w14:sx="100000" w14:sy="100000" w14:kx="0" w14:ky="0" w14:algn="tl">
            <w14:srgbClr w14:val="000000">
              <w14:alpha w14:val="60000"/>
            </w14:srgbClr>
          </w14:shadow>
        </w:rPr>
        <w:t>”</w:t>
      </w:r>
      <w:bookmarkEnd w:id="0"/>
      <w:bookmarkEnd w:id="1"/>
      <w:r w:rsidRPr="00571484">
        <w:rPr>
          <w:rFonts w:ascii="华文新魏" w:eastAsia="华文新魏" w:hAnsi="宋体" w:cs="Times New Roman"/>
          <w:b/>
          <w:bCs/>
          <w:color w:val="auto"/>
          <w:kern w:val="2"/>
          <w:sz w:val="44"/>
          <w:szCs w:val="44"/>
          <w:lang w:eastAsia="zh-CN" w:bidi="ar-SA"/>
          <w14:shadow w14:blurRad="50800" w14:dist="38100" w14:dir="2700000" w14:sx="100000" w14:sy="100000" w14:kx="0" w14:ky="0" w14:algn="tl">
            <w14:srgbClr w14:val="000000">
              <w14:alpha w14:val="60000"/>
            </w14:srgbClr>
          </w14:shadow>
        </w:rPr>
        <w:t>第二十三届中国研究生</w:t>
      </w:r>
    </w:p>
    <w:p w14:paraId="54BF541F" w14:textId="77777777" w:rsidR="00571484" w:rsidRPr="00571484" w:rsidRDefault="00571484" w:rsidP="00571484">
      <w:pPr>
        <w:spacing w:line="20" w:lineRule="atLeast"/>
        <w:ind w:firstLineChars="0" w:firstLine="0"/>
        <w:jc w:val="center"/>
        <w:rPr>
          <w:rFonts w:ascii="华文新魏" w:eastAsia="华文新魏" w:hAnsi="宋体" w:cs="Times New Roman"/>
          <w:b/>
          <w:bCs/>
          <w:color w:val="auto"/>
          <w:kern w:val="2"/>
          <w:sz w:val="44"/>
          <w:szCs w:val="44"/>
          <w:lang w:eastAsia="zh-CN" w:bidi="ar-SA"/>
          <w14:shadow w14:blurRad="50800" w14:dist="38100" w14:dir="2700000" w14:sx="100000" w14:sy="100000" w14:kx="0" w14:ky="0" w14:algn="tl">
            <w14:srgbClr w14:val="000000">
              <w14:alpha w14:val="60000"/>
            </w14:srgbClr>
          </w14:shadow>
        </w:rPr>
      </w:pPr>
      <w:r w:rsidRPr="00571484">
        <w:rPr>
          <w:rFonts w:ascii="华文新魏" w:eastAsia="华文新魏" w:hAnsi="宋体" w:cs="Times New Roman"/>
          <w:b/>
          <w:bCs/>
          <w:color w:val="auto"/>
          <w:kern w:val="2"/>
          <w:sz w:val="44"/>
          <w:szCs w:val="44"/>
          <w:lang w:eastAsia="zh-CN" w:bidi="ar-SA"/>
          <w14:shadow w14:blurRad="50800" w14:dist="38100" w14:dir="2700000" w14:sx="100000" w14:sy="100000" w14:kx="0" w14:ky="0" w14:algn="tl">
            <w14:srgbClr w14:val="000000">
              <w14:alpha w14:val="60000"/>
            </w14:srgbClr>
          </w14:shadow>
        </w:rPr>
        <w:t>数学建模竞赛</w:t>
      </w:r>
    </w:p>
    <w:p w14:paraId="4B0B069F" w14:textId="77777777" w:rsidR="00571484" w:rsidRPr="00571484" w:rsidRDefault="00571484" w:rsidP="00571484">
      <w:pPr>
        <w:spacing w:line="20" w:lineRule="atLeast"/>
        <w:ind w:firstLineChars="0" w:firstLine="0"/>
        <w:jc w:val="center"/>
        <w:rPr>
          <w:rFonts w:ascii="Times New Roman" w:hAnsi="Times New Roman" w:cs="Times New Roman"/>
          <w:color w:val="auto"/>
          <w:kern w:val="2"/>
          <w:sz w:val="44"/>
          <w:szCs w:val="44"/>
          <w:lang w:eastAsia="zh-CN" w:bidi="ar-SA"/>
        </w:rPr>
      </w:pPr>
    </w:p>
    <w:tbl>
      <w:tblPr>
        <w:tblW w:w="0" w:type="auto"/>
        <w:jc w:val="center"/>
        <w:tblLayout w:type="fixed"/>
        <w:tblLook w:val="0000" w:firstRow="0" w:lastRow="0" w:firstColumn="0" w:lastColumn="0" w:noHBand="0" w:noVBand="0"/>
      </w:tblPr>
      <w:tblGrid>
        <w:gridCol w:w="1842"/>
        <w:gridCol w:w="6512"/>
      </w:tblGrid>
      <w:tr w:rsidR="00571484" w:rsidRPr="00571484" w14:paraId="6A58E2E1" w14:textId="77777777" w:rsidTr="00A5674E">
        <w:trPr>
          <w:trHeight w:val="1134"/>
          <w:jc w:val="center"/>
        </w:trPr>
        <w:tc>
          <w:tcPr>
            <w:tcW w:w="1842" w:type="dxa"/>
            <w:tcBorders>
              <w:bottom w:val="single" w:sz="12" w:space="0" w:color="auto"/>
            </w:tcBorders>
            <w:vAlign w:val="bottom"/>
          </w:tcPr>
          <w:p w14:paraId="0109E80B" w14:textId="77777777" w:rsidR="00571484" w:rsidRPr="00571484" w:rsidRDefault="00571484" w:rsidP="00571484">
            <w:pPr>
              <w:spacing w:line="20" w:lineRule="atLeast"/>
              <w:ind w:firstLineChars="0" w:firstLine="0"/>
              <w:jc w:val="both"/>
              <w:rPr>
                <w:rFonts w:ascii="Calibri" w:hAnsi="Calibri" w:cs="Calibri"/>
                <w:b/>
                <w:color w:val="auto"/>
                <w:kern w:val="2"/>
                <w:sz w:val="36"/>
                <w:szCs w:val="36"/>
                <w:lang w:eastAsia="zh-CN" w:bidi="ar-SA"/>
              </w:rPr>
            </w:pPr>
            <w:r w:rsidRPr="00571484">
              <w:rPr>
                <w:rFonts w:ascii="Calibri" w:hAnsi="Calibri" w:cs="Calibri"/>
                <w:b/>
                <w:color w:val="auto"/>
                <w:kern w:val="2"/>
                <w:sz w:val="36"/>
                <w:szCs w:val="36"/>
                <w:lang w:eastAsia="zh-CN" w:bidi="ar-SA"/>
              </w:rPr>
              <w:t>学</w:t>
            </w:r>
            <w:r w:rsidRPr="00571484">
              <w:rPr>
                <w:rFonts w:ascii="Calibri" w:hAnsi="Calibri" w:cs="Calibri"/>
                <w:b/>
                <w:color w:val="auto"/>
                <w:kern w:val="2"/>
                <w:sz w:val="36"/>
                <w:szCs w:val="36"/>
                <w:lang w:eastAsia="zh-CN" w:bidi="ar-SA"/>
              </w:rPr>
              <w:t xml:space="preserve">    </w:t>
            </w:r>
            <w:r w:rsidRPr="00571484">
              <w:rPr>
                <w:rFonts w:ascii="Calibri" w:hAnsi="Calibri" w:cs="Calibri"/>
                <w:b/>
                <w:color w:val="auto"/>
                <w:kern w:val="2"/>
                <w:sz w:val="36"/>
                <w:szCs w:val="36"/>
                <w:lang w:eastAsia="zh-CN" w:bidi="ar-SA"/>
              </w:rPr>
              <w:t>校</w:t>
            </w:r>
          </w:p>
        </w:tc>
        <w:tc>
          <w:tcPr>
            <w:tcW w:w="6512" w:type="dxa"/>
            <w:tcBorders>
              <w:bottom w:val="single" w:sz="12" w:space="0" w:color="auto"/>
            </w:tcBorders>
          </w:tcPr>
          <w:p w14:paraId="74179F25" w14:textId="77777777" w:rsidR="00571484" w:rsidRPr="00571484" w:rsidRDefault="00571484" w:rsidP="00571484">
            <w:pPr>
              <w:spacing w:line="20" w:lineRule="atLeast"/>
              <w:ind w:firstLineChars="0" w:firstLine="0"/>
              <w:jc w:val="both"/>
              <w:rPr>
                <w:rFonts w:ascii="Calibri" w:hAnsi="Calibri" w:cs="Calibri"/>
                <w:b/>
                <w:color w:val="auto"/>
                <w:kern w:val="2"/>
                <w:sz w:val="36"/>
                <w:szCs w:val="36"/>
                <w:lang w:eastAsia="zh-CN" w:bidi="ar-SA"/>
              </w:rPr>
            </w:pPr>
          </w:p>
          <w:p w14:paraId="494154A4" w14:textId="77777777" w:rsidR="00571484" w:rsidRPr="00571484" w:rsidRDefault="00571484" w:rsidP="00571484">
            <w:pPr>
              <w:spacing w:line="20" w:lineRule="atLeast"/>
              <w:ind w:firstLineChars="0" w:firstLine="0"/>
              <w:jc w:val="both"/>
              <w:rPr>
                <w:rFonts w:ascii="Calibri" w:hAnsi="Calibri" w:cs="Calibri" w:hint="eastAsia"/>
                <w:b/>
                <w:color w:val="auto"/>
                <w:kern w:val="2"/>
                <w:sz w:val="36"/>
                <w:szCs w:val="36"/>
                <w:lang w:eastAsia="zh-CN" w:bidi="ar-SA"/>
              </w:rPr>
            </w:pPr>
          </w:p>
        </w:tc>
      </w:tr>
      <w:tr w:rsidR="00571484" w:rsidRPr="00571484" w14:paraId="65E1C36D" w14:textId="77777777" w:rsidTr="00A5674E">
        <w:trPr>
          <w:trHeight w:val="1134"/>
          <w:jc w:val="center"/>
        </w:trPr>
        <w:tc>
          <w:tcPr>
            <w:tcW w:w="1842" w:type="dxa"/>
            <w:tcBorders>
              <w:top w:val="single" w:sz="12" w:space="0" w:color="auto"/>
              <w:bottom w:val="single" w:sz="12" w:space="0" w:color="auto"/>
            </w:tcBorders>
            <w:vAlign w:val="bottom"/>
          </w:tcPr>
          <w:p w14:paraId="6F04C0A1" w14:textId="77777777" w:rsidR="00571484" w:rsidRPr="00571484" w:rsidRDefault="00571484" w:rsidP="00571484">
            <w:pPr>
              <w:spacing w:line="20" w:lineRule="atLeast"/>
              <w:ind w:firstLineChars="0" w:firstLine="0"/>
              <w:jc w:val="center"/>
              <w:rPr>
                <w:rFonts w:ascii="Calibri" w:hAnsi="Calibri" w:cs="Calibri"/>
                <w:b/>
                <w:color w:val="auto"/>
                <w:kern w:val="2"/>
                <w:sz w:val="36"/>
                <w:szCs w:val="36"/>
                <w:lang w:eastAsia="zh-CN" w:bidi="ar-SA"/>
              </w:rPr>
            </w:pPr>
            <w:r w:rsidRPr="00571484">
              <w:rPr>
                <w:rFonts w:ascii="Calibri" w:hAnsi="Calibri" w:cs="Calibri"/>
                <w:b/>
                <w:color w:val="auto"/>
                <w:kern w:val="2"/>
                <w:sz w:val="36"/>
                <w:szCs w:val="36"/>
                <w:lang w:eastAsia="zh-CN" w:bidi="ar-SA"/>
              </w:rPr>
              <w:t>参赛队号</w:t>
            </w:r>
          </w:p>
        </w:tc>
        <w:tc>
          <w:tcPr>
            <w:tcW w:w="6512" w:type="dxa"/>
            <w:tcBorders>
              <w:top w:val="single" w:sz="12" w:space="0" w:color="auto"/>
              <w:bottom w:val="single" w:sz="12" w:space="0" w:color="auto"/>
            </w:tcBorders>
          </w:tcPr>
          <w:p w14:paraId="245EDA19" w14:textId="77777777" w:rsidR="00571484" w:rsidRPr="00571484" w:rsidRDefault="00571484" w:rsidP="00571484">
            <w:pPr>
              <w:spacing w:line="20" w:lineRule="atLeast"/>
              <w:ind w:firstLineChars="0" w:firstLine="0"/>
              <w:jc w:val="both"/>
              <w:rPr>
                <w:rFonts w:ascii="Calibri" w:hAnsi="Calibri" w:cs="Calibri"/>
                <w:b/>
                <w:color w:val="auto"/>
                <w:kern w:val="2"/>
                <w:sz w:val="36"/>
                <w:szCs w:val="36"/>
                <w:lang w:eastAsia="zh-CN" w:bidi="ar-SA"/>
              </w:rPr>
            </w:pPr>
          </w:p>
        </w:tc>
      </w:tr>
      <w:tr w:rsidR="00571484" w:rsidRPr="00571484" w14:paraId="40D33DEF" w14:textId="77777777" w:rsidTr="00A5674E">
        <w:trPr>
          <w:trHeight w:val="625"/>
          <w:jc w:val="center"/>
        </w:trPr>
        <w:tc>
          <w:tcPr>
            <w:tcW w:w="1842" w:type="dxa"/>
            <w:vMerge w:val="restart"/>
            <w:tcBorders>
              <w:top w:val="single" w:sz="12" w:space="0" w:color="auto"/>
            </w:tcBorders>
            <w:vAlign w:val="center"/>
          </w:tcPr>
          <w:p w14:paraId="21131E57" w14:textId="77777777" w:rsidR="00571484" w:rsidRPr="00571484" w:rsidRDefault="00571484" w:rsidP="00571484">
            <w:pPr>
              <w:spacing w:line="20" w:lineRule="atLeast"/>
              <w:ind w:firstLineChars="0" w:firstLine="0"/>
              <w:jc w:val="center"/>
              <w:rPr>
                <w:rFonts w:ascii="Calibri" w:hAnsi="Calibri" w:cs="Calibri"/>
                <w:b/>
                <w:color w:val="auto"/>
                <w:kern w:val="2"/>
                <w:sz w:val="36"/>
                <w:szCs w:val="36"/>
                <w:lang w:eastAsia="zh-CN" w:bidi="ar-SA"/>
              </w:rPr>
            </w:pPr>
            <w:r w:rsidRPr="00571484">
              <w:rPr>
                <w:rFonts w:ascii="Calibri" w:hAnsi="Calibri" w:cs="Calibri"/>
                <w:b/>
                <w:color w:val="auto"/>
                <w:kern w:val="2"/>
                <w:sz w:val="36"/>
                <w:szCs w:val="36"/>
                <w:lang w:eastAsia="zh-CN" w:bidi="ar-SA"/>
              </w:rPr>
              <w:t>队员姓名</w:t>
            </w:r>
          </w:p>
        </w:tc>
        <w:tc>
          <w:tcPr>
            <w:tcW w:w="6512" w:type="dxa"/>
            <w:tcBorders>
              <w:top w:val="single" w:sz="12" w:space="0" w:color="auto"/>
              <w:bottom w:val="single" w:sz="8" w:space="0" w:color="auto"/>
            </w:tcBorders>
          </w:tcPr>
          <w:p w14:paraId="757FBF1A" w14:textId="77777777" w:rsidR="00571484" w:rsidRPr="00571484" w:rsidRDefault="00571484" w:rsidP="00571484">
            <w:pPr>
              <w:spacing w:line="20" w:lineRule="atLeast"/>
              <w:ind w:firstLineChars="0" w:firstLine="0"/>
              <w:jc w:val="both"/>
              <w:rPr>
                <w:rFonts w:ascii="Calibri" w:hAnsi="Calibri" w:cs="Calibri"/>
                <w:b/>
                <w:color w:val="auto"/>
                <w:kern w:val="2"/>
                <w:sz w:val="36"/>
                <w:szCs w:val="36"/>
                <w:lang w:eastAsia="zh-CN" w:bidi="ar-SA"/>
              </w:rPr>
            </w:pPr>
            <w:r w:rsidRPr="00571484">
              <w:rPr>
                <w:rFonts w:ascii="Calibri" w:hAnsi="Calibri" w:cs="Calibri"/>
                <w:b/>
                <w:color w:val="auto"/>
                <w:kern w:val="2"/>
                <w:sz w:val="36"/>
                <w:szCs w:val="36"/>
                <w:lang w:eastAsia="zh-CN" w:bidi="ar-SA"/>
              </w:rPr>
              <w:t>1.</w:t>
            </w:r>
          </w:p>
        </w:tc>
      </w:tr>
      <w:tr w:rsidR="00571484" w:rsidRPr="00571484" w14:paraId="7C4089D9" w14:textId="77777777" w:rsidTr="00A5674E">
        <w:trPr>
          <w:trHeight w:val="625"/>
          <w:jc w:val="center"/>
        </w:trPr>
        <w:tc>
          <w:tcPr>
            <w:tcW w:w="1842" w:type="dxa"/>
            <w:vMerge/>
            <w:vAlign w:val="center"/>
          </w:tcPr>
          <w:p w14:paraId="02FBCC79" w14:textId="77777777" w:rsidR="00571484" w:rsidRPr="00571484" w:rsidRDefault="00571484" w:rsidP="00571484">
            <w:pPr>
              <w:spacing w:line="20" w:lineRule="atLeast"/>
              <w:ind w:firstLineChars="0" w:firstLine="0"/>
              <w:jc w:val="center"/>
              <w:rPr>
                <w:rFonts w:ascii="Calibri" w:hAnsi="Calibri" w:cs="Calibri"/>
                <w:b/>
                <w:color w:val="auto"/>
                <w:kern w:val="2"/>
                <w:sz w:val="36"/>
                <w:szCs w:val="36"/>
                <w:lang w:eastAsia="zh-CN" w:bidi="ar-SA"/>
              </w:rPr>
            </w:pPr>
          </w:p>
        </w:tc>
        <w:tc>
          <w:tcPr>
            <w:tcW w:w="6512" w:type="dxa"/>
            <w:tcBorders>
              <w:top w:val="single" w:sz="8" w:space="0" w:color="auto"/>
              <w:bottom w:val="single" w:sz="8" w:space="0" w:color="auto"/>
            </w:tcBorders>
          </w:tcPr>
          <w:p w14:paraId="10DFFED9" w14:textId="77777777" w:rsidR="00571484" w:rsidRPr="00571484" w:rsidRDefault="00571484" w:rsidP="00571484">
            <w:pPr>
              <w:spacing w:line="20" w:lineRule="atLeast"/>
              <w:ind w:firstLineChars="0" w:firstLine="0"/>
              <w:jc w:val="both"/>
              <w:rPr>
                <w:rFonts w:ascii="Calibri" w:hAnsi="Calibri" w:cs="Calibri"/>
                <w:b/>
                <w:color w:val="auto"/>
                <w:kern w:val="2"/>
                <w:sz w:val="36"/>
                <w:szCs w:val="36"/>
                <w:lang w:eastAsia="zh-CN" w:bidi="ar-SA"/>
              </w:rPr>
            </w:pPr>
            <w:r w:rsidRPr="00571484">
              <w:rPr>
                <w:rFonts w:ascii="Calibri" w:hAnsi="Calibri" w:cs="Calibri"/>
                <w:b/>
                <w:color w:val="auto"/>
                <w:kern w:val="2"/>
                <w:sz w:val="36"/>
                <w:szCs w:val="36"/>
                <w:lang w:eastAsia="zh-CN" w:bidi="ar-SA"/>
              </w:rPr>
              <w:t>2.</w:t>
            </w:r>
          </w:p>
        </w:tc>
      </w:tr>
      <w:tr w:rsidR="00571484" w:rsidRPr="00571484" w14:paraId="2F9686AD" w14:textId="77777777" w:rsidTr="00A5674E">
        <w:trPr>
          <w:trHeight w:val="625"/>
          <w:jc w:val="center"/>
        </w:trPr>
        <w:tc>
          <w:tcPr>
            <w:tcW w:w="1842" w:type="dxa"/>
            <w:vMerge/>
            <w:tcBorders>
              <w:bottom w:val="single" w:sz="12" w:space="0" w:color="auto"/>
            </w:tcBorders>
            <w:vAlign w:val="center"/>
          </w:tcPr>
          <w:p w14:paraId="52F53175" w14:textId="77777777" w:rsidR="00571484" w:rsidRPr="00571484" w:rsidRDefault="00571484" w:rsidP="00571484">
            <w:pPr>
              <w:spacing w:line="20" w:lineRule="atLeast"/>
              <w:ind w:firstLineChars="0" w:firstLine="0"/>
              <w:jc w:val="center"/>
              <w:rPr>
                <w:rFonts w:ascii="Calibri" w:hAnsi="Calibri" w:cs="Calibri"/>
                <w:b/>
                <w:color w:val="auto"/>
                <w:kern w:val="2"/>
                <w:sz w:val="36"/>
                <w:szCs w:val="36"/>
                <w:lang w:eastAsia="zh-CN" w:bidi="ar-SA"/>
              </w:rPr>
            </w:pPr>
          </w:p>
        </w:tc>
        <w:tc>
          <w:tcPr>
            <w:tcW w:w="6512" w:type="dxa"/>
            <w:tcBorders>
              <w:top w:val="single" w:sz="8" w:space="0" w:color="auto"/>
              <w:bottom w:val="single" w:sz="12" w:space="0" w:color="auto"/>
            </w:tcBorders>
          </w:tcPr>
          <w:p w14:paraId="23773770" w14:textId="77777777" w:rsidR="00571484" w:rsidRPr="00571484" w:rsidRDefault="00571484" w:rsidP="00571484">
            <w:pPr>
              <w:spacing w:line="20" w:lineRule="atLeast"/>
              <w:ind w:firstLineChars="0" w:firstLine="0"/>
              <w:jc w:val="both"/>
              <w:rPr>
                <w:rFonts w:ascii="Calibri" w:hAnsi="Calibri" w:cs="Calibri"/>
                <w:b/>
                <w:color w:val="auto"/>
                <w:kern w:val="2"/>
                <w:sz w:val="36"/>
                <w:szCs w:val="36"/>
                <w:lang w:eastAsia="zh-CN" w:bidi="ar-SA"/>
              </w:rPr>
            </w:pPr>
            <w:r w:rsidRPr="00571484">
              <w:rPr>
                <w:rFonts w:ascii="Calibri" w:hAnsi="Calibri" w:cs="Calibri"/>
                <w:b/>
                <w:color w:val="auto"/>
                <w:kern w:val="2"/>
                <w:sz w:val="36"/>
                <w:szCs w:val="36"/>
                <w:lang w:eastAsia="zh-CN" w:bidi="ar-SA"/>
              </w:rPr>
              <w:t>3.</w:t>
            </w:r>
          </w:p>
        </w:tc>
      </w:tr>
    </w:tbl>
    <w:p>
      <w:pPr>
        <w:sectPr>
          <w:footerReference w:type="default" r:id="rId18"/>
          <w:pgSz w:w="11900" w:h="16840"/>
          <w:pgMar w:top="2396" w:right="1251" w:bottom="2396" w:left="1251" w:header="1968" w:footer="3" w:gutter="0"/>
          <w:pgNumType w:start="1"/>
          <w:cols w:space="720"/>
          <w:noEndnote/>
          <w:docGrid w:linePitch="360"/>
        </w:sectPr>
      </w:pPr>
    </w:p>
    <w:p w14:paraId="06EEF611" w14:textId="77777777" w:rsidR="00571484" w:rsidRPr="00571484" w:rsidRDefault="00571484" w:rsidP="00571484">
      <w:pPr>
        <w:spacing w:line="20" w:lineRule="atLeast"/>
        <w:ind w:firstLineChars="0" w:firstLine="0"/>
        <w:jc w:val="center"/>
        <w:rPr>
          <w:rFonts w:ascii="华文新魏" w:eastAsia="华文新魏" w:hAnsi="宋体" w:cs="Times New Roman"/>
          <w:b/>
          <w:bCs/>
          <w:color w:val="auto"/>
          <w:kern w:val="2"/>
          <w:sz w:val="36"/>
          <w:szCs w:val="36"/>
          <w:lang w:eastAsia="zh-CN" w:bidi="ar-SA"/>
          <w14:shadow w14:blurRad="50800" w14:dist="38100" w14:dir="2700000" w14:sx="100000" w14:sy="100000" w14:kx="0" w14:ky="0" w14:algn="tl">
            <w14:srgbClr w14:val="000000">
              <w14:alpha w14:val="60000"/>
            </w14:srgbClr>
          </w14:shadow>
        </w:rPr>
      </w:pPr>
      <w:r w:rsidRPr="00571484">
        <w:rPr>
          <w:rFonts w:ascii="华文新魏" w:eastAsia="华文新魏" w:hAnsi="宋体" w:cs="Times New Roman"/>
          <w:b/>
          <w:bCs/>
          <w:color w:val="auto"/>
          <w:kern w:val="2"/>
          <w:sz w:val="36"/>
          <w:szCs w:val="36"/>
          <w:lang w:eastAsia="zh-CN" w:bidi="ar-SA"/>
          <w14:shadow w14:blurRad="50800" w14:dist="38100" w14:dir="2700000" w14:sx="100000" w14:sy="100000" w14:kx="0" w14:ky="0" w14:algn="tl">
            <w14:srgbClr w14:val="000000">
              <w14:alpha w14:val="60000"/>
            </w14:srgbClr>
          </w14:shadow>
        </w:rPr>
        <w:t>中国研究生创新实践系列大赛</w:t>
      </w:r>
    </w:p>
    <w:p w14:paraId="1862AA78" w14:textId="77777777" w:rsidR="00571484" w:rsidRPr="00571484" w:rsidRDefault="00571484" w:rsidP="00571484">
      <w:pPr>
        <w:spacing w:line="20" w:lineRule="atLeast"/>
        <w:ind w:firstLineChars="0" w:firstLine="0"/>
        <w:jc w:val="center"/>
        <w:rPr>
          <w:rFonts w:ascii="华文新魏" w:eastAsia="华文新魏" w:hAnsi="宋体" w:cs="Times New Roman"/>
          <w:b/>
          <w:bCs/>
          <w:color w:val="auto"/>
          <w:kern w:val="2"/>
          <w:sz w:val="44"/>
          <w:szCs w:val="44"/>
          <w:lang w:eastAsia="zh-CN" w:bidi="ar-SA"/>
          <w14:shadow w14:blurRad="50800" w14:dist="38100" w14:dir="2700000" w14:sx="100000" w14:sy="100000" w14:kx="0" w14:ky="0" w14:algn="tl">
            <w14:srgbClr w14:val="000000">
              <w14:alpha w14:val="60000"/>
            </w14:srgbClr>
          </w14:shadow>
        </w:rPr>
      </w:pPr>
      <w:r w:rsidRPr="00571484">
        <w:rPr>
          <w:rFonts w:ascii="华文新魏" w:eastAsia="华文新魏" w:hAnsi="宋体" w:cs="Times New Roman"/>
          <w:b/>
          <w:bCs/>
          <w:color w:val="auto"/>
          <w:kern w:val="2"/>
          <w:sz w:val="44"/>
          <w:szCs w:val="44"/>
          <w:lang w:eastAsia="zh-CN" w:bidi="ar-SA"/>
          <w14:shadow w14:blurRad="50800" w14:dist="38100" w14:dir="2700000" w14:sx="100000" w14:sy="100000" w14:kx="0" w14:ky="0" w14:algn="tl">
            <w14:srgbClr w14:val="000000">
              <w14:alpha w14:val="60000"/>
            </w14:srgbClr>
          </w14:shadow>
        </w:rPr>
        <w:t xml:space="preserve"> </w:t>
      </w:r>
      <w:r w:rsidRPr="00571484">
        <w:rPr>
          <w:rFonts w:ascii="华文新魏" w:eastAsia="华文新魏" w:hAnsi="宋体" w:cs="Times New Roman"/>
          <w:b/>
          <w:bCs/>
          <w:color w:val="auto"/>
          <w:kern w:val="2"/>
          <w:sz w:val="44"/>
          <w:szCs w:val="44"/>
          <w:lang w:eastAsia="zh-CN" w:bidi="ar-SA"/>
          <w14:shadow w14:blurRad="50800" w14:dist="38100" w14:dir="2700000" w14:sx="100000" w14:sy="100000" w14:kx="0" w14:ky="0" w14:algn="tl">
            <w14:srgbClr w14:val="000000">
              <w14:alpha w14:val="60000"/>
            </w14:srgbClr>
          </w14:shadow>
        </w:rPr>
        <w:t>“</w:t>
      </w:r>
      <w:r w:rsidRPr="00571484">
        <w:rPr>
          <w:rFonts w:ascii="华文新魏" w:eastAsia="华文新魏" w:hAnsi="宋体" w:cs="Times New Roman"/>
          <w:b/>
          <w:bCs/>
          <w:color w:val="auto"/>
          <w:kern w:val="2"/>
          <w:sz w:val="44"/>
          <w:szCs w:val="44"/>
          <w:lang w:eastAsia="zh-CN" w:bidi="ar-SA"/>
          <w14:shadow w14:blurRad="50800" w14:dist="38100" w14:dir="2700000" w14:sx="100000" w14:sy="100000" w14:kx="0" w14:ky="0" w14:algn="tl">
            <w14:srgbClr w14:val="000000">
              <w14:alpha w14:val="60000"/>
            </w14:srgbClr>
          </w14:shadow>
        </w:rPr>
        <w:t>华为杯</w:t>
      </w:r>
      <w:r w:rsidRPr="00571484">
        <w:rPr>
          <w:rFonts w:ascii="华文新魏" w:eastAsia="华文新魏" w:hAnsi="宋体" w:cs="Times New Roman"/>
          <w:b/>
          <w:bCs/>
          <w:color w:val="auto"/>
          <w:kern w:val="2"/>
          <w:sz w:val="44"/>
          <w:szCs w:val="44"/>
          <w:lang w:eastAsia="zh-CN" w:bidi="ar-SA"/>
          <w14:shadow w14:blurRad="50800" w14:dist="38100" w14:dir="2700000" w14:sx="100000" w14:sy="100000" w14:kx="0" w14:ky="0" w14:algn="tl">
            <w14:srgbClr w14:val="000000">
              <w14:alpha w14:val="60000"/>
            </w14:srgbClr>
          </w14:shadow>
        </w:rPr>
        <w:t>”</w:t>
      </w:r>
      <w:r w:rsidRPr="00571484">
        <w:rPr>
          <w:rFonts w:ascii="华文新魏" w:eastAsia="华文新魏" w:hAnsi="宋体" w:cs="Times New Roman"/>
          <w:b/>
          <w:bCs/>
          <w:color w:val="auto"/>
          <w:kern w:val="2"/>
          <w:sz w:val="44"/>
          <w:szCs w:val="44"/>
          <w:lang w:eastAsia="zh-CN" w:bidi="ar-SA"/>
          <w14:shadow w14:blurRad="50800" w14:dist="38100" w14:dir="2700000" w14:sx="100000" w14:sy="100000" w14:kx="0" w14:ky="0" w14:algn="tl">
            <w14:srgbClr w14:val="000000">
              <w14:alpha w14:val="60000"/>
            </w14:srgbClr>
          </w14:shadow>
        </w:rPr>
        <w:t>第二十三届中国研究生</w:t>
      </w:r>
    </w:p>
    <w:p w14:paraId="1C326B3A" w14:textId="77777777" w:rsidR="00571484" w:rsidRPr="00571484" w:rsidRDefault="00571484" w:rsidP="00571484">
      <w:pPr>
        <w:spacing w:line="20" w:lineRule="atLeast"/>
        <w:ind w:firstLineChars="0" w:firstLine="0"/>
        <w:jc w:val="center"/>
        <w:rPr>
          <w:rFonts w:ascii="华文新魏" w:eastAsia="华文新魏" w:hAnsi="宋体" w:cs="Times New Roman"/>
          <w:b/>
          <w:bCs/>
          <w:color w:val="auto"/>
          <w:kern w:val="2"/>
          <w:sz w:val="44"/>
          <w:szCs w:val="44"/>
          <w:lang w:eastAsia="zh-CN" w:bidi="ar-SA"/>
          <w14:shadow w14:blurRad="50800" w14:dist="38100" w14:dir="2700000" w14:sx="100000" w14:sy="100000" w14:kx="0" w14:ky="0" w14:algn="tl">
            <w14:srgbClr w14:val="000000">
              <w14:alpha w14:val="60000"/>
            </w14:srgbClr>
          </w14:shadow>
        </w:rPr>
      </w:pPr>
      <w:r w:rsidRPr="00571484">
        <w:rPr>
          <w:rFonts w:ascii="华文新魏" w:eastAsia="华文新魏" w:hAnsi="宋体" w:cs="Times New Roman"/>
          <w:b/>
          <w:bCs/>
          <w:color w:val="auto"/>
          <w:kern w:val="2"/>
          <w:sz w:val="44"/>
          <w:szCs w:val="44"/>
          <w:lang w:eastAsia="zh-CN" w:bidi="ar-SA"/>
          <w14:shadow w14:blurRad="50800" w14:dist="38100" w14:dir="2700000" w14:sx="100000" w14:sy="100000" w14:kx="0" w14:ky="0" w14:algn="tl">
            <w14:srgbClr w14:val="000000">
              <w14:alpha w14:val="60000"/>
            </w14:srgbClr>
          </w14:shadow>
        </w:rPr>
        <w:t>数学建模竞赛</w:t>
      </w:r>
    </w:p>
    <w:p>
      <w:pPr>
        <w:pStyle w:val="a2"/>
        <w:widowControl/>
        <w:spacing w:before="280" w:after="160"/>
        <w:ind w:firstLine="0" w:firstLineChars="0" w:leftChars="0"/>
      </w:pPr>
      <w:r>
        <w:rPr>
          <w:rFonts w:ascii="Times New Roman" w:hAnsi="Times New Roman" w:eastAsia="宋体"/>
          <w:b/>
          <w:sz w:val="28"/>
        </w:rPr>
        <w:t>题目：复杂场景下多模态情感预测的数学建模与算法设计</w:t>
      </w:r>
    </w:p>
    <w:p w14:paraId="473F3D9D" w14:textId="77777777" w:rsidR="00571484" w:rsidRPr="00571484" w:rsidRDefault="00571484" w:rsidP="00571484">
      <w:pPr>
        <w:spacing w:line="360" w:lineRule="auto"/>
        <w:ind w:firstLineChars="0" w:firstLine="0"/>
        <w:jc w:val="center"/>
        <w:rPr>
          <w:rFonts w:ascii="隶书" w:eastAsia="隶书" w:hAnsi="宋体" w:cs="Times New Roman"/>
          <w:color w:val="auto"/>
          <w:kern w:val="2"/>
          <w:sz w:val="36"/>
          <w:szCs w:val="22"/>
          <w:lang w:eastAsia="zh-CN" w:bidi="ar-SA"/>
        </w:rPr>
      </w:pPr>
      <w:r w:rsidRPr="00571484">
        <w:rPr>
          <w:rFonts w:ascii="隶书" w:eastAsia="隶书" w:hAnsi="宋体" w:cs="Times New Roman"/>
          <w:color w:val="auto"/>
          <w:kern w:val="2"/>
          <w:sz w:val="36"/>
          <w:szCs w:val="22"/>
          <w:lang w:eastAsia="zh-CN" w:bidi="ar-SA"/>
        </w:rPr>
        <w:t>摘 要：</w:t>
      </w:r>
    </w:p>
    <w:p>
      <w:pPr>
        <w:pStyle w:val="a2"/>
        <w:widowControl/>
        <w:spacing w:before="60" w:after="60" w:line="264" w:lineRule="auto"/>
      </w:pPr>
      <w:r>
        <w:rPr>
          <w:rFonts w:ascii="Times New Roman" w:hAnsi="Times New Roman" w:eastAsia="宋体"/>
          <w:sz w:val="21"/>
        </w:rPr>
        <w:t>针对多模态时间尺度差异、局部观测缺失与预测依据难以追溯的问题，本文以赛题附件为基础开展数据审查与建模。首先区分内容位置、原始可用观测和人工遮挡，修正专项文本缺失标记的处理，并统一训练与推理输入。第一问给出词级时间定位和区间重叠聚合方案，已核查100条原视频，自主特征与对齐实验尚待完成。</w:t>
      </w:r>
    </w:p>
    <w:p>
      <w:pPr>
        <w:pStyle w:val="a2"/>
        <w:widowControl/>
        <w:spacing w:before="60" w:after="60" w:line="264" w:lineRule="auto"/>
      </w:pPr>
      <w:r>
        <w:rPr>
          <w:rFonts w:ascii="Times New Roman" w:hAnsi="Times New Roman" w:eastAsia="宋体"/>
          <w:sz w:val="21"/>
        </w:rPr>
        <w:t>第二问在3395条训练、728条验证样本上，比较池化融合、观测状态递推及MulT、EMT-DLFR适配模型，分析连续缺失与核心机制。按预定三种子四条件规则选中EMT-DLFR，其未追加人工遮挡的集成Macro-F1为0.5548、MAE为0.6348。相较MLP，MAE降低0.0240，但Accuracy略降；恢复约束与递推机制均未在所有条件稳定占优。文本50%遮挡时，分类与回归表现亦呈现不同取舍。</w:t>
      </w:r>
    </w:p>
    <w:p>
      <w:pPr>
        <w:pStyle w:val="a2"/>
        <w:widowControl/>
        <w:spacing w:before="60" w:after="60" w:line="264" w:lineRule="auto"/>
      </w:pPr>
      <w:r>
        <w:rPr>
          <w:rFonts w:ascii="Times New Roman" w:hAnsi="Times New Roman" w:eastAsia="宋体"/>
          <w:sz w:val="21"/>
        </w:rPr>
        <w:t>现已完成附件3全部30条预测及复现检查。第三问提出模态子集扰动、局部删除和原素材定位的候选验证方案，尚无专项解释实测。本稿将数学依据、开发验证结论和待实施设计分别陈述，为后续完善三问提供可核验基础。</w:t>
      </w:r>
    </w:p>
    <w:p>
      <w:pPr>
        <w:pStyle w:val="a2"/>
        <w:widowControl/>
        <w:ind w:firstLine="0" w:firstLineChars="0" w:leftChars="0"/>
      </w:pPr>
      <w:r>
        <w:rPr>
          <w:rFonts w:ascii="Times New Roman" w:hAnsi="Times New Roman" w:eastAsia="宋体"/>
          <w:b/>
          <w:sz w:val="21"/>
        </w:rPr>
        <w:t>关键词：多模态情感预测；连续局部缺失；观测状态递推；跨模态恢复；证据追溯</w:t>
      </w:r>
    </w:p>
    <w:p>
      <w:pPr>
        <w:pStyle w:val="a2"/>
        <w:widowControl/>
        <w:ind w:firstLine="0" w:firstLineChars="0" w:leftChars="0"/>
      </w:pPr>
      <w:r>
        <w:rPr>
          <w:rFonts w:ascii="Times New Roman" w:hAnsi="Times New Roman" w:eastAsia="宋体"/>
          <w:sz w:val="18"/>
        </w:rPr>
        <w:t>阶段性工作稿：第一问与第三问尚待补齐实测成果。</w:t>
      </w:r>
    </w:p>
    <w:p>
      <w:pPr>
        <w:sectPr>
          <w:footerReference w:type="default" r:id="rId21"/>
          <w:pgSz w:w="11900" w:h="16840"/>
          <w:pgMar w:top="2396" w:right="1251" w:bottom="2396" w:left="1251" w:header="1968" w:footer="3" w:gutter="0"/>
          <w:pgNumType w:start="1"/>
          <w:cols w:space="720"/>
          <w:noEndnote/>
          <w:docGrid w:linePitch="360"/>
        </w:sectPr>
      </w:pPr>
    </w:p>
    <w:p>
      <w:pPr>
        <w:pStyle w:val="11"/>
        <w:ind w:firstLine="0" w:firstLineChars="0" w:leftChars="0"/>
      </w:pPr>
      <w:r>
        <w:t>目录</w:t>
      </w:r>
    </w:p>
    <w:sdt>
      <w:sdtPr>
        <w:docPartObj>
          <w:docPartGallery w:val="Table of Contents"/>
        </w:docPartObj>
      </w:sdtPr>
      <w:sdtContent>
        <w:p>
          <w:pPr>
            <w:pStyle w:val="工作稿目录1"/>
            <w:tabs>
              <w:tab w:pos="9354" w:val="right" w:leader="dot"/>
            </w:tabs>
            <w:ind w:firstLine="0" w:firstLineChars="0" w:leftChars="0" w:left="0"/>
          </w:pPr>
          <w:r>
            <w:fldChar w:fldCharType="begin"/>
          </w:r>
          <w:r>
            <w:instrText xml:space="preserve"> TOC \o "1-2" \h \z \u </w:instrText>
          </w:r>
          <w:r>
            <w:fldChar w:fldCharType="separate"/>
          </w:r>
          <w:r>
            <w:t>1 问题重述与分析</w:t>
          </w:r>
          <w:r>
            <w:tab/>
          </w:r>
          <w:r>
            <w:fldChar w:fldCharType="begin"/>
          </w:r>
          <w:r>
            <w:instrText xml:space="preserve"> PAGEREF _PaperHeading000 \h </w:instrText>
          </w:r>
          <w:r>
            <w:fldChar w:fldCharType="separate"/>
          </w:r>
          <w:r>
            <w:t>1</w:t>
          </w:r>
          <w:r>
            <w:fldChar w:fldCharType="end"/>
          </w:r>
        </w:p>
        <w:p>
          <w:pPr>
            <w:pStyle w:val="工作稿目录2"/>
            <w:tabs>
              <w:tab w:pos="9354" w:val="right" w:leader="dot"/>
            </w:tabs>
            <w:ind w:firstLine="0" w:firstLineChars="0" w:leftChars="0" w:left="227"/>
          </w:pPr>
          <w:r>
            <w:t>1.1 问题背景</w:t>
          </w:r>
          <w:r>
            <w:tab/>
          </w:r>
          <w:r>
            <w:fldChar w:fldCharType="begin"/>
          </w:r>
          <w:r>
            <w:instrText xml:space="preserve"> PAGEREF _PaperHeading001 \h </w:instrText>
          </w:r>
          <w:r>
            <w:fldChar w:fldCharType="separate"/>
          </w:r>
          <w:r>
            <w:t>1</w:t>
          </w:r>
          <w:r>
            <w:fldChar w:fldCharType="end"/>
          </w:r>
        </w:p>
        <w:p>
          <w:pPr>
            <w:pStyle w:val="工作稿目录2"/>
            <w:tabs>
              <w:tab w:pos="9354" w:val="right" w:leader="dot"/>
            </w:tabs>
            <w:ind w:firstLine="0" w:firstLineChars="0" w:leftChars="0" w:left="227"/>
          </w:pPr>
          <w:r>
            <w:t>1.2 问题重述</w:t>
          </w:r>
          <w:r>
            <w:tab/>
          </w:r>
          <w:r>
            <w:fldChar w:fldCharType="begin"/>
          </w:r>
          <w:r>
            <w:instrText xml:space="preserve"> PAGEREF _PaperHeading002 \h </w:instrText>
          </w:r>
          <w:r>
            <w:fldChar w:fldCharType="separate"/>
          </w:r>
          <w:r>
            <w:t>1</w:t>
          </w:r>
          <w:r>
            <w:fldChar w:fldCharType="end"/>
          </w:r>
        </w:p>
        <w:p>
          <w:pPr>
            <w:pStyle w:val="工作稿目录2"/>
            <w:tabs>
              <w:tab w:pos="9354" w:val="right" w:leader="dot"/>
            </w:tabs>
            <w:ind w:firstLine="0" w:firstLineChars="0" w:leftChars="0" w:left="227"/>
          </w:pPr>
          <w:r>
            <w:t>1.3 问题分析</w:t>
          </w:r>
          <w:r>
            <w:tab/>
          </w:r>
          <w:r>
            <w:fldChar w:fldCharType="begin"/>
          </w:r>
          <w:r>
            <w:instrText xml:space="preserve"> PAGEREF _PaperHeading003 \h </w:instrText>
          </w:r>
          <w:r>
            <w:fldChar w:fldCharType="separate"/>
          </w:r>
          <w:r>
            <w:t>2</w:t>
          </w:r>
          <w:r>
            <w:fldChar w:fldCharType="end"/>
          </w:r>
        </w:p>
        <w:p>
          <w:pPr>
            <w:pStyle w:val="工作稿目录2"/>
            <w:tabs>
              <w:tab w:pos="9354" w:val="right" w:leader="dot"/>
            </w:tabs>
            <w:ind w:firstLine="0" w:firstLineChars="0" w:leftChars="0" w:left="227"/>
          </w:pPr>
          <w:r>
            <w:t>1.4 相关研究与本研究的比较逻辑</w:t>
          </w:r>
          <w:r>
            <w:tab/>
          </w:r>
          <w:r>
            <w:fldChar w:fldCharType="begin"/>
          </w:r>
          <w:r>
            <w:instrText xml:space="preserve"> PAGEREF _PaperHeading004 \h </w:instrText>
          </w:r>
          <w:r>
            <w:fldChar w:fldCharType="separate"/>
          </w:r>
          <w:r>
            <w:t>3</w:t>
          </w:r>
          <w:r>
            <w:fldChar w:fldCharType="end"/>
          </w:r>
        </w:p>
        <w:p>
          <w:pPr>
            <w:pStyle w:val="工作稿目录2"/>
            <w:tabs>
              <w:tab w:pos="9354" w:val="right" w:leader="dot"/>
            </w:tabs>
            <w:ind w:firstLine="0" w:firstLineChars="0" w:leftChars="0" w:left="227"/>
          </w:pPr>
          <w:r>
            <w:t>1.5 总体研究路线及当前证据范围</w:t>
          </w:r>
          <w:r>
            <w:tab/>
          </w:r>
          <w:r>
            <w:fldChar w:fldCharType="begin"/>
          </w:r>
          <w:r>
            <w:instrText xml:space="preserve"> PAGEREF _PaperHeading005 \h </w:instrText>
          </w:r>
          <w:r>
            <w:fldChar w:fldCharType="separate"/>
          </w:r>
          <w:r>
            <w:t>3</w:t>
          </w:r>
          <w:r>
            <w:fldChar w:fldCharType="end"/>
          </w:r>
        </w:p>
        <w:p>
          <w:pPr>
            <w:pStyle w:val="工作稿目录1"/>
            <w:tabs>
              <w:tab w:pos="9354" w:val="right" w:leader="dot"/>
            </w:tabs>
            <w:ind w:firstLine="0" w:firstLineChars="0" w:leftChars="0" w:left="0"/>
          </w:pPr>
          <w:r>
            <w:t>2 从附件事实到统一模型输入</w:t>
          </w:r>
          <w:r>
            <w:tab/>
          </w:r>
          <w:r>
            <w:fldChar w:fldCharType="begin"/>
          </w:r>
          <w:r>
            <w:instrText xml:space="preserve"> PAGEREF _PaperHeading006 \h </w:instrText>
          </w:r>
          <w:r>
            <w:fldChar w:fldCharType="separate"/>
          </w:r>
          <w:r>
            <w:t>4</w:t>
          </w:r>
          <w:r>
            <w:fldChar w:fldCharType="end"/>
          </w:r>
        </w:p>
        <w:p>
          <w:pPr>
            <w:pStyle w:val="工作稿目录2"/>
            <w:tabs>
              <w:tab w:pos="9354" w:val="right" w:leader="dot"/>
            </w:tabs>
            <w:ind w:firstLine="0" w:firstLineChars="0" w:leftChars="0" w:left="227"/>
          </w:pPr>
          <w:r>
            <w:t>2.1 数据集构成与各附件使用范围</w:t>
          </w:r>
          <w:r>
            <w:tab/>
          </w:r>
          <w:r>
            <w:fldChar w:fldCharType="begin"/>
          </w:r>
          <w:r>
            <w:instrText xml:space="preserve"> PAGEREF _PaperHeading007 \h </w:instrText>
          </w:r>
          <w:r>
            <w:fldChar w:fldCharType="separate"/>
          </w:r>
          <w:r>
            <w:t>4</w:t>
          </w:r>
          <w:r>
            <w:fldChar w:fldCharType="end"/>
          </w:r>
        </w:p>
        <w:p>
          <w:pPr>
            <w:pStyle w:val="工作稿目录2"/>
            <w:tabs>
              <w:tab w:pos="9354" w:val="right" w:leader="dot"/>
            </w:tabs>
            <w:ind w:firstLine="0" w:firstLineChars="0" w:leftChars="0" w:left="227"/>
          </w:pPr>
          <w:r>
            <w:t>2.2 样本编号对应与数据完整性检查</w:t>
          </w:r>
          <w:r>
            <w:tab/>
          </w:r>
          <w:r>
            <w:fldChar w:fldCharType="begin"/>
          </w:r>
          <w:r>
            <w:instrText xml:space="preserve"> PAGEREF _PaperHeading008 \h </w:instrText>
          </w:r>
          <w:r>
            <w:fldChar w:fldCharType="separate"/>
          </w:r>
          <w:r>
            <w:t>5</w:t>
          </w:r>
          <w:r>
            <w:fldChar w:fldCharType="end"/>
          </w:r>
        </w:p>
        <w:p>
          <w:pPr>
            <w:pStyle w:val="工作稿目录2"/>
            <w:tabs>
              <w:tab w:pos="9354" w:val="right" w:leader="dot"/>
            </w:tabs>
            <w:ind w:firstLine="0" w:firstLineChars="0" w:leftChars="0" w:left="227"/>
          </w:pPr>
          <w:r>
            <w:t>2.3 标签定义与训练、验证数据组织</w:t>
          </w:r>
          <w:r>
            <w:tab/>
          </w:r>
          <w:r>
            <w:fldChar w:fldCharType="begin"/>
          </w:r>
          <w:r>
            <w:instrText xml:space="preserve"> PAGEREF _PaperHeading009 \h </w:instrText>
          </w:r>
          <w:r>
            <w:fldChar w:fldCharType="separate"/>
          </w:r>
          <w:r>
            <w:t>5</w:t>
          </w:r>
          <w:r>
            <w:fldChar w:fldCharType="end"/>
          </w:r>
        </w:p>
        <w:p>
          <w:pPr>
            <w:pStyle w:val="工作稿目录2"/>
            <w:tabs>
              <w:tab w:pos="9354" w:val="right" w:leader="dot"/>
            </w:tabs>
            <w:ind w:firstLine="0" w:firstLineChars="0" w:leftChars="0" w:left="227"/>
          </w:pPr>
          <w:r>
            <w:t>2.4 序列有效长度、填充位置与模态缺失的区分</w:t>
          </w:r>
          <w:r>
            <w:tab/>
          </w:r>
          <w:r>
            <w:fldChar w:fldCharType="begin"/>
          </w:r>
          <w:r>
            <w:instrText xml:space="preserve"> PAGEREF _PaperHeading010 \h </w:instrText>
          </w:r>
          <w:r>
            <w:fldChar w:fldCharType="separate"/>
          </w:r>
          <w:r>
            <w:t>6</w:t>
          </w:r>
          <w:r>
            <w:fldChar w:fldCharType="end"/>
          </w:r>
        </w:p>
        <w:p>
          <w:pPr>
            <w:pStyle w:val="工作稿目录2"/>
            <w:tabs>
              <w:tab w:pos="9354" w:val="right" w:leader="dot"/>
            </w:tabs>
            <w:ind w:firstLine="0" w:firstLineChars="0" w:leftChars="0" w:left="227"/>
          </w:pPr>
          <w:r>
            <w:t>2.5 异常值处理与特征标准化</w:t>
          </w:r>
          <w:r>
            <w:tab/>
          </w:r>
          <w:r>
            <w:fldChar w:fldCharType="begin"/>
          </w:r>
          <w:r>
            <w:instrText xml:space="preserve"> PAGEREF _PaperHeading011 \h </w:instrText>
          </w:r>
          <w:r>
            <w:fldChar w:fldCharType="separate"/>
          </w:r>
          <w:r>
            <w:t>7</w:t>
          </w:r>
          <w:r>
            <w:fldChar w:fldCharType="end"/>
          </w:r>
        </w:p>
        <w:p>
          <w:pPr>
            <w:pStyle w:val="工作稿目录2"/>
            <w:tabs>
              <w:tab w:pos="9354" w:val="right" w:leader="dot"/>
            </w:tabs>
            <w:ind w:firstLine="0" w:firstLineChars="0" w:leftChars="0" w:left="227"/>
          </w:pPr>
          <w:r>
            <w:t>2.6 样本分布与数据质量统计</w:t>
          </w:r>
          <w:r>
            <w:tab/>
          </w:r>
          <w:r>
            <w:fldChar w:fldCharType="begin"/>
          </w:r>
          <w:r>
            <w:instrText xml:space="preserve"> PAGEREF _PaperHeading012 \h </w:instrText>
          </w:r>
          <w:r>
            <w:fldChar w:fldCharType="separate"/>
          </w:r>
          <w:r>
            <w:t>7</w:t>
          </w:r>
          <w:r>
            <w:fldChar w:fldCharType="end"/>
          </w:r>
        </w:p>
        <w:p>
          <w:pPr>
            <w:pStyle w:val="工作稿目录1"/>
            <w:tabs>
              <w:tab w:pos="9354" w:val="right" w:leader="dot"/>
            </w:tabs>
            <w:ind w:firstLine="0" w:firstLineChars="0" w:leftChars="0" w:left="0"/>
          </w:pPr>
          <w:r>
            <w:t>3 不完整观测的数学描述与学习目标</w:t>
          </w:r>
          <w:r>
            <w:tab/>
          </w:r>
          <w:r>
            <w:fldChar w:fldCharType="begin"/>
          </w:r>
          <w:r>
            <w:instrText xml:space="preserve"> PAGEREF _PaperHeading013 \h </w:instrText>
          </w:r>
          <w:r>
            <w:fldChar w:fldCharType="separate"/>
          </w:r>
          <w:r>
            <w:t>8</w:t>
          </w:r>
          <w:r>
            <w:fldChar w:fldCharType="end"/>
          </w:r>
        </w:p>
        <w:p>
          <w:pPr>
            <w:pStyle w:val="工作稿目录2"/>
            <w:tabs>
              <w:tab w:pos="9354" w:val="right" w:leader="dot"/>
            </w:tabs>
            <w:ind w:firstLine="0" w:firstLineChars="0" w:leftChars="0" w:left="227"/>
          </w:pPr>
          <w:r>
            <w:t>3.1 模型基本假设</w:t>
          </w:r>
          <w:r>
            <w:tab/>
          </w:r>
          <w:r>
            <w:fldChar w:fldCharType="begin"/>
          </w:r>
          <w:r>
            <w:instrText xml:space="preserve"> PAGEREF _PaperHeading014 \h </w:instrText>
          </w:r>
          <w:r>
            <w:fldChar w:fldCharType="separate"/>
          </w:r>
          <w:r>
            <w:t>8</w:t>
          </w:r>
          <w:r>
            <w:fldChar w:fldCharType="end"/>
          </w:r>
        </w:p>
        <w:p>
          <w:pPr>
            <w:pStyle w:val="工作稿目录2"/>
            <w:tabs>
              <w:tab w:pos="9354" w:val="right" w:leader="dot"/>
            </w:tabs>
            <w:ind w:firstLine="0" w:firstLineChars="0" w:leftChars="0" w:left="227"/>
          </w:pPr>
          <w:r>
            <w:t>3.2 主要符号与变量定义</w:t>
          </w:r>
          <w:r>
            <w:tab/>
          </w:r>
          <w:r>
            <w:fldChar w:fldCharType="begin"/>
          </w:r>
          <w:r>
            <w:instrText xml:space="preserve"> PAGEREF _PaperHeading015 \h </w:instrText>
          </w:r>
          <w:r>
            <w:fldChar w:fldCharType="separate"/>
          </w:r>
          <w:r>
            <w:t>9</w:t>
          </w:r>
          <w:r>
            <w:fldChar w:fldCharType="end"/>
          </w:r>
        </w:p>
        <w:p>
          <w:pPr>
            <w:pStyle w:val="工作稿目录2"/>
            <w:tabs>
              <w:tab w:pos="9354" w:val="right" w:leader="dot"/>
            </w:tabs>
            <w:ind w:firstLine="0" w:firstLineChars="0" w:leftChars="0" w:left="227"/>
          </w:pPr>
          <w:r>
            <w:t>3.3 连续遮挡、观测损失与实际缺失比例</w:t>
          </w:r>
          <w:r>
            <w:tab/>
          </w:r>
          <w:r>
            <w:fldChar w:fldCharType="begin"/>
          </w:r>
          <w:r>
            <w:instrText xml:space="preserve"> PAGEREF _PaperHeading016 \h </w:instrText>
          </w:r>
          <w:r>
            <w:fldChar w:fldCharType="separate"/>
          </w:r>
          <w:r>
            <w:t>10</w:t>
          </w:r>
          <w:r>
            <w:fldChar w:fldCharType="end"/>
          </w:r>
        </w:p>
        <w:p>
          <w:pPr>
            <w:pStyle w:val="工作稿目录2"/>
            <w:tabs>
              <w:tab w:pos="9354" w:val="right" w:leader="dot"/>
            </w:tabs>
            <w:ind w:firstLine="0" w:firstLineChars="0" w:leftChars="0" w:left="227"/>
          </w:pPr>
          <w:r>
            <w:t>3.4 片段级多任务预测与遮挡分布</w:t>
          </w:r>
          <w:r>
            <w:tab/>
          </w:r>
          <w:r>
            <w:fldChar w:fldCharType="begin"/>
          </w:r>
          <w:r>
            <w:instrText xml:space="preserve"> PAGEREF _PaperHeading017 \h </w:instrText>
          </w:r>
          <w:r>
            <w:fldChar w:fldCharType="separate"/>
          </w:r>
          <w:r>
            <w:t>11</w:t>
          </w:r>
          <w:r>
            <w:fldChar w:fldCharType="end"/>
          </w:r>
        </w:p>
        <w:p>
          <w:pPr>
            <w:pStyle w:val="工作稿目录2"/>
            <w:tabs>
              <w:tab w:pos="9354" w:val="right" w:leader="dot"/>
            </w:tabs>
            <w:ind w:firstLine="0" w:firstLineChars="0" w:leftChars="0" w:left="227"/>
          </w:pPr>
          <w:r>
            <w:t>3.5 完全无观测时的输出约定</w:t>
          </w:r>
          <w:r>
            <w:tab/>
          </w:r>
          <w:r>
            <w:fldChar w:fldCharType="begin"/>
          </w:r>
          <w:r>
            <w:instrText xml:space="preserve"> PAGEREF _PaperHeading018 \h </w:instrText>
          </w:r>
          <w:r>
            <w:fldChar w:fldCharType="separate"/>
          </w:r>
          <w:r>
            <w:t>11</w:t>
          </w:r>
          <w:r>
            <w:fldChar w:fldCharType="end"/>
          </w:r>
        </w:p>
        <w:p>
          <w:pPr>
            <w:pStyle w:val="工作稿目录1"/>
            <w:tabs>
              <w:tab w:pos="9354" w:val="right" w:leader="dot"/>
            </w:tabs>
            <w:ind w:firstLine="0" w:firstLineChars="0" w:leftChars="0" w:left="0"/>
          </w:pPr>
          <w:r>
            <w:t>4 问题一：特征提取与时间对齐的方案论证</w:t>
          </w:r>
          <w:r>
            <w:tab/>
          </w:r>
          <w:r>
            <w:fldChar w:fldCharType="begin"/>
          </w:r>
          <w:r>
            <w:instrText xml:space="preserve"> PAGEREF _PaperHeading019 \h </w:instrText>
          </w:r>
          <w:r>
            <w:fldChar w:fldCharType="separate"/>
          </w:r>
          <w:r>
            <w:t>12</w:t>
          </w:r>
          <w:r>
            <w:fldChar w:fldCharType="end"/>
          </w:r>
        </w:p>
        <w:p>
          <w:pPr>
            <w:pStyle w:val="工作稿目录2"/>
            <w:tabs>
              <w:tab w:pos="9354" w:val="right" w:leader="dot"/>
            </w:tabs>
            <w:ind w:firstLine="0" w:firstLineChars="0" w:leftChars="0" w:left="227"/>
          </w:pPr>
          <w:r>
            <w:t>4.1 原始样本处理流程与输入输出定义</w:t>
          </w:r>
          <w:r>
            <w:tab/>
          </w:r>
          <w:r>
            <w:fldChar w:fldCharType="begin"/>
          </w:r>
          <w:r>
            <w:instrText xml:space="preserve"> PAGEREF _PaperHeading020 \h </w:instrText>
          </w:r>
          <w:r>
            <w:fldChar w:fldCharType="separate"/>
          </w:r>
          <w:r>
            <w:t>12</w:t>
          </w:r>
          <w:r>
            <w:fldChar w:fldCharType="end"/>
          </w:r>
        </w:p>
        <w:p>
          <w:pPr>
            <w:pStyle w:val="工作稿目录2"/>
            <w:tabs>
              <w:tab w:pos="9354" w:val="right" w:leader="dot"/>
            </w:tabs>
            <w:ind w:firstLine="0" w:firstLineChars="0" w:leftChars="0" w:left="227"/>
          </w:pPr>
          <w:r>
            <w:t>4.2 三模态情感特征的定义与提取</w:t>
          </w:r>
          <w:r>
            <w:tab/>
          </w:r>
          <w:r>
            <w:fldChar w:fldCharType="begin"/>
          </w:r>
          <w:r>
            <w:instrText xml:space="preserve"> PAGEREF _PaperHeading021 \h </w:instrText>
          </w:r>
          <w:r>
            <w:fldChar w:fldCharType="separate"/>
          </w:r>
          <w:r>
            <w:t>12</w:t>
          </w:r>
          <w:r>
            <w:fldChar w:fldCharType="end"/>
          </w:r>
        </w:p>
        <w:p>
          <w:pPr>
            <w:pStyle w:val="工作稿目录2"/>
            <w:tabs>
              <w:tab w:pos="9354" w:val="right" w:leader="dot"/>
            </w:tabs>
            <w:ind w:firstLine="0" w:firstLineChars="0" w:leftChars="0" w:left="227"/>
          </w:pPr>
          <w:r>
            <w:t>4.3 跨模态时序对齐模型</w:t>
          </w:r>
          <w:r>
            <w:tab/>
          </w:r>
          <w:r>
            <w:fldChar w:fldCharType="begin"/>
          </w:r>
          <w:r>
            <w:instrText xml:space="preserve"> PAGEREF _PaperHeading022 \h </w:instrText>
          </w:r>
          <w:r>
            <w:fldChar w:fldCharType="separate"/>
          </w:r>
          <w:r>
            <w:t>13</w:t>
          </w:r>
          <w:r>
            <w:fldChar w:fldCharType="end"/>
          </w:r>
        </w:p>
        <w:p>
          <w:pPr>
            <w:pStyle w:val="工作稿目录2"/>
            <w:tabs>
              <w:tab w:pos="9354" w:val="right" w:leader="dot"/>
            </w:tabs>
            <w:ind w:firstLine="0" w:firstLineChars="0" w:leftChars="0" w:left="227"/>
          </w:pPr>
          <w:r>
            <w:t>4.4 特征文件构建与存储规范</w:t>
          </w:r>
          <w:r>
            <w:tab/>
          </w:r>
          <w:r>
            <w:fldChar w:fldCharType="begin"/>
          </w:r>
          <w:r>
            <w:instrText xml:space="preserve"> PAGEREF _PaperHeading023 \h </w:instrText>
          </w:r>
          <w:r>
            <w:fldChar w:fldCharType="separate"/>
          </w:r>
          <w:r>
            <w:t>15</w:t>
          </w:r>
          <w:r>
            <w:fldChar w:fldCharType="end"/>
          </w:r>
        </w:p>
        <w:p>
          <w:pPr>
            <w:pStyle w:val="工作稿目录2"/>
            <w:tabs>
              <w:tab w:pos="9354" w:val="right" w:leader="dot"/>
            </w:tabs>
            <w:ind w:firstLine="0" w:firstLineChars="0" w:leftChars="0" w:left="227"/>
          </w:pPr>
          <w:r>
            <w:t>4.5 已核验的原始样本基础与尚缺成果</w:t>
          </w:r>
          <w:r>
            <w:tab/>
          </w:r>
          <w:r>
            <w:fldChar w:fldCharType="begin"/>
          </w:r>
          <w:r>
            <w:instrText xml:space="preserve"> PAGEREF _PaperHeading024 \h </w:instrText>
          </w:r>
          <w:r>
            <w:fldChar w:fldCharType="separate"/>
          </w:r>
          <w:r>
            <w:t>15</w:t>
          </w:r>
          <w:r>
            <w:fldChar w:fldCharType="end"/>
          </w:r>
        </w:p>
        <w:p>
          <w:pPr>
            <w:pStyle w:val="工作稿目录2"/>
            <w:tabs>
              <w:tab w:pos="9354" w:val="right" w:leader="dot"/>
            </w:tabs>
            <w:ind w:firstLine="0" w:firstLineChars="0" w:leftChars="0" w:left="227"/>
          </w:pPr>
          <w:r>
            <w:t>4.6 典型样本的时序对齐验证</w:t>
          </w:r>
          <w:r>
            <w:tab/>
          </w:r>
          <w:r>
            <w:fldChar w:fldCharType="begin"/>
          </w:r>
          <w:r>
            <w:instrText xml:space="preserve"> PAGEREF _PaperHeading025 \h </w:instrText>
          </w:r>
          <w:r>
            <w:fldChar w:fldCharType="separate"/>
          </w:r>
          <w:r>
            <w:t>16</w:t>
          </w:r>
          <w:r>
            <w:fldChar w:fldCharType="end"/>
          </w:r>
        </w:p>
        <w:p>
          <w:pPr>
            <w:pStyle w:val="工作稿目录2"/>
            <w:tabs>
              <w:tab w:pos="9354" w:val="right" w:leader="dot"/>
            </w:tabs>
            <w:ind w:firstLine="0" w:firstLineChars="0" w:leftChars="0" w:left="227"/>
          </w:pPr>
          <w:r>
            <w:t>4.7 工具版本、关键参数与可复现性说明</w:t>
          </w:r>
          <w:r>
            <w:tab/>
          </w:r>
          <w:r>
            <w:fldChar w:fldCharType="begin"/>
          </w:r>
          <w:r>
            <w:instrText xml:space="preserve"> PAGEREF _PaperHeading026 \h </w:instrText>
          </w:r>
          <w:r>
            <w:fldChar w:fldCharType="separate"/>
          </w:r>
          <w:r>
            <w:t>17</w:t>
          </w:r>
          <w:r>
            <w:fldChar w:fldCharType="end"/>
          </w:r>
        </w:p>
        <w:p>
          <w:pPr>
            <w:pStyle w:val="工作稿目录1"/>
            <w:tabs>
              <w:tab w:pos="9354" w:val="right" w:leader="dot"/>
            </w:tabs>
            <w:ind w:firstLine="0" w:firstLineChars="0" w:leftChars="0" w:left="0"/>
          </w:pPr>
          <w:r>
            <w:t>5 问题二：从可用观测融合到跨模态恢复</w:t>
          </w:r>
          <w:r>
            <w:tab/>
          </w:r>
          <w:r>
            <w:fldChar w:fldCharType="begin"/>
          </w:r>
          <w:r>
            <w:instrText xml:space="preserve"> PAGEREF _PaperHeading027 \h </w:instrText>
          </w:r>
          <w:r>
            <w:fldChar w:fldCharType="separate"/>
          </w:r>
          <w:r>
            <w:t>17</w:t>
          </w:r>
          <w:r>
            <w:fldChar w:fldCharType="end"/>
          </w:r>
        </w:p>
        <w:p>
          <w:pPr>
            <w:pStyle w:val="工作稿目录2"/>
            <w:tabs>
              <w:tab w:pos="9354" w:val="right" w:leader="dot"/>
            </w:tabs>
            <w:ind w:firstLine="0" w:firstLineChars="0" w:leftChars="0" w:left="227"/>
          </w:pPr>
          <w:r>
            <w:t>5.1 基础表示与低复杂度参照</w:t>
          </w:r>
          <w:r>
            <w:tab/>
          </w:r>
          <w:r>
            <w:fldChar w:fldCharType="begin"/>
          </w:r>
          <w:r>
            <w:instrText xml:space="preserve"> PAGEREF _PaperHeading028 \h </w:instrText>
          </w:r>
          <w:r>
            <w:fldChar w:fldCharType="separate"/>
          </w:r>
          <w:r>
            <w:t>17</w:t>
          </w:r>
          <w:r>
            <w:fldChar w:fldCharType="end"/>
          </w:r>
        </w:p>
        <w:p>
          <w:pPr>
            <w:pStyle w:val="工作稿目录2"/>
            <w:tabs>
              <w:tab w:pos="9354" w:val="right" w:leader="dot"/>
            </w:tabs>
            <w:ind w:firstLine="0" w:firstLineChars="0" w:leftChars="0" w:left="227"/>
          </w:pPr>
          <w:r>
            <w:t>5.2 观测状态感知递推候选</w:t>
          </w:r>
          <w:r>
            <w:tab/>
          </w:r>
          <w:r>
            <w:fldChar w:fldCharType="begin"/>
          </w:r>
          <w:r>
            <w:instrText xml:space="preserve"> PAGEREF _PaperHeading029 \h </w:instrText>
          </w:r>
          <w:r>
            <w:fldChar w:fldCharType="separate"/>
          </w:r>
          <w:r>
            <w:t>18</w:t>
          </w:r>
          <w:r>
            <w:fldChar w:fldCharType="end"/>
          </w:r>
        </w:p>
        <w:p>
          <w:pPr>
            <w:pStyle w:val="工作稿目录2"/>
            <w:tabs>
              <w:tab w:pos="9354" w:val="right" w:leader="dot"/>
            </w:tabs>
            <w:ind w:firstLine="0" w:firstLineChars="0" w:leftChars="0" w:left="227"/>
          </w:pPr>
          <w:r>
            <w:t>5.3 MulT：跨位置的模态交互对照</w:t>
          </w:r>
          <w:r>
            <w:tab/>
          </w:r>
          <w:r>
            <w:fldChar w:fldCharType="begin"/>
          </w:r>
          <w:r>
            <w:instrText xml:space="preserve"> PAGEREF _PaperHeading030 \h </w:instrText>
          </w:r>
          <w:r>
            <w:fldChar w:fldCharType="separate"/>
          </w:r>
          <w:r>
            <w:t>20</w:t>
          </w:r>
          <w:r>
            <w:fldChar w:fldCharType="end"/>
          </w:r>
        </w:p>
        <w:p>
          <w:pPr>
            <w:pStyle w:val="工作稿目录2"/>
            <w:tabs>
              <w:tab w:pos="9354" w:val="right" w:leader="dot"/>
            </w:tabs>
            <w:ind w:firstLine="0" w:firstLineChars="0" w:leftChars="0" w:left="227"/>
          </w:pPr>
          <w:r>
            <w:t>5.4 EMT-DLFR：全局—局部交互及训练期恢复</w:t>
          </w:r>
          <w:r>
            <w:tab/>
          </w:r>
          <w:r>
            <w:fldChar w:fldCharType="begin"/>
          </w:r>
          <w:r>
            <w:instrText xml:space="preserve"> PAGEREF _PaperHeading031 \h </w:instrText>
          </w:r>
          <w:r>
            <w:fldChar w:fldCharType="separate"/>
          </w:r>
          <w:r>
            <w:t>20</w:t>
          </w:r>
          <w:r>
            <w:fldChar w:fldCharType="end"/>
          </w:r>
        </w:p>
        <w:p>
          <w:pPr>
            <w:pStyle w:val="工作稿目录2"/>
            <w:tabs>
              <w:tab w:pos="9354" w:val="right" w:leader="dot"/>
            </w:tabs>
            <w:ind w:firstLine="0" w:firstLineChars="0" w:leftChars="0" w:left="227"/>
          </w:pPr>
          <w:r>
            <w:t>5.5 连续缺失训练与表示缓存</w:t>
          </w:r>
          <w:r>
            <w:tab/>
          </w:r>
          <w:r>
            <w:fldChar w:fldCharType="begin"/>
          </w:r>
          <w:r>
            <w:instrText xml:space="preserve"> PAGEREF _PaperHeading032 \h </w:instrText>
          </w:r>
          <w:r>
            <w:fldChar w:fldCharType="separate"/>
          </w:r>
          <w:r>
            <w:t>22</w:t>
          </w:r>
          <w:r>
            <w:fldChar w:fldCharType="end"/>
          </w:r>
        </w:p>
        <w:p>
          <w:pPr>
            <w:pStyle w:val="工作稿目录1"/>
            <w:tabs>
              <w:tab w:pos="9354" w:val="right" w:leader="dot"/>
            </w:tabs>
            <w:ind w:firstLine="0" w:firstLineChars="0" w:leftChars="0" w:left="0"/>
          </w:pPr>
          <w:r>
            <w:t>6 实验结果、机制检验与专项推理</w:t>
          </w:r>
          <w:r>
            <w:tab/>
          </w:r>
          <w:r>
            <w:fldChar w:fldCharType="begin"/>
          </w:r>
          <w:r>
            <w:instrText xml:space="preserve"> PAGEREF _PaperHeading033 \h </w:instrText>
          </w:r>
          <w:r>
            <w:fldChar w:fldCharType="separate"/>
          </w:r>
          <w:r>
            <w:t>23</w:t>
          </w:r>
          <w:r>
            <w:fldChar w:fldCharType="end"/>
          </w:r>
        </w:p>
        <w:p>
          <w:pPr>
            <w:pStyle w:val="工作稿目录2"/>
            <w:tabs>
              <w:tab w:pos="9354" w:val="right" w:leader="dot"/>
            </w:tabs>
            <w:ind w:firstLine="0" w:firstLineChars="0" w:leftChars="0" w:left="227"/>
          </w:pPr>
          <w:r>
            <w:t>6.1 训练配置、选模顺序与公平比较范围</w:t>
          </w:r>
          <w:r>
            <w:tab/>
          </w:r>
          <w:r>
            <w:fldChar w:fldCharType="begin"/>
          </w:r>
          <w:r>
            <w:instrText xml:space="preserve"> PAGEREF _PaperHeading034 \h </w:instrText>
          </w:r>
          <w:r>
            <w:fldChar w:fldCharType="separate"/>
          </w:r>
          <w:r>
            <w:t>23</w:t>
          </w:r>
          <w:r>
            <w:fldChar w:fldCharType="end"/>
          </w:r>
        </w:p>
        <w:p>
          <w:pPr>
            <w:pStyle w:val="工作稿目录2"/>
            <w:tabs>
              <w:tab w:pos="9354" w:val="right" w:leader="dot"/>
            </w:tabs>
            <w:ind w:firstLine="0" w:firstLineChars="0" w:leftChars="0" w:left="227"/>
          </w:pPr>
          <w:r>
            <w:t>6.2 指标、不确定性与边界检查</w:t>
          </w:r>
          <w:r>
            <w:tab/>
          </w:r>
          <w:r>
            <w:fldChar w:fldCharType="begin"/>
          </w:r>
          <w:r>
            <w:instrText xml:space="preserve"> PAGEREF _PaperHeading035 \h </w:instrText>
          </w:r>
          <w:r>
            <w:fldChar w:fldCharType="separate"/>
          </w:r>
          <w:r>
            <w:t>24</w:t>
          </w:r>
          <w:r>
            <w:fldChar w:fldCharType="end"/>
          </w:r>
        </w:p>
        <w:p>
          <w:pPr>
            <w:pStyle w:val="工作稿目录2"/>
            <w:tabs>
              <w:tab w:pos="9354" w:val="right" w:leader="dot"/>
            </w:tabs>
            <w:ind w:firstLine="0" w:firstLineChars="0" w:leftChars="0" w:left="227"/>
          </w:pPr>
          <w:r>
            <w:t>6.3 基础性能与候选模型选择</w:t>
          </w:r>
          <w:r>
            <w:tab/>
          </w:r>
          <w:r>
            <w:fldChar w:fldCharType="begin"/>
          </w:r>
          <w:r>
            <w:instrText xml:space="preserve"> PAGEREF _PaperHeading036 \h </w:instrText>
          </w:r>
          <w:r>
            <w:fldChar w:fldCharType="separate"/>
          </w:r>
          <w:r>
            <w:t>25</w:t>
          </w:r>
          <w:r>
            <w:fldChar w:fldCharType="end"/>
          </w:r>
        </w:p>
        <w:p>
          <w:pPr>
            <w:pStyle w:val="工作稿目录2"/>
            <w:tabs>
              <w:tab w:pos="9354" w:val="right" w:leader="dot"/>
            </w:tabs>
            <w:ind w:firstLine="0" w:firstLineChars="0" w:leftChars="0" w:left="227"/>
          </w:pPr>
          <w:r>
            <w:t>6.4 局部缺失的类型、位置与比例效应</w:t>
          </w:r>
          <w:r>
            <w:tab/>
          </w:r>
          <w:r>
            <w:fldChar w:fldCharType="begin"/>
          </w:r>
          <w:r>
            <w:instrText xml:space="preserve"> PAGEREF _PaperHeading037 \h </w:instrText>
          </w:r>
          <w:r>
            <w:fldChar w:fldCharType="separate"/>
          </w:r>
          <w:r>
            <w:t>28</w:t>
          </w:r>
          <w:r>
            <w:fldChar w:fldCharType="end"/>
          </w:r>
        </w:p>
        <w:p>
          <w:pPr>
            <w:pStyle w:val="工作稿目录2"/>
            <w:tabs>
              <w:tab w:pos="9354" w:val="right" w:leader="dot"/>
            </w:tabs>
            <w:ind w:firstLine="0" w:firstLineChars="0" w:leftChars="0" w:left="227"/>
          </w:pPr>
          <w:r>
            <w:t>6.5 消融实验能够支持什么机制结论</w:t>
          </w:r>
          <w:r>
            <w:tab/>
          </w:r>
          <w:r>
            <w:fldChar w:fldCharType="begin"/>
          </w:r>
          <w:r>
            <w:instrText xml:space="preserve"> PAGEREF _PaperHeading038 \h </w:instrText>
          </w:r>
          <w:r>
            <w:fldChar w:fldCharType="separate"/>
          </w:r>
          <w:r>
            <w:t>31</w:t>
          </w:r>
          <w:r>
            <w:fldChar w:fldCharType="end"/>
          </w:r>
        </w:p>
        <w:p>
          <w:pPr>
            <w:pStyle w:val="工作稿目录2"/>
            <w:tabs>
              <w:tab w:pos="9354" w:val="right" w:leader="dot"/>
            </w:tabs>
            <w:ind w:firstLine="0" w:firstLineChars="0" w:leftChars="0" w:left="227"/>
          </w:pPr>
          <w:r>
            <w:t>6.6 错误分析：输入证据、标签边界与模型分歧</w:t>
          </w:r>
          <w:r>
            <w:tab/>
          </w:r>
          <w:r>
            <w:fldChar w:fldCharType="begin"/>
          </w:r>
          <w:r>
            <w:instrText xml:space="preserve"> PAGEREF _PaperHeading039 \h </w:instrText>
          </w:r>
          <w:r>
            <w:fldChar w:fldCharType="separate"/>
          </w:r>
          <w:r>
            <w:t>33</w:t>
          </w:r>
          <w:r>
            <w:fldChar w:fldCharType="end"/>
          </w:r>
        </w:p>
        <w:p>
          <w:pPr>
            <w:pStyle w:val="工作稿目录2"/>
            <w:tabs>
              <w:tab w:pos="9354" w:val="right" w:leader="dot"/>
            </w:tabs>
            <w:ind w:firstLine="0" w:firstLineChars="0" w:leftChars="0" w:left="227"/>
          </w:pPr>
          <w:r>
            <w:t>6.7 附件3推理、全量结果与可复现性</w:t>
          </w:r>
          <w:r>
            <w:tab/>
          </w:r>
          <w:r>
            <w:fldChar w:fldCharType="begin"/>
          </w:r>
          <w:r>
            <w:instrText xml:space="preserve"> PAGEREF _PaperHeading040 \h </w:instrText>
          </w:r>
          <w:r>
            <w:fldChar w:fldCharType="separate"/>
          </w:r>
          <w:r>
            <w:t>35</w:t>
          </w:r>
          <w:r>
            <w:fldChar w:fldCharType="end"/>
          </w:r>
        </w:p>
        <w:p>
          <w:pPr>
            <w:pStyle w:val="工作稿目录2"/>
            <w:tabs>
              <w:tab w:pos="9354" w:val="right" w:leader="dot"/>
            </w:tabs>
            <w:ind w:firstLine="0" w:firstLineChars="0" w:leftChars="0" w:left="227"/>
          </w:pPr>
          <w:r>
            <w:t>6.8 计算成本与比较范围</w:t>
          </w:r>
          <w:r>
            <w:tab/>
          </w:r>
          <w:r>
            <w:fldChar w:fldCharType="begin"/>
          </w:r>
          <w:r>
            <w:instrText xml:space="preserve"> PAGEREF _PaperHeading041 \h </w:instrText>
          </w:r>
          <w:r>
            <w:fldChar w:fldCharType="separate"/>
          </w:r>
          <w:r>
            <w:t>36</w:t>
          </w:r>
          <w:r>
            <w:fldChar w:fldCharType="end"/>
          </w:r>
        </w:p>
        <w:p>
          <w:pPr>
            <w:pStyle w:val="工作稿目录1"/>
            <w:tabs>
              <w:tab w:pos="9354" w:val="right" w:leader="dot"/>
            </w:tabs>
            <w:ind w:firstLine="0" w:firstLineChars="0" w:leftChars="0" w:left="0"/>
          </w:pPr>
          <w:r>
            <w:t>7 三问之间的衔接、解释设计与研究局限</w:t>
          </w:r>
          <w:r>
            <w:tab/>
          </w:r>
          <w:r>
            <w:fldChar w:fldCharType="begin"/>
          </w:r>
          <w:r>
            <w:instrText xml:space="preserve"> PAGEREF _PaperHeading042 \h </w:instrText>
          </w:r>
          <w:r>
            <w:fldChar w:fldCharType="separate"/>
          </w:r>
          <w:r>
            <w:t>37</w:t>
          </w:r>
          <w:r>
            <w:fldChar w:fldCharType="end"/>
          </w:r>
        </w:p>
        <w:p>
          <w:pPr>
            <w:pStyle w:val="工作稿目录2"/>
            <w:tabs>
              <w:tab w:pos="9354" w:val="right" w:leader="dot"/>
            </w:tabs>
            <w:ind w:firstLine="0" w:firstLineChars="0" w:leftChars="0" w:left="227"/>
          </w:pPr>
          <w:r>
            <w:t>7.1 共享预测器不等于共享验证结论</w:t>
          </w:r>
          <w:r>
            <w:tab/>
          </w:r>
          <w:r>
            <w:fldChar w:fldCharType="begin"/>
          </w:r>
          <w:r>
            <w:instrText xml:space="preserve"> PAGEREF _PaperHeading043 \h </w:instrText>
          </w:r>
          <w:r>
            <w:fldChar w:fldCharType="separate"/>
          </w:r>
          <w:r>
            <w:t>37</w:t>
          </w:r>
          <w:r>
            <w:fldChar w:fldCharType="end"/>
          </w:r>
        </w:p>
        <w:p>
          <w:pPr>
            <w:pStyle w:val="工作稿目录2"/>
            <w:tabs>
              <w:tab w:pos="9354" w:val="right" w:leader="dot"/>
            </w:tabs>
            <w:ind w:firstLine="0" w:firstLineChars="0" w:leftChars="0" w:left="227"/>
          </w:pPr>
          <w:r>
            <w:t>7.2 可量化模态作用的待验证设计</w:t>
          </w:r>
          <w:r>
            <w:tab/>
          </w:r>
          <w:r>
            <w:fldChar w:fldCharType="begin"/>
          </w:r>
          <w:r>
            <w:instrText xml:space="preserve"> PAGEREF _PaperHeading044 \h </w:instrText>
          </w:r>
          <w:r>
            <w:fldChar w:fldCharType="separate"/>
          </w:r>
          <w:r>
            <w:t>37</w:t>
          </w:r>
          <w:r>
            <w:fldChar w:fldCharType="end"/>
          </w:r>
        </w:p>
        <w:p>
          <w:pPr>
            <w:pStyle w:val="工作稿目录2"/>
            <w:tabs>
              <w:tab w:pos="9354" w:val="right" w:leader="dot"/>
            </w:tabs>
            <w:ind w:firstLine="0" w:firstLineChars="0" w:leftChars="0" w:left="227"/>
          </w:pPr>
          <w:r>
            <w:t>7.3 局部证据及其时间定位的检验</w:t>
          </w:r>
          <w:r>
            <w:tab/>
          </w:r>
          <w:r>
            <w:fldChar w:fldCharType="begin"/>
          </w:r>
          <w:r>
            <w:instrText xml:space="preserve"> PAGEREF _PaperHeading045 \h </w:instrText>
          </w:r>
          <w:r>
            <w:fldChar w:fldCharType="separate"/>
          </w:r>
          <w:r>
            <w:t>38</w:t>
          </w:r>
          <w:r>
            <w:fldChar w:fldCharType="end"/>
          </w:r>
        </w:p>
        <w:p>
          <w:pPr>
            <w:pStyle w:val="工作稿目录2"/>
            <w:tabs>
              <w:tab w:pos="9354" w:val="right" w:leader="dot"/>
            </w:tabs>
            <w:ind w:firstLine="0" w:firstLineChars="0" w:leftChars="0" w:left="227"/>
          </w:pPr>
          <w:r>
            <w:t>7.4 当前结论的适用范围与下一步证据需求</w:t>
          </w:r>
          <w:r>
            <w:tab/>
          </w:r>
          <w:r>
            <w:fldChar w:fldCharType="begin"/>
          </w:r>
          <w:r>
            <w:instrText xml:space="preserve"> PAGEREF _PaperHeading046 \h </w:instrText>
          </w:r>
          <w:r>
            <w:fldChar w:fldCharType="separate"/>
          </w:r>
          <w:r>
            <w:t>38</w:t>
          </w:r>
          <w:r>
            <w:fldChar w:fldCharType="end"/>
          </w:r>
        </w:p>
        <w:p>
          <w:pPr>
            <w:pStyle w:val="工作稿目录1"/>
            <w:tabs>
              <w:tab w:pos="9354" w:val="right" w:leader="dot"/>
            </w:tabs>
            <w:ind w:firstLine="0" w:firstLineChars="0" w:leftChars="0" w:left="0"/>
          </w:pPr>
          <w:r>
            <w:t>参考文献</w:t>
          </w:r>
          <w:r>
            <w:tab/>
          </w:r>
          <w:r>
            <w:fldChar w:fldCharType="begin"/>
          </w:r>
          <w:r>
            <w:instrText xml:space="preserve"> PAGEREF _PaperHeading047 \h </w:instrText>
          </w:r>
          <w:r>
            <w:fldChar w:fldCharType="separate"/>
          </w:r>
          <w:r>
            <w:t>38</w:t>
          </w:r>
          <w:r>
            <w:fldChar w:fldCharType="end"/>
          </w:r>
          <w:r>
            <w:fldChar w:fldCharType="end"/>
          </w:r>
        </w:p>
      </w:sdtContent>
    </w:sdt>
    <w:p>
      <w:pPr>
        <w:sectPr>
          <w:footerReference w:type="default" r:id="rId22"/>
          <w:pgSz w:w="11900" w:h="16840"/>
          <w:pgMar w:top="2396" w:right="1251" w:bottom="2396" w:left="1251" w:header="1968" w:footer="3" w:gutter="0"/>
          <w:pgNumType w:start="1"/>
          <w:cols w:space="720"/>
          <w:noEndnote/>
          <w:docGrid w:linePitch="360"/>
        </w:sectPr>
      </w:pPr>
    </w:p>
    <w:p>
      <w:pPr>
        <w:pStyle w:val="11"/>
        <w:ind w:firstLine="0" w:firstLineChars="0" w:leftChars="0"/>
      </w:pPr>
      <w:bookmarkStart w:id="1" w:name="_PaperHeading000"/>
      <w:r>
        <w:t>1 问题重述与分析</w:t>
      </w:r>
      <w:bookmarkEnd w:id="1"/>
    </w:p>
    <w:p>
      <w:pPr>
        <w:pStyle w:val="20"/>
        <w:ind w:firstLine="0" w:firstLineChars="0" w:leftChars="0"/>
      </w:pPr>
      <w:bookmarkStart w:id="2" w:name="_PaperHeading001"/>
      <w:r>
        <w:t>1.1 问题背景</w:t>
      </w:r>
      <w:bookmarkEnd w:id="2"/>
    </w:p>
    <w:p>
      <w:pPr>
        <w:pStyle w:val="a2"/>
        <w:widowControl/>
      </w:pPr>
      <w:r>
        <w:t>情感预测是自然人机交互、智能客服和具身智能中的基础任务。人在表达态度时，词语内容、语音韵律和面部行为通常同时参与：文本提供语义线索，音频反映语速、停顿和声音变化，视觉提供表情与动作信息。单一模态可能出现语义歧义或观测不足，因而需要建立能够利用多源信息的预测模型。</w:t>
      </w:r>
    </w:p>
    <w:p>
      <w:pPr>
        <w:pStyle w:val="a2"/>
        <w:widowControl/>
      </w:pPr>
      <w:r>
        <w:t>实际场景与理想的完整输入存在差异。音视频采样频率不同，词语持续时间不等，特征序列需要明确的对应关系；转写失败、声学干扰和人脸检测失败可能造成局部观测不可用；预测模型即使输出准确，也可能无法说明其主要依据。因此，本题需要同时处理特征提取与对齐、局部缺失下的稳定预测，以及可回查原始素材的解释三个问题。</w:t>
      </w:r>
    </w:p>
    <w:p>
      <w:pPr>
        <w:pStyle w:val="a2"/>
        <w:widowControl/>
      </w:pPr>
      <w:r>
        <w:t>本研究以赛题提供的CMU-MOSEI相关视频与标准化特征为唯一情感建模数据来源[1]。对于情感极性采用负向、中性、正向三分类，对于强度采用连续值回归。通用预训练编码器用于基础特征处理，模型参数、结构选择与结果统计均服从题目规定的数据使用边界。</w:t>
      </w:r>
    </w:p>
    <w:p>
      <w:pPr>
        <w:pStyle w:val="20"/>
        <w:ind w:firstLine="0" w:firstLineChars="0" w:leftChars="0"/>
      </w:pPr>
      <w:bookmarkStart w:id="3" w:name="_PaperHeading002"/>
      <w:r>
        <w:t>1.2 问题重述</w:t>
      </w:r>
      <w:bookmarkEnd w:id="3"/>
    </w:p>
    <w:p>
      <w:pPr>
        <w:pStyle w:val="30"/>
        <w:ind w:firstLine="0" w:firstLineChars="0" w:leftChars="0" w:left="142"/>
      </w:pPr>
      <w:r>
        <w:t>1.2.1 问题一：多模态特征提取与时序对齐</w:t>
      </w:r>
    </w:p>
    <w:p>
      <w:pPr>
        <w:pStyle w:val="a2"/>
        <w:widowControl/>
      </w:pPr>
      <w:r>
        <w:t>针对附件1的100条原始视频及配套英文转写文本，建立文本、语音、视觉三种情感相关特征的定义、提取和对齐流程。输出须覆盖全部样本，保留样本标识、特征矩阵、有效长度、填充规则与原素材的对应记录；说明工具版本和关键参数，并通过典型样本展示文本片段、语音区间、视频帧段之间的对应关系。自主生成的特征文件应具有完整性、可核验性和可复现性。</w:t>
      </w:r>
    </w:p>
    <w:p>
      <w:pPr>
        <w:pStyle w:val="30"/>
        <w:ind w:firstLine="0" w:firstLineChars="0" w:leftChars="0" w:left="142"/>
      </w:pPr>
      <w:r>
        <w:t>1.2.2 问题二：局部模态缺失下的鲁棒情感预测</w:t>
      </w:r>
    </w:p>
    <w:p>
      <w:pPr>
        <w:pStyle w:val="a2"/>
        <w:widowControl/>
      </w:pPr>
      <w:r>
        <w:t>针对一个或多个模态的部分连续位置不可用的情形，利用附件2训练集建立情感极性与强度预测模型，在验证集选择结构及参数，并分析缺失模态类型、缺失位置和区间长度对性能的影响。局部缺失不等于整路模态完全不存在。最终使用冻结的预测器对附件3全部30条无标签样本输出结果。第一问自提特征不是第二问训练的必需前置输入。</w:t>
      </w:r>
    </w:p>
    <w:p>
      <w:pPr>
        <w:pStyle w:val="30"/>
        <w:ind w:firstLine="0" w:firstLineChars="0" w:leftChars="0" w:left="142"/>
      </w:pPr>
      <w:r>
        <w:t>1.2.3 问题三：可解释性情感预测</w:t>
      </w:r>
    </w:p>
    <w:p>
      <w:pPr>
        <w:pStyle w:val="a2"/>
        <w:widowControl/>
      </w:pPr>
      <w:r>
        <w:t>针对决策依据不易追溯的问题，建立同时输出情感预测、主要参考模态、模态作用程度与局部关键证据的分析方法。模型仍在附件2训练/验证划分上学习与选择，附件4的20条样本用于最终预测和解释。关键证据需要对应原始文本片段、语音时段或视觉关键帧，不能只给出没有原素材对应关系的注意力热力图。</w:t>
      </w:r>
    </w:p>
    <w:p>
      <w:pPr>
        <w:pStyle w:val="20"/>
        <w:ind w:firstLine="0" w:firstLineChars="0" w:leftChars="0"/>
      </w:pPr>
      <w:bookmarkStart w:id="4" w:name="_PaperHeading003"/>
      <w:r>
        <w:t>1.3 问题分析</w:t>
      </w:r>
      <w:bookmarkEnd w:id="4"/>
    </w:p>
    <w:p>
      <w:pPr>
        <w:pStyle w:val="30"/>
        <w:ind w:firstLine="0" w:firstLineChars="0" w:leftChars="0" w:left="142"/>
      </w:pPr>
      <w:r>
        <w:t>1.3.1 多模态时间尺度差异与特征对应问题</w:t>
      </w:r>
    </w:p>
    <w:p>
      <w:pPr>
        <w:pStyle w:val="a2"/>
        <w:widowControl/>
      </w:pPr>
      <w:r>
        <w:t>文本以词或子词组织，声学特征通常以短时窗采样，视觉以视频帧组织，三者长度与时间分辨率不同。仅将三个矩阵截成同样行数，不能保证相同行具有相同时间含义。问题一应建立统一时间基准，并保存词到子词、子词到时间区间和音视频聚合窗口的映射。对于官方对齐特征，只接受题面给定的序列对应形式，不自行把第j行解释为视频的第j/50时刻。</w:t>
      </w:r>
    </w:p>
    <w:p>
      <w:pPr>
        <w:pStyle w:val="a2"/>
        <w:widowControl/>
      </w:pPr>
      <w:r>
        <w:t>附件1与附件2不是同一批样本。先前审计发现100条原始样本只有18条ID在附件2中出现，故不能用附件2特征代替问题一的自主提取。问题一的工具、特征维数可以合理选择，但即使与附件2维数相同，也不能据此认定两者语义或提取流程一致。</w:t>
      </w:r>
    </w:p>
    <w:p>
      <w:pPr>
        <w:pStyle w:val="30"/>
        <w:ind w:firstLine="0" w:firstLineChars="0" w:leftChars="0" w:left="142"/>
      </w:pPr>
      <w:r>
        <w:t>1.3.2 连续局部缺失与情感预测稳定性问题</w:t>
      </w:r>
    </w:p>
    <w:p>
      <w:pPr>
        <w:pStyle w:val="a2"/>
        <w:widowControl/>
      </w:pPr>
      <w:r>
        <w:t>连续缺失会在相邻位置同时移除情感线索，影响跨模态补充与时序记忆。建模时需要区分内容范围、原始可用性和人工遮挡三个概念，保留中间空位的顺序，使缺失长度提示和状态传播有明确含义。音视频全零行只能被操作性地识别为不可用观测，其成因无法仅凭数值判定。</w:t>
      </w:r>
    </w:p>
    <w:p>
      <w:pPr>
        <w:pStyle w:val="a2"/>
        <w:widowControl/>
      </w:pPr>
      <w:r>
        <w:t>本题属于不完整观测下的监督多模态序列到样本学习，而非预测未来时刻的时间序列外推。本文先构建可用观测融合及隐状态递推候选，再使用MLP、GRU和公开论文结构进行验证。模型复杂度的增加是否有效由统一条件下的实测决定，不预先假定状态递推或特征恢复一定更优。</w:t>
      </w:r>
    </w:p>
    <w:p>
      <w:pPr>
        <w:pStyle w:val="30"/>
        <w:ind w:firstLine="0" w:firstLineChars="0" w:leftChars="0" w:left="142"/>
      </w:pPr>
      <w:r>
        <w:t>1.3.3 模态作用量化与原始证据追溯问题</w:t>
      </w:r>
    </w:p>
    <w:p>
      <w:pPr>
        <w:pStyle w:val="a2"/>
        <w:widowControl/>
      </w:pPr>
      <w:r>
        <w:t>模型解释包含模态层面和局部位置层面。可通过控制输入扰动，测量某种模态或某段内容被移除后的类别概率与强度变化，再对关键区域回看原素材。由于不同模态可能包含冗余信息，单次删除后预测不变并不必然说明该模态未起作用；归因需要考虑模态组合并进行忠实性检验。</w:t>
      </w:r>
    </w:p>
    <w:p>
      <w:pPr>
        <w:pStyle w:val="a2"/>
        <w:widowControl/>
      </w:pPr>
      <w:r>
        <w:t>问题二的遮挡工具可以复用于问题三，但评价目的不同：问题二比较预测与真实标签，问题三比较模型判断在受控扰动前后的变化。附件4对齐版13号视觉全零，应标记为视觉不可用，而非解释为视觉贡献低。恢复器生成的表示属于模型估计，也不能充当视频中真实出现的表情证据。</w:t>
      </w:r>
    </w:p>
    <w:p>
      <w:pPr>
        <w:pStyle w:val="20"/>
        <w:ind w:firstLine="0" w:firstLineChars="0" w:leftChars="0"/>
      </w:pPr>
      <w:bookmarkStart w:id="5" w:name="_PaperHeading004"/>
      <w:r>
        <w:t>1.4 相关研究与本研究的比较逻辑</w:t>
      </w:r>
      <w:bookmarkEnd w:id="5"/>
    </w:p>
    <w:p>
      <w:pPr>
        <w:pStyle w:val="a2"/>
        <w:widowControl/>
      </w:pPr>
      <w:r>
        <w:t>多模态情感分析的相关研究主要从跨模态交互与不完整观测恢复两个方向展开。低秩多模态融合LMF通过因子分解表达模态间乘性交互[2]；MulT利用多个方向的跨模态注意力，将源模态信息传递到目标序列[3]；TFR-Net引入特征重建以处理不完整多模态输入[4]；EMT-DLFR以全局—局部交互结合低层重建与高层表示吸引，旨在提高缺失条件下的表示稳定性[5]。</w:t>
      </w:r>
    </w:p>
    <w:p>
      <w:pPr>
        <w:pStyle w:val="a2"/>
        <w:widowControl/>
      </w:pPr>
      <w:r>
        <w:t>这些方法与赛题的输入和评价口径存在差异。部分开源实现使用逐位置随机缺失、二分类评价或不同的文本编码器，不能直接套用论文中的数值。本文实际完成MulT和EMT-DLFR的赛题适配，统一为三分类与回归、同一冻结文本编码器和连续区间评价；LMF与TFR-Net仅作为相关工作介绍，不报告未运行方法的实验成绩。</w:t>
      </w:r>
    </w:p>
    <w:p>
      <w:pPr>
        <w:pStyle w:val="a2"/>
        <w:widowControl/>
      </w:pPr>
      <w:r>
        <w:t>既有研究提供的是候选机制，而不是本题结果的替代证据。低秩融合强调交互的参数效率，跨模态注意力强调位置间依赖，特征恢复强调不完整输入与原始可用输入之间的表示一致性。三者都可能适用于局部缺失，但其收益取决于数据规模、文本表示、遮挡机制及目标函数。本研究据此将“机制有合理动机”和“机制在本数据有效”作为两个分别需要回答的问题。</w:t>
      </w:r>
    </w:p>
    <w:p>
      <w:pPr>
        <w:pStyle w:val="a2"/>
        <w:widowControl/>
      </w:pPr>
      <w:r>
        <w:t>为区分结构复杂度与实际效果，比较由简单到复杂展开：先建立训练先验和池化融合参照，再检验连续状态递推；另用统计特征线性模型检查性能是否受融合形式限制，最后用MulT与EMT-DLFR检验公开交互与恢复机制。这样，即使较复杂的方法没有稳定提升，实验仍能排除部分直觉假设，为下一步确定真正需要改变的因素提供依据。</w:t>
      </w:r>
    </w:p>
    <w:p>
      <w:pPr>
        <w:pStyle w:val="20"/>
        <w:ind w:firstLine="0" w:firstLineChars="0" w:leftChars="0"/>
      </w:pPr>
      <w:bookmarkStart w:id="6" w:name="_PaperHeading005"/>
      <w:r>
        <w:t>1.5 总体研究路线及当前证据范围</w:t>
      </w:r>
      <w:bookmarkEnd w:id="6"/>
    </w:p>
    <w:p>
      <w:pPr>
        <w:pStyle w:val="a2"/>
        <w:widowControl/>
      </w:pPr>
      <w:r>
        <w:t>总体流程为“附件审查—统一表示与掩码—候选模型训练—缺失条件验证—专项推理与证据追溯”。数据审查先确定样本身份与输入接口，问题一以原始视频为入口建立自主特征和时间映射；问题二直接使用附件2的对齐版本，统一重编码文本，比较融合与递推模型并开展缺失消融；问题三可以复用合格预测器与掩码接口，但需另行完成模态作用分析和原视频定位。</w:t>
      </w:r>
    </w:p>
    <w:p>
      <w:pPr>
        <w:pStyle w:val="a2"/>
        <w:widowControl/>
      </w:pPr>
      <w:r>
        <w:t>当前第二问的正式实验和附件3预测已完成。第一问完成了原始视频清单核查，但尚未生成自主三模态特征；第三问尚未完成专项加载、解释验证和真实时间映射。本工作稿对已实现方法给出实测证据，对第一问和第三问设计明确区分数学依据与尚缺实验。</w:t>
      </w:r>
    </w:p>
    <w:p>
      <w:pPr>
        <w:pStyle w:val="a2"/>
        <w:keepNext/>
        <w:widowControl/>
        <w:ind w:firstLine="0" w:firstLineChars="0" w:leftChars="0"/>
        <w:jc w:val="center"/>
      </w:pPr>
      <w:r>
        <w:drawing>
          <wp:inline xmlns:a="http://schemas.openxmlformats.org/drawingml/2006/main" xmlns:pic="http://schemas.openxmlformats.org/drawingml/2006/picture">
            <wp:extent cx="5580000" cy="2688545"/>
            <wp:docPr id="1324739088" name="Picture 1324739088"/>
            <wp:cNvGraphicFramePr>
              <a:graphicFrameLocks noChangeAspect="1"/>
            </wp:cNvGraphicFramePr>
            <a:graphic>
              <a:graphicData uri="http://schemas.openxmlformats.org/drawingml/2006/picture">
                <pic:pic>
                  <pic:nvPicPr>
                    <pic:cNvPr id="0" name="技术路线.png"/>
                    <pic:cNvPicPr/>
                  </pic:nvPicPr>
                  <pic:blipFill>
                    <a:blip r:embed="rId24"/>
                    <a:stretch>
                      <a:fillRect/>
                    </a:stretch>
                  </pic:blipFill>
                  <pic:spPr>
                    <a:xfrm>
                      <a:off x="0" y="0"/>
                      <a:ext cx="5580000" cy="2688545"/>
                    </a:xfrm>
                    <a:prstGeom prst="rect"/>
                  </pic:spPr>
                </pic:pic>
              </a:graphicData>
            </a:graphic>
          </wp:inline>
        </w:drawing>
      </w:r>
    </w:p>
    <w:p>
      <w:pPr>
        <w:pStyle w:val="a"/>
        <w:ind w:firstLine="0" w:firstLineChars="0" w:leftChars="0"/>
        <w:numPr>
          <w:numId w:val="0"/>
        </w:numPr>
      </w:pPr>
      <w:r>
        <w:rPr>
          <w:rFonts w:ascii="Times New Roman" w:hAnsi="Times New Roman" w:eastAsia="宋体"/>
          <w:b/>
          <w:sz w:val="21"/>
        </w:rPr>
        <w:t>图1 总体技术路线及当前完成范围</w:t>
      </w:r>
    </w:p>
    <w:p>
      <w:pPr>
        <w:pStyle w:val="a2"/>
        <w:widowControl/>
      </w:pPr>
      <w:r>
        <w:t>题面要求最终论文依次回应三问，并将必要方法与实测结果纳入正文。当前工作稿因此保留第一问的可实施方案与第三问的验证设计，同时把充分展开的数值分析放在已完成的第二问上。后续新增成果应决定篇幅和章序，而不以补齐预设标题代替研究。</w:t>
      </w:r>
    </w:p>
    <w:p>
      <w:pPr>
        <w:pStyle w:val="11"/>
        <w:ind w:firstLine="0" w:firstLineChars="0" w:leftChars="0"/>
      </w:pPr>
      <w:bookmarkStart w:id="7" w:name="_PaperHeading006"/>
      <w:r>
        <w:t>2 从附件事实到统一模型输入</w:t>
      </w:r>
      <w:bookmarkEnd w:id="7"/>
    </w:p>
    <w:p>
      <w:pPr>
        <w:pStyle w:val="20"/>
        <w:ind w:firstLine="0" w:firstLineChars="0" w:leftChars="0"/>
      </w:pPr>
      <w:bookmarkStart w:id="8" w:name="_PaperHeading007"/>
      <w:r>
        <w:t>2.1 数据集构成与各附件使用范围</w:t>
      </w:r>
      <w:bookmarkEnd w:id="8"/>
    </w:p>
    <w:p>
      <w:pPr>
        <w:pStyle w:val="a0"/>
        <w:ind w:firstLine="0" w:firstLineChars="0" w:leftChars="0"/>
        <w:keepNext/>
        <w:numPr>
          <w:numId w:val="0"/>
        </w:numPr>
      </w:pPr>
      <w:r>
        <w:rPr>
          <w:rFonts w:ascii="Times New Roman" w:hAnsi="Times New Roman" w:eastAsia="宋体"/>
          <w:b/>
          <w:sz w:val="21"/>
        </w:rPr>
        <w:t>表1 附件构成及使用边界</w:t>
      </w:r>
    </w:p>
    <w:tbl>
      <w:tblPr>
        <w:tblW w:type="auto" w:w="0"/>
        <w:jc w:val="center"/>
        <w:tblLayout w:type="autofit"/>
        <w:tblLook w:firstColumn="1" w:firstRow="1" w:lastColumn="0" w:lastRow="0" w:noHBand="0" w:noVBand="1" w:val="04A0"/>
        <w:tblBorders>
          <w:top w:val="single" w:sz="10" w:color="000000"/>
          <w:left w:val="nil" w:sz="10" w:color="000000"/>
          <w:bottom w:val="single" w:sz="10" w:color="000000"/>
          <w:right w:val="nil" w:sz="10" w:color="000000"/>
          <w:insideH w:val="nil" w:sz="10" w:color="000000"/>
          <w:insideV w:val="nil" w:sz="10" w:color="000000"/>
        </w:tblBorders>
      </w:tblPr>
      <w:tblGrid>
        <w:gridCol w:w="3133"/>
        <w:gridCol w:w="3133"/>
        <w:gridCol w:w="3133"/>
      </w:tblGrid>
      <w:tr>
        <w:trPr>
          <w:cantSplit/>
          <w:tblHeader/>
        </w:trPr>
        <w:tc>
          <w:tcPr>
            <w:tcW w:type="dxa" w:w="3133"/>
            <w:tcBorders>
              <w:bottom w:val="single" w:sz="6"/>
            </w:tcBorders>
          </w:tcPr>
          <w:p>
            <w:pPr>
              <w:pStyle w:val="a2"/>
              <w:spacing w:before="40" w:after="40" w:line="252" w:lineRule="auto"/>
              <w:ind w:firstLine="0" w:firstLineChars="0" w:leftChars="0" w:left="0"/>
            </w:pPr>
            <w:r>
              <w:rPr>
                <w:rFonts w:ascii="Times New Roman" w:hAnsi="Times New Roman" w:eastAsia="宋体"/>
                <w:b/>
                <w:sz w:val="21"/>
              </w:rPr>
              <w:t>附件</w:t>
            </w:r>
          </w:p>
        </w:tc>
        <w:tc>
          <w:tcPr>
            <w:tcW w:type="dxa" w:w="3133"/>
            <w:tcBorders>
              <w:bottom w:val="single" w:sz="6"/>
            </w:tcBorders>
          </w:tcPr>
          <w:p>
            <w:pPr>
              <w:pStyle w:val="a2"/>
              <w:spacing w:before="40" w:after="40" w:line="252" w:lineRule="auto"/>
              <w:ind w:firstLine="0" w:firstLineChars="0" w:leftChars="0" w:left="0"/>
            </w:pPr>
            <w:r>
              <w:rPr>
                <w:rFonts w:ascii="Times New Roman" w:hAnsi="Times New Roman" w:eastAsia="宋体"/>
                <w:b/>
                <w:sz w:val="21"/>
              </w:rPr>
              <w:t>规模与内容</w:t>
            </w:r>
          </w:p>
        </w:tc>
        <w:tc>
          <w:tcPr>
            <w:tcW w:type="dxa" w:w="3133"/>
            <w:tcBorders>
              <w:bottom w:val="single" w:sz="6"/>
            </w:tcBorders>
          </w:tcPr>
          <w:p>
            <w:pPr>
              <w:pStyle w:val="a2"/>
              <w:spacing w:before="40" w:after="40" w:line="252" w:lineRule="auto"/>
              <w:ind w:firstLine="0" w:firstLineChars="0" w:leftChars="0" w:left="0"/>
            </w:pPr>
            <w:r>
              <w:rPr>
                <w:rFonts w:ascii="Times New Roman" w:hAnsi="Times New Roman" w:eastAsia="宋体"/>
                <w:b/>
                <w:sz w:val="21"/>
              </w:rPr>
              <w:t>本研究用途</w:t>
            </w:r>
          </w:p>
        </w:tc>
      </w:tr>
      <w:tr>
        <w:trPr>
          <w:cantSplit/>
        </w:trPr>
        <w:tc>
          <w:tcPr>
            <w:tcW w:type="dxa" w:w="3133"/>
          </w:tcPr>
          <w:p>
            <w:pPr>
              <w:pStyle w:val="a2"/>
              <w:spacing w:before="40" w:after="40" w:line="252" w:lineRule="auto"/>
              <w:ind w:firstLine="0" w:firstLineChars="0" w:leftChars="0" w:left="0"/>
            </w:pPr>
            <w:r>
              <w:rPr>
                <w:rFonts w:ascii="Times New Roman" w:hAnsi="Times New Roman" w:eastAsia="宋体"/>
                <w:b w:val="0"/>
                <w:sz w:val="21"/>
              </w:rPr>
              <w:t>附件1</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100条视频，37个原视频目录，英文文本与标签</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问题一自主特征；本稿仅完成原始清单核查</w:t>
            </w:r>
          </w:p>
        </w:tc>
      </w:tr>
      <w:tr>
        <w:trPr>
          <w:cantSplit/>
        </w:trPr>
        <w:tc>
          <w:tcPr>
            <w:tcW w:type="dxa" w:w="3133"/>
          </w:tcPr>
          <w:p>
            <w:pPr>
              <w:pStyle w:val="a2"/>
              <w:spacing w:before="40" w:after="40" w:line="252" w:lineRule="auto"/>
              <w:ind w:firstLine="0" w:firstLineChars="0" w:leftChars="0" w:left="0"/>
            </w:pPr>
            <w:r>
              <w:rPr>
                <w:rFonts w:ascii="Times New Roman" w:hAnsi="Times New Roman" w:eastAsia="宋体"/>
                <w:b w:val="0"/>
                <w:sz w:val="21"/>
              </w:rPr>
              <w:t>附件2</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4850条；训练3395/验证728/测试727</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训练拟合与开发验证；test标签未用于选模</w:t>
            </w:r>
          </w:p>
        </w:tc>
      </w:tr>
      <w:tr>
        <w:trPr>
          <w:cantSplit/>
        </w:trPr>
        <w:tc>
          <w:tcPr>
            <w:tcW w:type="dxa" w:w="3133"/>
          </w:tcPr>
          <w:p>
            <w:pPr>
              <w:pStyle w:val="a2"/>
              <w:spacing w:before="40" w:after="40" w:line="252" w:lineRule="auto"/>
              <w:ind w:firstLine="0" w:firstLineChars="0" w:leftChars="0" w:left="0"/>
            </w:pPr>
            <w:r>
              <w:rPr>
                <w:rFonts w:ascii="Times New Roman" w:hAnsi="Times New Roman" w:eastAsia="宋体"/>
                <w:b w:val="0"/>
                <w:sz w:val="21"/>
              </w:rPr>
              <w:t>附件3</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30条无标签局部缺失特征；两版本</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第二问冻结模型后的最终推理</w:t>
            </w:r>
          </w:p>
        </w:tc>
      </w:tr>
      <w:tr>
        <w:trPr>
          <w:cantSplit/>
        </w:trPr>
        <w:tc>
          <w:tcPr>
            <w:tcW w:type="dxa" w:w="3133"/>
          </w:tcPr>
          <w:p>
            <w:pPr>
              <w:pStyle w:val="a2"/>
              <w:spacing w:before="40" w:after="40" w:line="252" w:lineRule="auto"/>
              <w:ind w:firstLine="0" w:firstLineChars="0" w:leftChars="0" w:left="0"/>
            </w:pPr>
            <w:r>
              <w:rPr>
                <w:rFonts w:ascii="Times New Roman" w:hAnsi="Times New Roman" w:eastAsia="宋体"/>
                <w:b w:val="0"/>
                <w:sz w:val="21"/>
              </w:rPr>
              <w:t>附件4</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20条无标签视频及特征；两版本</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第三问最终预测与证据回看，尚待实现</w:t>
            </w:r>
          </w:p>
        </w:tc>
      </w:tr>
    </w:tbl>
    <w:p>
      <w:pPr>
        <w:pStyle w:val="a2"/>
        <w:widowControl/>
      </w:pPr>
      <w:r>
        <w:t>第二问选择aligned_50版本。官方文本连续特征维数为768，音频74，视觉35；但附件3对齐版没有预计算text字段，因此训练、验证和专项统一从text_bert经固定BERT-Mini编码，得到256维文本向量。这是共同输入接口的工程选择，不意味着新256维向量等价于官方768维特征。</w:t>
      </w:r>
    </w:p>
    <w:p>
      <w:pPr>
        <w:pStyle w:val="a2"/>
        <w:widowControl/>
      </w:pPr>
      <w:r>
        <w:t>选用对齐版的主要理由是其三个模态共享最多50个存储位置，能够直接定义相同内容区间上的受控遮挡，便于将实验差异归因于模型而非额外对齐误差。该选择并不证明对齐版优于未对齐版，也不取消逐位置质量检查。未对齐版仍是题面允许的路线，但需要独立处理三个时间轴及失真的长度字段，本轮没有将两版特征混合使用。</w:t>
      </w:r>
    </w:p>
    <w:p>
      <w:pPr>
        <w:pStyle w:val="20"/>
        <w:ind w:firstLine="0" w:firstLineChars="0" w:leftChars="0"/>
      </w:pPr>
      <w:bookmarkStart w:id="9" w:name="_PaperHeading008"/>
      <w:r>
        <w:t>2.2 样本编号对应与数据完整性检查</w:t>
      </w:r>
      <w:bookmarkEnd w:id="9"/>
    </w:p>
    <w:p>
      <w:pPr>
        <w:pStyle w:val="a2"/>
        <w:widowControl/>
      </w:pPr>
      <w:r>
        <w:t>附件1以video_id和clip_id共同确定样本，原视频路径按两级目录对应。对100条清单逐一核对视频存在性并读取音视频轨道元数据，均能找到配套文件。此次仅核查容器及轨道可解析性，不将其等同于逐帧观看、语义校验或已完成特征提取。</w:t>
      </w:r>
    </w:p>
    <w:p>
      <w:pPr>
        <w:pStyle w:val="a2"/>
        <w:widowControl/>
      </w:pPr>
      <w:r>
        <w:t>附件2按划分与字段集中存储，样本应从data[split][field][i]读取。ID使用“video_id$_$clip_id”格式，不能按下划线任意拆分。附件3缺少内部id，采用原始文件名作为稳定标识并自然排序；附件4单条矩阵没有同样的批次轴，需要额外适配，不能直接复用附件3入口。</w:t>
      </w:r>
    </w:p>
    <w:p>
      <w:pPr>
        <w:pStyle w:val="a2"/>
        <w:widowControl/>
      </w:pPr>
      <w:r>
        <w:t>输入审计确认附件3有4条未对齐文本与附件2 test相同，附件4有5条四项特征与附件2 test完全相同。因此，附件2 test和专项测试不能无条件作为相互独立的两份证据。重合仅用于数据质量说明，未导出匹配标签，也未用于恢复专项缺失内容。</w:t>
      </w:r>
    </w:p>
    <w:p>
      <w:pPr>
        <w:pStyle w:val="a2"/>
        <w:widowControl/>
      </w:pPr>
      <w:r>
        <w:t>跨附件重合应解释为评估证据之间的相关性，而不是可用的监督来源。若专项样本与附件2测试输入相同，读取其测试标签再填写专项输出会改变原任务。本文只保留输入重合计数，并将预测路径限制为冻结权重、训练统计量和专项可见输入。因此，本轮专项输出仍是无标签推理，不能与附件2 test结果合并为两次独立验证。</w:t>
      </w:r>
    </w:p>
    <w:p>
      <w:pPr>
        <w:pStyle w:val="20"/>
        <w:ind w:firstLine="0" w:firstLineChars="0" w:leftChars="0"/>
      </w:pPr>
      <w:bookmarkStart w:id="10" w:name="_PaperHeading009"/>
      <w:r>
        <w:t>2.3 标签定义与训练、验证数据组织</w:t>
      </w:r>
      <w:bookmarkEnd w:id="10"/>
    </w:p>
    <w:p>
      <w:pPr>
        <w:pStyle w:val="工作稿公式"/>
        <w:spacing w:before="100" w:after="100"/>
        <w:ind w:firstLine="0" w:firstLineChars="0" w:leftChars="0"/>
        <w:jc w:val="center"/>
      </w:pPr>
      <m:oMath>
        <m:r>
          <m:t>cᵢ = 0（yᵢ &lt; 0）；cᵢ = 1（yᵢ = 0）；cᵢ = 2（yᵢ &gt; 0）</m:t>
        </m:r>
      </m:oMath>
      <w:r>
        <w:rPr>
          <w:rFonts w:ascii="Times New Roman" w:hAnsi="Times New Roman" w:eastAsia="宋体"/>
          <w:sz w:val="20"/>
        </w:rPr>
        <w:t xml:space="preserve">  （2-1）</w:t>
      </w:r>
    </w:p>
    <w:p>
      <w:pPr>
        <w:pStyle w:val="a2"/>
        <w:widowControl/>
      </w:pPr>
      <w:r>
        <w:t>式（2-1）中分类编码0代表负向，而连续强度0代表中性，两者不可混淆。训练时分类标签转换为整数long，回归标签转换为浮点数。附件1表格中的连续标签实际存为字符串，原始清单读取时显式转换为数值。</w:t>
      </w:r>
    </w:p>
    <w:p>
      <w:pPr>
        <w:pStyle w:val="a2"/>
        <w:widowControl/>
      </w:pPr>
      <w:r>
        <w:t>保留官方划分。训练集与验证集分别含3395和728条样本，原始video_id在训练、验证、测试划分之间无交集。标准化、类别先验、强度中位数等参数仅由训练集计算；验证集用于早停及结构选择，因此本文所有验证分数均是开发评价，不声称为独立测试泛化精度。</w:t>
      </w:r>
    </w:p>
    <w:p>
      <w:pPr>
        <w:pStyle w:val="a2"/>
        <w:widowControl/>
      </w:pPr>
      <w:r>
        <w:t>“中性”在本题是强度恰为0的独立类别，不是自行设置的宽阈值区间。将|y|较小的样本都并入中性，会改变训练标签与官方评价任务。后文为诊断而划分的弱情感子集只用于报告分组误差，不改变标签、不选择新的分类阈值。</w:t>
      </w:r>
    </w:p>
    <w:p>
      <w:pPr>
        <w:pStyle w:val="20"/>
        <w:ind w:firstLine="0" w:firstLineChars="0" w:leftChars="0"/>
      </w:pPr>
      <w:bookmarkStart w:id="11" w:name="_PaperHeading010"/>
      <w:r>
        <w:t>2.4 序列有效长度、填充位置与模态缺失的区分</w:t>
      </w:r>
      <w:bookmarkEnd w:id="11"/>
    </w:p>
    <w:p>
      <w:pPr>
        <w:pStyle w:val="a2"/>
        <w:widowControl/>
      </w:pPr>
      <w:r>
        <w:t>存储长度50包括[CLS]、内容词元、[SEP]和padding，真实内容最多48个词元。本文用经核验的[SEP]定位内容尾端，排除特殊标记和padding，同时保留内容区的内部空位。文本attention连续为1只说明位置存在，不能证明文字内容完整。</w:t>
      </w:r>
    </w:p>
    <w:p>
      <w:pPr>
        <w:pStyle w:val="工作稿公式"/>
        <w:spacing w:before="100" w:after="100"/>
        <w:ind w:firstLine="0" w:firstLineChars="0" w:leftChars="0"/>
        <w:jc w:val="center"/>
      </w:pPr>
      <m:oMath>
        <m:r>
          <m:t>Lᵢ = Σₜ sᵢₜ；oᵢₜᵐ ∈ {0,1}；õᵢₜᵐ = sᵢₜ oᵢₜᵐ (1−bᵢₜᵐ)</m:t>
        </m:r>
      </m:oMath>
      <w:r>
        <w:rPr>
          <w:rFonts w:ascii="Times New Roman" w:hAnsi="Times New Roman" w:eastAsia="宋体"/>
          <w:sz w:val="20"/>
        </w:rPr>
        <w:t xml:space="preserve">  （2-2）</w:t>
      </w:r>
    </w:p>
    <w:p>
      <w:pPr>
        <w:pStyle w:val="a2"/>
        <w:widowControl/>
      </w:pPr>
      <w:r>
        <w:t>附件3中27/30条含token 100，即[UNK]，合计131处；内容区该掩码与音频全零位置在30条样本中逐位一致。配对输入还确认了原词元被替换而attention保持1。故对本附件将100视为不可用文本标记，在BERT编码之前擦除词元、attention及segment，再按可用掩码清零输出。通用文本未知词的语义不作同样推断。</w:t>
      </w:r>
    </w:p>
    <w:p>
      <w:pPr>
        <w:pStyle w:val="a2"/>
        <w:widowControl/>
      </w:pPr>
      <w:r>
        <w:t>附件2对齐版音视频第0行与第49行均为结构性零；预计算文本在padding处仍有非零向量，不能以向量非零判断有效文本。未对齐版有890条样本在vision_lengths之后仍有非零视觉行，直接前缀裁剪会丢失观测；本研究选择对齐版避开该长度字段，并仍采用逐位置掩码，不将非零行压紧。</w:t>
      </w:r>
    </w:p>
    <w:p>
      <w:pPr>
        <w:pStyle w:val="a2"/>
        <w:keepNext/>
        <w:widowControl/>
        <w:ind w:firstLine="0" w:firstLineChars="0" w:leftChars="0"/>
        <w:jc w:val="center"/>
      </w:pPr>
      <w:r>
        <w:drawing>
          <wp:inline xmlns:a="http://schemas.openxmlformats.org/drawingml/2006/main" xmlns:pic="http://schemas.openxmlformats.org/drawingml/2006/picture">
            <wp:extent cx="5580000" cy="2489538"/>
            <wp:docPr id="1324739089" name="Picture 1324739089"/>
            <wp:cNvGraphicFramePr>
              <a:graphicFrameLocks noChangeAspect="1"/>
            </wp:cNvGraphicFramePr>
            <a:graphic>
              <a:graphicData uri="http://schemas.openxmlformats.org/drawingml/2006/picture">
                <pic:pic>
                  <pic:nvPicPr>
                    <pic:cNvPr id="0" name="attention_vs_availability.png"/>
                    <pic:cNvPicPr/>
                  </pic:nvPicPr>
                  <pic:blipFill>
                    <a:blip r:embed="rId25"/>
                    <a:stretch>
                      <a:fillRect/>
                    </a:stretch>
                  </pic:blipFill>
                  <pic:spPr>
                    <a:xfrm>
                      <a:off x="0" y="0"/>
                      <a:ext cx="5580000" cy="2489538"/>
                    </a:xfrm>
                    <a:prstGeom prst="rect"/>
                  </pic:spPr>
                </pic:pic>
              </a:graphicData>
            </a:graphic>
          </wp:inline>
        </w:drawing>
      </w:r>
    </w:p>
    <w:p>
      <w:pPr>
        <w:pStyle w:val="a"/>
        <w:ind w:firstLine="0" w:firstLineChars="0" w:leftChars="0"/>
        <w:numPr>
          <w:numId w:val="0"/>
        </w:numPr>
      </w:pPr>
      <w:r>
        <w:rPr>
          <w:rFonts w:ascii="Times New Roman" w:hAnsi="Times New Roman" w:eastAsia="宋体"/>
          <w:b/>
          <w:sz w:val="21"/>
        </w:rPr>
        <w:t>图2 附件3中attention与内容可用性不同：03号与20号实测掩码</w:t>
      </w:r>
    </w:p>
    <w:p>
      <w:pPr>
        <w:pStyle w:val="a2"/>
        <w:widowControl/>
      </w:pPr>
      <w:r>
        <w:t>长度字段失真、padding向量非零和UNK仍有attention，分别说明三个不同问题：序列终点不能由单模态首次失败决定，位置是否存在不能由向量范数决定，内容是否可见也不能由attention单独决定。故输入适配器同时保存内容掩码与观测掩码。以内容内“可见—缺失—可见”为例，序列长度仍为3，后一观测必须保留在第3个位置；压成长度2会改变时间间隔和相对位置。</w:t>
      </w:r>
    </w:p>
    <w:p>
      <w:pPr>
        <w:pStyle w:val="a2"/>
        <w:widowControl/>
      </w:pPr>
      <w:r>
        <w:t>训练集原始视觉完全不可用的110条样本仍保留。将这类样本删除会改变类别与内容分布；把全零视觉当作正常测量又会制造不存在的观测。当前处理是保留样本与标签，只让可见文本、音频及缺失状态参与预测。这里“不可用”是数值接口上的操作定义，并未识别出自然检测失败与人工遮挡各自的真实原因。</w:t>
      </w:r>
    </w:p>
    <w:p>
      <w:pPr>
        <w:pStyle w:val="20"/>
        <w:ind w:firstLine="0" w:firstLineChars="0" w:leftChars="0"/>
      </w:pPr>
      <w:bookmarkStart w:id="12" w:name="_PaperHeading011"/>
      <w:r>
        <w:t>2.5 异常值处理与特征标准化</w:t>
      </w:r>
      <w:bookmarkEnd w:id="12"/>
    </w:p>
    <w:p>
      <w:pPr>
        <w:pStyle w:val="a2"/>
        <w:widowControl/>
      </w:pPr>
      <w:r>
        <w:t>首先校验字段、形状、词元整数性和有限性。附件3的token存为float32，只有全部为合法整数且位于词表范围内时才转换为long。第二问当前训练与验证音视频数据中未发现非有限元素；若未来遇到非有限行，按不可用观测处理并输出质量标记，而不静默删除样本。</w:t>
      </w:r>
    </w:p>
    <w:p>
      <w:pPr>
        <w:pStyle w:val="工作稿公式"/>
        <w:spacing w:before="100" w:after="100"/>
        <w:ind w:firstLine="0" w:firstLineChars="0" w:leftChars="0"/>
        <w:jc w:val="center"/>
      </w:pPr>
      <m:oMath>
        <m:r>
          <m:t>μⱼᵐ = (Σᵢ,ₜ oᵢₜᵐ xᵢₜⱼᵐ)/(Σᵢ,ₜ oᵢₜᵐ)，i仅取训练集</m:t>
        </m:r>
      </m:oMath>
      <w:r>
        <w:rPr>
          <w:rFonts w:ascii="Times New Roman" w:hAnsi="Times New Roman" w:eastAsia="宋体"/>
          <w:sz w:val="20"/>
        </w:rPr>
        <w:t xml:space="preserve">  （2-3）</w:t>
      </w:r>
    </w:p>
    <w:p>
      <w:pPr>
        <w:pStyle w:val="工作稿公式"/>
        <w:spacing w:before="100" w:after="100"/>
        <w:ind w:firstLine="0" w:firstLineChars="0" w:leftChars="0"/>
        <w:jc w:val="center"/>
      </w:pPr>
      <m:oMath>
        <m:r>
          <m:t>σⱼᵐ = max{√[(Σᵢ,ₜ oᵢₜᵐ(xᵢₜⱼᵐ−μⱼᵐ)²)/(Σᵢ,ₜ oᵢₜᵐ)]，10⁻⁵}</m:t>
        </m:r>
      </m:oMath>
      <w:r>
        <w:rPr>
          <w:rFonts w:ascii="Times New Roman" w:hAnsi="Times New Roman" w:eastAsia="宋体"/>
          <w:sz w:val="20"/>
        </w:rPr>
        <w:t xml:space="preserve">  （2-4）</w:t>
      </w:r>
    </w:p>
    <w:p>
      <w:pPr>
        <w:pStyle w:val="工作稿公式"/>
        <w:spacing w:before="100" w:after="100"/>
        <w:ind w:firstLine="0" w:firstLineChars="0" w:leftChars="0"/>
        <w:jc w:val="center"/>
      </w:pPr>
      <m:oMath>
        <m:r>
          <m:t>x̃ᵢₜⱼᵐ = (xᵢₜⱼᵐ−μⱼᵐ)/σⱼᵐ（观测可用）；否则x̃ᵢₜⱼᵐ=0</m:t>
        </m:r>
      </m:oMath>
      <w:r>
        <w:rPr>
          <w:rFonts w:ascii="Times New Roman" w:hAnsi="Times New Roman" w:eastAsia="宋体"/>
          <w:sz w:val="20"/>
        </w:rPr>
        <w:t xml:space="preserve">  （2-5）</w:t>
      </w:r>
    </w:p>
    <w:p>
      <w:pPr>
        <w:pStyle w:val="a2"/>
        <w:widowControl/>
      </w:pPr>
      <w:r>
        <w:t>式（2-3）—（2-5）用于音频与视觉，掩码在原始特征上先生成，再进行标准化；文本词元编号不做Z-score。复查时仅用训练可用观测重算音视频均值和标准差，与已有统计量逐元素相同，最大绝对差为0。原始PKL保持不变，异常处理只作用于模型输入。</w:t>
      </w:r>
    </w:p>
    <w:p>
      <w:pPr>
        <w:pStyle w:val="a2"/>
        <w:widowControl/>
      </w:pPr>
      <w:r>
        <w:t>掩码必须先于标准化生成。若原始缺失行x=0，而训练均值μ≠0，则Z-score后得到−μ/σ，数值通常不再为零；再用非零规则会把缺失误判为观测。本文先在原始特征上确定o，再对o=1的训练位置拟合尺度，变换后将o=0的行重置为零。冻结这些统计量可避免验证或专项分布反向影响训练尺度。</w:t>
      </w:r>
    </w:p>
    <w:p>
      <w:pPr>
        <w:pStyle w:val="a2"/>
        <w:widowControl/>
      </w:pPr>
      <w:r>
        <w:t>同理，文本缺失必须在上下文化编码之前实施。令E为BERT编码器、M为词元遮挡算子，一般有M·E(x)≠E(M·x)：左侧其他位置仍可能通过自注意力含有被遮词的信息。因此各实验共享“遮词元—重编码—按观测掩码清零”的路径，恢复监督也只从训练可用输入构造。本轮缓存通过输入不变量测试核验，而非仅检查文件能否加载。</w:t>
      </w:r>
    </w:p>
    <w:p>
      <w:pPr>
        <w:pStyle w:val="20"/>
        <w:ind w:firstLine="0" w:firstLineChars="0" w:leftChars="0"/>
      </w:pPr>
      <w:bookmarkStart w:id="13" w:name="_PaperHeading012"/>
      <w:r>
        <w:t>2.6 样本分布与数据质量统计</w:t>
      </w:r>
      <w:bookmarkEnd w:id="13"/>
    </w:p>
    <w:p>
      <w:pPr>
        <w:pStyle w:val="a0"/>
        <w:ind w:firstLine="0" w:firstLineChars="0" w:leftChars="0"/>
        <w:keepNext/>
        <w:numPr>
          <w:numId w:val="0"/>
        </w:numPr>
      </w:pPr>
      <w:r>
        <w:rPr>
          <w:rFonts w:ascii="Times New Roman" w:hAnsi="Times New Roman" w:eastAsia="宋体"/>
          <w:b/>
          <w:sz w:val="21"/>
        </w:rPr>
        <w:t>表2 数据分布与质量统计</w:t>
      </w:r>
    </w:p>
    <w:tbl>
      <w:tblPr>
        <w:tblW w:type="auto" w:w="0"/>
        <w:jc w:val="center"/>
        <w:tblLayout w:type="autofit"/>
        <w:tblLook w:firstColumn="1" w:firstRow="1" w:lastColumn="0" w:lastRow="0" w:noHBand="0" w:noVBand="1" w:val="04A0"/>
        <w:tblBorders>
          <w:top w:val="single" w:sz="10" w:color="000000"/>
          <w:left w:val="nil" w:sz="10" w:color="000000"/>
          <w:bottom w:val="single" w:sz="10" w:color="000000"/>
          <w:right w:val="nil" w:sz="10" w:color="000000"/>
          <w:insideH w:val="nil" w:sz="10" w:color="000000"/>
          <w:insideV w:val="nil" w:sz="10" w:color="000000"/>
        </w:tblBorders>
      </w:tblPr>
      <w:tblGrid>
        <w:gridCol w:w="2349"/>
        <w:gridCol w:w="2349"/>
        <w:gridCol w:w="2349"/>
        <w:gridCol w:w="2349"/>
      </w:tblGrid>
      <w:tr>
        <w:trPr>
          <w:cantSplit/>
          <w:tblHeader/>
        </w:trPr>
        <w:tc>
          <w:tcPr>
            <w:tcW w:type="dxa" w:w="2349"/>
            <w:tcBorders>
              <w:bottom w:val="single" w:sz="6"/>
            </w:tcBorders>
          </w:tcPr>
          <w:p>
            <w:pPr>
              <w:pStyle w:val="a2"/>
              <w:spacing w:before="40" w:after="40" w:line="252" w:lineRule="auto"/>
              <w:ind w:firstLine="0" w:firstLineChars="0" w:leftChars="0" w:left="0"/>
            </w:pPr>
            <w:r>
              <w:rPr>
                <w:rFonts w:ascii="Times New Roman" w:hAnsi="Times New Roman" w:eastAsia="宋体"/>
                <w:b/>
                <w:sz w:val="21"/>
              </w:rPr>
              <w:t>项目</w:t>
            </w:r>
          </w:p>
        </w:tc>
        <w:tc>
          <w:tcPr>
            <w:tcW w:type="dxa" w:w="2349"/>
            <w:tcBorders>
              <w:bottom w:val="single" w:sz="6"/>
            </w:tcBorders>
          </w:tcPr>
          <w:p>
            <w:pPr>
              <w:pStyle w:val="a2"/>
              <w:spacing w:before="40" w:after="40" w:line="252" w:lineRule="auto"/>
              <w:ind w:firstLine="0" w:firstLineChars="0" w:leftChars="0" w:left="0"/>
            </w:pPr>
            <w:r>
              <w:rPr>
                <w:rFonts w:ascii="Times New Roman" w:hAnsi="Times New Roman" w:eastAsia="宋体"/>
                <w:b/>
                <w:sz w:val="21"/>
              </w:rPr>
              <w:t>训练集</w:t>
            </w:r>
          </w:p>
        </w:tc>
        <w:tc>
          <w:tcPr>
            <w:tcW w:type="dxa" w:w="2349"/>
            <w:tcBorders>
              <w:bottom w:val="single" w:sz="6"/>
            </w:tcBorders>
          </w:tcPr>
          <w:p>
            <w:pPr>
              <w:pStyle w:val="a2"/>
              <w:spacing w:before="40" w:after="40" w:line="252" w:lineRule="auto"/>
              <w:ind w:firstLine="0" w:firstLineChars="0" w:leftChars="0" w:left="0"/>
            </w:pPr>
            <w:r>
              <w:rPr>
                <w:rFonts w:ascii="Times New Roman" w:hAnsi="Times New Roman" w:eastAsia="宋体"/>
                <w:b/>
                <w:sz w:val="21"/>
              </w:rPr>
              <w:t>验证集</w:t>
            </w:r>
          </w:p>
        </w:tc>
        <w:tc>
          <w:tcPr>
            <w:tcW w:type="dxa" w:w="2349"/>
            <w:tcBorders>
              <w:bottom w:val="single" w:sz="6"/>
            </w:tcBorders>
          </w:tcPr>
          <w:p>
            <w:pPr>
              <w:pStyle w:val="a2"/>
              <w:spacing w:before="40" w:after="40" w:line="252" w:lineRule="auto"/>
              <w:ind w:firstLine="0" w:firstLineChars="0" w:leftChars="0" w:left="0"/>
            </w:pPr>
            <w:r>
              <w:rPr>
                <w:rFonts w:ascii="Times New Roman" w:hAnsi="Times New Roman" w:eastAsia="宋体"/>
                <w:b/>
                <w:sz w:val="21"/>
              </w:rPr>
              <w:t>测试集/专项</w:t>
            </w:r>
          </w:p>
        </w:tc>
      </w:tr>
      <w:tr>
        <w:trPr>
          <w:cantSplit/>
        </w:trPr>
        <w:tc>
          <w:tcPr>
            <w:tcW w:type="dxa" w:w="2349"/>
          </w:tcPr>
          <w:p>
            <w:pPr>
              <w:pStyle w:val="a2"/>
              <w:spacing w:before="40" w:after="40" w:line="252" w:lineRule="auto"/>
              <w:ind w:firstLine="0" w:firstLineChars="0" w:leftChars="0" w:left="0"/>
            </w:pPr>
            <w:r>
              <w:rPr>
                <w:rFonts w:ascii="Times New Roman" w:hAnsi="Times New Roman" w:eastAsia="宋体"/>
                <w:b w:val="0"/>
                <w:sz w:val="21"/>
              </w:rPr>
              <w:t>样本数</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3395</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728</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附件2 test：727</w:t>
            </w:r>
          </w:p>
        </w:tc>
      </w:tr>
      <w:tr>
        <w:trPr>
          <w:cantSplit/>
        </w:trPr>
        <w:tc>
          <w:tcPr>
            <w:tcW w:type="dxa" w:w="2349"/>
          </w:tcPr>
          <w:p>
            <w:pPr>
              <w:pStyle w:val="a2"/>
              <w:spacing w:before="40" w:after="40" w:line="252" w:lineRule="auto"/>
              <w:ind w:firstLine="0" w:firstLineChars="0" w:leftChars="0" w:left="0"/>
            </w:pPr>
            <w:r>
              <w:rPr>
                <w:rFonts w:ascii="Times New Roman" w:hAnsi="Times New Roman" w:eastAsia="宋体"/>
                <w:b w:val="0"/>
                <w:sz w:val="21"/>
              </w:rPr>
              <w:t>负向/中性/正向</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967/758/1670</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206/184/338</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test标签不作本轮统计</w:t>
            </w:r>
          </w:p>
        </w:tc>
      </w:tr>
      <w:tr>
        <w:trPr>
          <w:cantSplit/>
        </w:trPr>
        <w:tc>
          <w:tcPr>
            <w:tcW w:type="dxa" w:w="2349"/>
          </w:tcPr>
          <w:p>
            <w:pPr>
              <w:pStyle w:val="a2"/>
              <w:spacing w:before="40" w:after="40" w:line="252" w:lineRule="auto"/>
              <w:ind w:firstLine="0" w:firstLineChars="0" w:leftChars="0" w:left="0"/>
            </w:pPr>
            <w:r>
              <w:rPr>
                <w:rFonts w:ascii="Times New Roman" w:hAnsi="Times New Roman" w:eastAsia="宋体"/>
                <w:b w:val="0"/>
                <w:sz w:val="21"/>
              </w:rPr>
              <w:t>内容长度：最小/中位数/最大</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1/20/48</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1/21.5/48</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单位：词元位置</w:t>
            </w:r>
          </w:p>
        </w:tc>
      </w:tr>
      <w:tr>
        <w:trPr>
          <w:cantSplit/>
        </w:trPr>
        <w:tc>
          <w:tcPr>
            <w:tcW w:type="dxa" w:w="2349"/>
          </w:tcPr>
          <w:p>
            <w:pPr>
              <w:pStyle w:val="a2"/>
              <w:spacing w:before="40" w:after="40" w:line="252" w:lineRule="auto"/>
              <w:ind w:firstLine="0" w:firstLineChars="0" w:leftChars="0" w:left="0"/>
            </w:pPr>
            <w:r>
              <w:rPr>
                <w:rFonts w:ascii="Times New Roman" w:hAnsi="Times New Roman" w:eastAsia="宋体"/>
                <w:b w:val="0"/>
                <w:sz w:val="21"/>
              </w:rPr>
              <w:t>内容位置总数</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76882</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17172</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test：16855</w:t>
            </w:r>
          </w:p>
        </w:tc>
      </w:tr>
      <w:tr>
        <w:trPr>
          <w:cantSplit/>
        </w:trPr>
        <w:tc>
          <w:tcPr>
            <w:tcW w:type="dxa" w:w="2349"/>
          </w:tcPr>
          <w:p>
            <w:pPr>
              <w:pStyle w:val="a2"/>
              <w:spacing w:before="40" w:after="40" w:line="252" w:lineRule="auto"/>
              <w:ind w:firstLine="0" w:firstLineChars="0" w:leftChars="0" w:left="0"/>
            </w:pPr>
            <w:r>
              <w:rPr>
                <w:rFonts w:ascii="Times New Roman" w:hAnsi="Times New Roman" w:eastAsia="宋体"/>
                <w:b w:val="0"/>
                <w:sz w:val="21"/>
              </w:rPr>
              <w:t>内容内音频不可用行</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65</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46</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原因未知</w:t>
            </w:r>
          </w:p>
        </w:tc>
      </w:tr>
      <w:tr>
        <w:trPr>
          <w:cantSplit/>
        </w:trPr>
        <w:tc>
          <w:tcPr>
            <w:tcW w:type="dxa" w:w="2349"/>
          </w:tcPr>
          <w:p>
            <w:pPr>
              <w:pStyle w:val="a2"/>
              <w:spacing w:before="40" w:after="40" w:line="252" w:lineRule="auto"/>
              <w:ind w:firstLine="0" w:firstLineChars="0" w:leftChars="0" w:left="0"/>
            </w:pPr>
            <w:r>
              <w:rPr>
                <w:rFonts w:ascii="Times New Roman" w:hAnsi="Times New Roman" w:eastAsia="宋体"/>
                <w:b w:val="0"/>
                <w:sz w:val="21"/>
              </w:rPr>
              <w:t>内容内视觉不可用行</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4249</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980</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原因未知</w:t>
            </w:r>
          </w:p>
        </w:tc>
      </w:tr>
      <w:tr>
        <w:trPr>
          <w:cantSplit/>
        </w:trPr>
        <w:tc>
          <w:tcPr>
            <w:tcW w:type="dxa" w:w="2349"/>
          </w:tcPr>
          <w:p>
            <w:pPr>
              <w:pStyle w:val="a2"/>
              <w:spacing w:before="40" w:after="40" w:line="252" w:lineRule="auto"/>
              <w:ind w:firstLine="0" w:firstLineChars="0" w:leftChars="0" w:left="0"/>
            </w:pPr>
            <w:r>
              <w:rPr>
                <w:rFonts w:ascii="Times New Roman" w:hAnsi="Times New Roman" w:eastAsia="宋体"/>
                <w:b w:val="0"/>
                <w:sz w:val="21"/>
              </w:rPr>
              <w:t>整条视觉全零样本</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110</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15</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test：28</w:t>
            </w:r>
          </w:p>
        </w:tc>
      </w:tr>
      <w:tr>
        <w:trPr>
          <w:cantSplit/>
        </w:trPr>
        <w:tc>
          <w:tcPr>
            <w:tcW w:type="dxa" w:w="2349"/>
          </w:tcPr>
          <w:p>
            <w:pPr>
              <w:pStyle w:val="a2"/>
              <w:spacing w:before="40" w:after="40" w:line="252" w:lineRule="auto"/>
              <w:ind w:firstLine="0" w:firstLineChars="0" w:leftChars="0" w:left="0"/>
            </w:pPr>
            <w:r>
              <w:rPr>
                <w:rFonts w:ascii="Times New Roman" w:hAnsi="Times New Roman" w:eastAsia="宋体"/>
                <w:b w:val="0"/>
                <w:sz w:val="21"/>
              </w:rPr>
              <w:t>未对齐视觉声明长度后仍非零</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618</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141</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test：131</w:t>
            </w:r>
          </w:p>
        </w:tc>
      </w:tr>
      <w:tr>
        <w:trPr>
          <w:cantSplit/>
        </w:trPr>
        <w:tc>
          <w:tcPr>
            <w:tcW w:type="dxa" w:w="2349"/>
          </w:tcPr>
          <w:p>
            <w:pPr>
              <w:pStyle w:val="a2"/>
              <w:spacing w:before="40" w:after="40" w:line="252" w:lineRule="auto"/>
              <w:ind w:firstLine="0" w:firstLineChars="0" w:leftChars="0" w:left="0"/>
            </w:pPr>
            <w:r>
              <w:rPr>
                <w:rFonts w:ascii="Times New Roman" w:hAnsi="Times New Roman" w:eastAsia="宋体"/>
                <w:b w:val="0"/>
                <w:sz w:val="21"/>
              </w:rPr>
              <w:t>文本UNK位置</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0</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0</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test：0；附件3：131</w:t>
            </w:r>
          </w:p>
        </w:tc>
      </w:tr>
      <w:tr>
        <w:trPr>
          <w:cantSplit/>
        </w:trPr>
        <w:tc>
          <w:tcPr>
            <w:tcW w:type="dxa" w:w="2349"/>
          </w:tcPr>
          <w:p>
            <w:pPr>
              <w:pStyle w:val="a2"/>
              <w:spacing w:before="40" w:after="40" w:line="252" w:lineRule="auto"/>
              <w:ind w:firstLine="0" w:firstLineChars="0" w:leftChars="0" w:left="0"/>
            </w:pPr>
            <w:r>
              <w:rPr>
                <w:rFonts w:ascii="Times New Roman" w:hAnsi="Times New Roman" w:eastAsia="宋体"/>
                <w:b w:val="0"/>
                <w:sz w:val="21"/>
              </w:rPr>
              <w:t>专项输入异常</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附件4对齐13号视觉全零</w:t>
            </w:r>
          </w:p>
        </w:tc>
      </w:tr>
    </w:tbl>
    <w:p>
      <w:pPr>
        <w:pStyle w:val="a2"/>
        <w:widowControl/>
      </w:pPr>
      <w:r>
        <w:t>训练集正向占比为49.19%，中性占22.33%，负向占28.48%；仅报告准确率会掩盖少数类别的识别差异，因此同时报告Macro-F1和逐类召回。训练与验证的视觉不可用行比例分别约为5.53%与5.71%，这些比例以内容位置为分母，不包含padding和特殊token。</w:t>
      </w:r>
    </w:p>
    <w:p>
      <w:pPr>
        <w:pStyle w:val="a2"/>
        <w:keepNext/>
        <w:widowControl/>
        <w:ind w:firstLine="0" w:firstLineChars="0" w:leftChars="0"/>
        <w:jc w:val="center"/>
      </w:pPr>
      <w:r>
        <w:drawing>
          <wp:inline xmlns:a="http://schemas.openxmlformats.org/drawingml/2006/main" xmlns:pic="http://schemas.openxmlformats.org/drawingml/2006/picture">
            <wp:extent cx="5580000" cy="1897200"/>
            <wp:docPr id="1324739090" name="Picture 1324739090"/>
            <wp:cNvGraphicFramePr>
              <a:graphicFrameLocks noChangeAspect="1"/>
            </wp:cNvGraphicFramePr>
            <a:graphic>
              <a:graphicData uri="http://schemas.openxmlformats.org/drawingml/2006/picture">
                <pic:pic>
                  <pic:nvPicPr>
                    <pic:cNvPr id="0" name="类别分布.png"/>
                    <pic:cNvPicPr/>
                  </pic:nvPicPr>
                  <pic:blipFill>
                    <a:blip r:embed="rId26"/>
                    <a:stretch>
                      <a:fillRect/>
                    </a:stretch>
                  </pic:blipFill>
                  <pic:spPr>
                    <a:xfrm>
                      <a:off x="0" y="0"/>
                      <a:ext cx="5580000" cy="1897200"/>
                    </a:xfrm>
                    <a:prstGeom prst="rect"/>
                  </pic:spPr>
                </pic:pic>
              </a:graphicData>
            </a:graphic>
          </wp:inline>
        </w:drawing>
      </w:r>
    </w:p>
    <w:p>
      <w:pPr>
        <w:pStyle w:val="a"/>
        <w:ind w:firstLine="0" w:firstLineChars="0" w:leftChars="0"/>
        <w:numPr>
          <w:numId w:val="0"/>
        </w:numPr>
      </w:pPr>
      <w:r>
        <w:rPr>
          <w:rFonts w:ascii="Times New Roman" w:hAnsi="Times New Roman" w:eastAsia="宋体"/>
          <w:b/>
          <w:sz w:val="21"/>
        </w:rPr>
        <w:t>图3 训练集与验证集的三类样本分布</w:t>
      </w:r>
    </w:p>
    <w:p>
      <w:pPr>
        <w:pStyle w:val="a2"/>
        <w:widowControl/>
      </w:pPr>
      <w:r>
        <w:t>附件3的01、05、10号内容区未发现文本UNK或音视频全零行；20号音频不可用14/48，约29.17%，30号为12/24，即50%。这些是特征位置的不可用比例，不能写成真实缺失时长比例，更不能使用“零行数÷50”得到所谓平均缺失率。</w:t>
      </w:r>
    </w:p>
    <w:p>
      <w:pPr>
        <w:pStyle w:val="a2"/>
        <w:widowControl/>
      </w:pPr>
      <w:r>
        <w:t>以下各章将clean称为“未追加人工遮挡”条件。它仍包含原始不可用视觉或声学位置；EMT训练中的完整参考视图也只是同一样本的原始可用输入，不能理解成所有模态在每个位置都真实完整。原图中“完整输入”的图例沿用实验名称，均按此口径阅读。</w:t>
      </w:r>
    </w:p>
    <w:p>
      <w:pPr>
        <w:pStyle w:val="11"/>
        <w:ind w:firstLine="0" w:firstLineChars="0" w:leftChars="0"/>
      </w:pPr>
      <w:bookmarkStart w:id="14" w:name="_PaperHeading013"/>
      <w:r>
        <w:t>3 不完整观测的数学描述与学习目标</w:t>
      </w:r>
      <w:bookmarkEnd w:id="14"/>
    </w:p>
    <w:p>
      <w:pPr>
        <w:pStyle w:val="20"/>
        <w:ind w:firstLine="0" w:firstLineChars="0" w:leftChars="0"/>
      </w:pPr>
      <w:bookmarkStart w:id="15" w:name="_PaperHeading014"/>
      <w:r>
        <w:t>3.1 模型基本假设</w:t>
      </w:r>
      <w:bookmarkEnd w:id="15"/>
    </w:p>
    <w:p>
      <w:pPr>
        <w:pStyle w:val="a2"/>
        <w:widowControl/>
      </w:pPr>
      <w:r>
        <w:t>假设1：赛题给定的样本身份和情感标注作为监督依据予以保留，不根据模型输出擅自修改标签。该假设不要求每条标注完全无噪声；预测误差分析仍需考虑语义歧义与标注不确定性。</w:t>
      </w:r>
    </w:p>
    <w:p>
      <w:pPr>
        <w:pStyle w:val="a2"/>
        <w:widowControl/>
      </w:pPr>
      <w:r>
        <w:t>假设2：在所选择的官方对齐版本中，不同模态的同一存储位置具有题目规定的对应关系。该关系仅用于位置级建模，不进一步假设各位置等时长或已经具有已知的真实时间戳。</w:t>
      </w:r>
    </w:p>
    <w:p>
      <w:pPr>
        <w:pStyle w:val="a2"/>
        <w:widowControl/>
      </w:pPr>
      <w:r>
        <w:t>假设3：内容位置由特殊词元与注意力信息共同识别。对本批官方附件，在内容范围内音视频的有限非零行视为可用观测；token 100按已核验的专项缺失约定处理。全零特征的真实来源不作额外推断，通用文本中的未知词也不一律等价于缺失。</w:t>
      </w:r>
    </w:p>
    <w:p>
      <w:pPr>
        <w:pStyle w:val="a2"/>
        <w:widowControl/>
      </w:pPr>
      <w:r>
        <w:t>假设4：训练集上计算的可用观测均值和标准差能够作为验证及专项输入的共同尺度。训练、验证划分保持官方的原视频分组隔离，不假定不同视频分布完全一致。分布偏移对专项泛化的影响作为结果局限保留。</w:t>
      </w:r>
    </w:p>
    <w:p>
      <w:pPr>
        <w:pStyle w:val="a2"/>
        <w:widowControl/>
      </w:pPr>
      <w:r>
        <w:t>假设5：人工连续遮挡可以用于研究局部观测损失对预测的影响，但它不被假定为附件3真实生成机制的精确复现。缺失增强只移除原有信息，不利用专项文本匹配或跨版本补回原始内容。</w:t>
      </w:r>
    </w:p>
    <w:p>
      <w:pPr>
        <w:pStyle w:val="a2"/>
        <w:widowControl/>
      </w:pPr>
      <w:r>
        <w:t>假设6：状态递推中的隐变量是为片段级预测学习的潜在表示，而不是经测量验证的瞬时情绪状态。其传播与更新结构借鉴部分观测系统的思想，不赋予严格卡尔曼滤波、已知动力学或最优控制的结论。</w:t>
      </w:r>
    </w:p>
    <w:p>
      <w:pPr>
        <w:pStyle w:val="a2"/>
        <w:widowControl/>
      </w:pPr>
      <w:r>
        <w:t>假设7（仅用于第一问拟定方案）：英文转写与音频具有足够的内容对应性，能够进行词级强制对齐；对齐置信度低、原文不匹配或无法定位的片段须保留失败标记。此假设尚需在100条样本实际提取时验证，不能据此直接填入对齐误差。</w:t>
      </w:r>
    </w:p>
    <w:p>
      <w:pPr>
        <w:pStyle w:val="20"/>
        <w:ind w:firstLine="0" w:firstLineChars="0" w:leftChars="0"/>
      </w:pPr>
      <w:bookmarkStart w:id="16" w:name="_PaperHeading015"/>
      <w:r>
        <w:t>3.2 主要符号与变量定义</w:t>
      </w:r>
      <w:bookmarkEnd w:id="16"/>
    </w:p>
    <w:p>
      <w:pPr>
        <w:pStyle w:val="a0"/>
        <w:ind w:firstLine="0" w:firstLineChars="0" w:leftChars="0"/>
        <w:keepNext/>
        <w:numPr>
          <w:numId w:val="0"/>
        </w:numPr>
      </w:pPr>
      <w:r>
        <w:rPr>
          <w:rFonts w:ascii="Times New Roman" w:hAnsi="Times New Roman" w:eastAsia="宋体"/>
          <w:b/>
          <w:sz w:val="21"/>
        </w:rPr>
        <w:t>表3 主要符号与变量</w:t>
      </w:r>
    </w:p>
    <w:tbl>
      <w:tblPr>
        <w:tblW w:type="auto" w:w="0"/>
        <w:jc w:val="center"/>
        <w:tblLayout w:type="autofit"/>
        <w:tblLook w:firstColumn="1" w:firstRow="1" w:lastColumn="0" w:lastRow="0" w:noHBand="0" w:noVBand="1" w:val="04A0"/>
        <w:tblBorders>
          <w:top w:val="single" w:sz="10" w:color="000000"/>
          <w:left w:val="nil" w:sz="10" w:color="000000"/>
          <w:bottom w:val="single" w:sz="10" w:color="000000"/>
          <w:right w:val="nil" w:sz="10" w:color="000000"/>
          <w:insideH w:val="nil" w:sz="10" w:color="000000"/>
          <w:insideV w:val="nil" w:sz="10" w:color="000000"/>
        </w:tblBorders>
      </w:tblPr>
      <w:tblGrid>
        <w:gridCol w:w="3133"/>
        <w:gridCol w:w="3133"/>
        <w:gridCol w:w="3133"/>
      </w:tblGrid>
      <w:tr>
        <w:trPr>
          <w:cantSplit/>
          <w:tblHeader/>
        </w:trPr>
        <w:tc>
          <w:tcPr>
            <w:tcW w:type="dxa" w:w="3133"/>
            <w:tcBorders>
              <w:bottom w:val="single" w:sz="6"/>
            </w:tcBorders>
          </w:tcPr>
          <w:p>
            <w:pPr>
              <w:pStyle w:val="a2"/>
              <w:spacing w:before="40" w:after="40" w:line="252" w:lineRule="auto"/>
              <w:ind w:firstLine="0" w:firstLineChars="0" w:leftChars="0" w:left="0"/>
            </w:pPr>
            <w:r>
              <w:rPr>
                <w:rFonts w:ascii="Times New Roman" w:hAnsi="Times New Roman" w:eastAsia="宋体"/>
                <w:b/>
                <w:sz w:val="21"/>
              </w:rPr>
              <w:t>符号</w:t>
            </w:r>
          </w:p>
        </w:tc>
        <w:tc>
          <w:tcPr>
            <w:tcW w:type="dxa" w:w="3133"/>
            <w:tcBorders>
              <w:bottom w:val="single" w:sz="6"/>
            </w:tcBorders>
          </w:tcPr>
          <w:p>
            <w:pPr>
              <w:pStyle w:val="a2"/>
              <w:spacing w:before="40" w:after="40" w:line="252" w:lineRule="auto"/>
              <w:ind w:firstLine="0" w:firstLineChars="0" w:leftChars="0" w:left="0"/>
            </w:pPr>
            <w:r>
              <w:rPr>
                <w:rFonts w:ascii="Times New Roman" w:hAnsi="Times New Roman" w:eastAsia="宋体"/>
                <w:b/>
                <w:sz w:val="21"/>
              </w:rPr>
              <w:t>含义</w:t>
            </w:r>
          </w:p>
        </w:tc>
        <w:tc>
          <w:tcPr>
            <w:tcW w:type="dxa" w:w="3133"/>
            <w:tcBorders>
              <w:bottom w:val="single" w:sz="6"/>
            </w:tcBorders>
          </w:tcPr>
          <w:p>
            <w:pPr>
              <w:pStyle w:val="a2"/>
              <w:spacing w:before="40" w:after="40" w:line="252" w:lineRule="auto"/>
              <w:ind w:firstLine="0" w:firstLineChars="0" w:leftChars="0" w:left="0"/>
            </w:pPr>
            <w:r>
              <w:rPr>
                <w:rFonts w:ascii="Times New Roman" w:hAnsi="Times New Roman" w:eastAsia="宋体"/>
                <w:b/>
                <w:sz w:val="21"/>
              </w:rPr>
              <w:t>取值或单位</w:t>
            </w:r>
          </w:p>
        </w:tc>
      </w:tr>
      <w:tr>
        <w:trPr>
          <w:cantSplit/>
        </w:trPr>
        <w:tc>
          <w:tcPr>
            <w:tcW w:type="dxa" w:w="3133"/>
          </w:tcPr>
          <w:p>
            <w:pPr>
              <w:pStyle w:val="a2"/>
              <w:spacing w:before="40" w:after="40" w:line="252" w:lineRule="auto"/>
              <w:ind w:firstLine="0" w:firstLineChars="0" w:leftChars="0" w:left="0"/>
            </w:pPr>
            <w:r>
              <w:rPr>
                <w:rFonts w:ascii="Times New Roman" w:hAnsi="Times New Roman" w:eastAsia="宋体"/>
                <w:b w:val="0"/>
                <w:sz w:val="21"/>
              </w:rPr>
              <w:t>i，m，t</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样本、模态、存储位置索引</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m∈{T,A,V}；官方t=0,…,49</w:t>
            </w:r>
          </w:p>
        </w:tc>
      </w:tr>
      <w:tr>
        <w:trPr>
          <w:cantSplit/>
        </w:trPr>
        <w:tc>
          <w:tcPr>
            <w:tcW w:type="dxa" w:w="3133"/>
          </w:tcPr>
          <w:p>
            <w:pPr>
              <w:pStyle w:val="a2"/>
              <w:spacing w:before="40" w:after="40" w:line="252" w:lineRule="auto"/>
              <w:ind w:firstLine="0" w:firstLineChars="0" w:leftChars="0" w:left="0"/>
            </w:pPr>
            <w:r>
              <w:rPr>
                <w:rFonts w:ascii="Times New Roman" w:hAnsi="Times New Roman" w:eastAsia="宋体"/>
                <w:b w:val="0"/>
                <w:sz w:val="21"/>
              </w:rPr>
              <w:t>Xᵢᵐ，xᵢₜᵐ</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模态特征矩阵及单位置向量</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第二问维数256/74/35</w:t>
            </w:r>
          </w:p>
        </w:tc>
      </w:tr>
      <w:tr>
        <w:trPr>
          <w:cantSplit/>
        </w:trPr>
        <w:tc>
          <w:tcPr>
            <w:tcW w:type="dxa" w:w="3133"/>
          </w:tcPr>
          <w:p>
            <w:pPr>
              <w:pStyle w:val="a2"/>
              <w:spacing w:before="40" w:after="40" w:line="252" w:lineRule="auto"/>
              <w:ind w:firstLine="0" w:firstLineChars="0" w:leftChars="0" w:left="0"/>
            </w:pPr>
            <w:r>
              <w:rPr>
                <w:rFonts w:ascii="Times New Roman" w:hAnsi="Times New Roman" w:eastAsia="宋体"/>
                <w:b w:val="0"/>
                <w:sz w:val="21"/>
              </w:rPr>
              <w:t>sᵢₜ，Lᵢ</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内容位置掩码及内容长度</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s∈{0,1}；L=Σₜsᵢₜ</w:t>
            </w:r>
          </w:p>
        </w:tc>
      </w:tr>
      <w:tr>
        <w:trPr>
          <w:cantSplit/>
        </w:trPr>
        <w:tc>
          <w:tcPr>
            <w:tcW w:type="dxa" w:w="3133"/>
          </w:tcPr>
          <w:p>
            <w:pPr>
              <w:pStyle w:val="a2"/>
              <w:spacing w:before="40" w:after="40" w:line="252" w:lineRule="auto"/>
              <w:ind w:firstLine="0" w:firstLineChars="0" w:leftChars="0" w:left="0"/>
            </w:pPr>
            <w:r>
              <w:rPr>
                <w:rFonts w:ascii="Times New Roman" w:hAnsi="Times New Roman" w:eastAsia="宋体"/>
                <w:b w:val="0"/>
                <w:sz w:val="21"/>
              </w:rPr>
              <w:t>oᵢₜᵐ</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人工遮挡前的可用观测掩码</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1为可用，不等同attention</w:t>
            </w:r>
          </w:p>
        </w:tc>
      </w:tr>
      <w:tr>
        <w:trPr>
          <w:cantSplit/>
        </w:trPr>
        <w:tc>
          <w:tcPr>
            <w:tcW w:type="dxa" w:w="3133"/>
          </w:tcPr>
          <w:p>
            <w:pPr>
              <w:pStyle w:val="a2"/>
              <w:spacing w:before="40" w:after="40" w:line="252" w:lineRule="auto"/>
              <w:ind w:firstLine="0" w:firstLineChars="0" w:leftChars="0" w:left="0"/>
            </w:pPr>
            <w:r>
              <w:rPr>
                <w:rFonts w:ascii="Times New Roman" w:hAnsi="Times New Roman" w:eastAsia="宋体"/>
                <w:b w:val="0"/>
                <w:sz w:val="21"/>
              </w:rPr>
              <w:t>bᵢₜᵐ，õᵢₜᵐ</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人工遮挡掩码、遮挡后的可用掩码</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õ=s·o·(1−b)</w:t>
            </w:r>
          </w:p>
        </w:tc>
      </w:tr>
      <w:tr>
        <w:trPr>
          <w:cantSplit/>
        </w:trPr>
        <w:tc>
          <w:tcPr>
            <w:tcW w:type="dxa" w:w="3133"/>
          </w:tcPr>
          <w:p>
            <w:pPr>
              <w:pStyle w:val="a2"/>
              <w:spacing w:before="40" w:after="40" w:line="252" w:lineRule="auto"/>
              <w:ind w:firstLine="0" w:firstLineChars="0" w:leftChars="0" w:left="0"/>
            </w:pPr>
            <w:r>
              <w:rPr>
                <w:rFonts w:ascii="Times New Roman" w:hAnsi="Times New Roman" w:eastAsia="宋体"/>
                <w:b w:val="0"/>
                <w:sz w:val="21"/>
              </w:rPr>
              <w:t>ρ，rᵢᵐ</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目标遮挡比例、实际不可用比例</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分母需注明内容或原可用位置</w:t>
            </w:r>
          </w:p>
        </w:tc>
      </w:tr>
      <w:tr>
        <w:trPr>
          <w:cantSplit/>
        </w:trPr>
        <w:tc>
          <w:tcPr>
            <w:tcW w:type="dxa" w:w="3133"/>
          </w:tcPr>
          <w:p>
            <w:pPr>
              <w:pStyle w:val="a2"/>
              <w:spacing w:before="40" w:after="40" w:line="252" w:lineRule="auto"/>
              <w:ind w:firstLine="0" w:firstLineChars="0" w:leftChars="0" w:left="0"/>
            </w:pPr>
            <w:r>
              <w:rPr>
                <w:rFonts w:ascii="Times New Roman" w:hAnsi="Times New Roman" w:eastAsia="宋体"/>
                <w:b w:val="0"/>
                <w:sz w:val="21"/>
              </w:rPr>
              <w:t>Iᵢ，Jᵢₖ</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连续位置区间、原素材时间区间</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I用索引；J用秒，二者不同</w:t>
            </w:r>
          </w:p>
        </w:tc>
      </w:tr>
      <w:tr>
        <w:trPr>
          <w:cantSplit/>
        </w:trPr>
        <w:tc>
          <w:tcPr>
            <w:tcW w:type="dxa" w:w="3133"/>
          </w:tcPr>
          <w:p>
            <w:pPr>
              <w:pStyle w:val="a2"/>
              <w:spacing w:before="40" w:after="40" w:line="252" w:lineRule="auto"/>
              <w:ind w:firstLine="0" w:firstLineChars="0" w:leftChars="0" w:left="0"/>
            </w:pPr>
            <w:r>
              <w:rPr>
                <w:rFonts w:ascii="Times New Roman" w:hAnsi="Times New Roman" w:eastAsia="宋体"/>
                <w:b w:val="0"/>
                <w:sz w:val="21"/>
              </w:rPr>
              <w:t>dᵢₜᵐ，gᵢₜᵐ</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连续无观测步数及log间隔表示</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g=log(1+d)</w:t>
            </w:r>
          </w:p>
        </w:tc>
      </w:tr>
      <w:tr>
        <w:trPr>
          <w:cantSplit/>
        </w:trPr>
        <w:tc>
          <w:tcPr>
            <w:tcW w:type="dxa" w:w="3133"/>
          </w:tcPr>
          <w:p>
            <w:pPr>
              <w:pStyle w:val="a2"/>
              <w:spacing w:before="40" w:after="40" w:line="252" w:lineRule="auto"/>
              <w:ind w:firstLine="0" w:firstLineChars="0" w:leftChars="0" w:left="0"/>
            </w:pPr>
            <w:r>
              <w:rPr>
                <w:rFonts w:ascii="Times New Roman" w:hAnsi="Times New Roman" w:eastAsia="宋体"/>
                <w:b w:val="0"/>
                <w:sz w:val="21"/>
              </w:rPr>
              <w:t>hᵢₜᵐ，uᵢₜ</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模态投影表示与当前融合表示</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自建模型维数32</w:t>
            </w:r>
          </w:p>
        </w:tc>
      </w:tr>
      <w:tr>
        <w:trPr>
          <w:cantSplit/>
        </w:trPr>
        <w:tc>
          <w:tcPr>
            <w:tcW w:type="dxa" w:w="3133"/>
          </w:tcPr>
          <w:p>
            <w:pPr>
              <w:pStyle w:val="a2"/>
              <w:spacing w:before="40" w:after="40" w:line="252" w:lineRule="auto"/>
              <w:ind w:firstLine="0" w:firstLineChars="0" w:leftChars="0" w:left="0"/>
            </w:pPr>
            <w:r>
              <w:rPr>
                <w:rFonts w:ascii="Times New Roman" w:hAnsi="Times New Roman" w:eastAsia="宋体"/>
                <w:b w:val="0"/>
                <w:sz w:val="21"/>
              </w:rPr>
              <w:t>zᵢₜ，a，kᵢₜ</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递推隐状态、保持系数、更新门</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0&lt;a&lt;1；0≤k&lt;1，无观测时k=0</w:t>
            </w:r>
          </w:p>
        </w:tc>
      </w:tr>
      <w:tr>
        <w:trPr>
          <w:cantSplit/>
        </w:trPr>
        <w:tc>
          <w:tcPr>
            <w:tcW w:type="dxa" w:w="3133"/>
          </w:tcPr>
          <w:p>
            <w:pPr>
              <w:pStyle w:val="a2"/>
              <w:spacing w:before="40" w:after="40" w:line="252" w:lineRule="auto"/>
              <w:ind w:firstLine="0" w:firstLineChars="0" w:leftChars="0" w:left="0"/>
            </w:pPr>
            <w:r>
              <w:rPr>
                <w:rFonts w:ascii="Times New Roman" w:hAnsi="Times New Roman" w:eastAsia="宋体"/>
                <w:b w:val="0"/>
                <w:sz w:val="21"/>
              </w:rPr>
              <w:t>cᵢ，yᵢ</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真实极性类别与连续强度</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c∈{0,1,2}；y∈[−3,3]</w:t>
            </w:r>
          </w:p>
        </w:tc>
      </w:tr>
      <w:tr>
        <w:trPr>
          <w:cantSplit/>
        </w:trPr>
        <w:tc>
          <w:tcPr>
            <w:tcW w:type="dxa" w:w="3133"/>
          </w:tcPr>
          <w:p>
            <w:pPr>
              <w:pStyle w:val="a2"/>
              <w:spacing w:before="40" w:after="40" w:line="252" w:lineRule="auto"/>
              <w:ind w:firstLine="0" w:firstLineChars="0" w:leftChars="0" w:left="0"/>
            </w:pPr>
            <w:r>
              <w:rPr>
                <w:rFonts w:ascii="Times New Roman" w:hAnsi="Times New Roman" w:eastAsia="宋体"/>
                <w:b w:val="0"/>
                <w:sz w:val="21"/>
              </w:rPr>
              <w:t>p̂ᵢ，ŷᵢ</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预测类别概率、预测强度</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Σcp̂ᵢc=1；ŷ∈[−3,3]</w:t>
            </w:r>
          </w:p>
        </w:tc>
      </w:tr>
      <w:tr>
        <w:trPr>
          <w:cantSplit/>
        </w:trPr>
        <w:tc>
          <w:tcPr>
            <w:tcW w:type="dxa" w:w="3133"/>
          </w:tcPr>
          <w:p>
            <w:pPr>
              <w:pStyle w:val="a2"/>
              <w:spacing w:before="40" w:after="40" w:line="252" w:lineRule="auto"/>
              <w:ind w:firstLine="0" w:firstLineChars="0" w:leftChars="0" w:left="0"/>
            </w:pPr>
            <w:r>
              <w:rPr>
                <w:rFonts w:ascii="Times New Roman" w:hAnsi="Times New Roman" w:eastAsia="宋体"/>
                <w:b w:val="0"/>
                <w:sz w:val="21"/>
              </w:rPr>
              <w:t>μᵐ，σᵐ</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训练可用观测的均值和标准差</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逐特征维计算</w:t>
            </w:r>
          </w:p>
        </w:tc>
      </w:tr>
      <w:tr>
        <w:trPr>
          <w:cantSplit/>
        </w:trPr>
        <w:tc>
          <w:tcPr>
            <w:tcW w:type="dxa" w:w="3133"/>
          </w:tcPr>
          <w:p>
            <w:pPr>
              <w:pStyle w:val="a2"/>
              <w:spacing w:before="40" w:after="40" w:line="252" w:lineRule="auto"/>
              <w:ind w:firstLine="0" w:firstLineChars="0" w:leftChars="0" w:left="0"/>
            </w:pPr>
            <w:r>
              <w:rPr>
                <w:rFonts w:ascii="Times New Roman" w:hAnsi="Times New Roman" w:eastAsia="宋体"/>
                <w:b w:val="0"/>
                <w:sz w:val="21"/>
              </w:rPr>
              <w:t>G，Hᵐ</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EMT全局上下文与局部表示</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G为3个128维token</w:t>
            </w:r>
          </w:p>
        </w:tc>
      </w:tr>
      <w:tr>
        <w:trPr>
          <w:cantSplit/>
        </w:trPr>
        <w:tc>
          <w:tcPr>
            <w:tcW w:type="dxa" w:w="3133"/>
          </w:tcPr>
          <w:p>
            <w:pPr>
              <w:pStyle w:val="a2"/>
              <w:spacing w:before="40" w:after="40" w:line="252" w:lineRule="auto"/>
              <w:ind w:firstLine="0" w:firstLineChars="0" w:leftChars="0" w:left="0"/>
            </w:pPr>
            <w:r>
              <w:rPr>
                <w:rFonts w:ascii="Times New Roman" w:hAnsi="Times New Roman" w:eastAsia="宋体"/>
                <w:b w:val="0"/>
                <w:sz w:val="21"/>
              </w:rPr>
              <w:t>N，K</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评价样本数、类别数</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验证N=728；K=3</w:t>
            </w:r>
          </w:p>
        </w:tc>
      </w:tr>
      <w:tr>
        <w:trPr>
          <w:cantSplit/>
        </w:trPr>
        <w:tc>
          <w:tcPr>
            <w:tcW w:type="dxa" w:w="3133"/>
          </w:tcPr>
          <w:p>
            <w:pPr>
              <w:pStyle w:val="a2"/>
              <w:spacing w:before="40" w:after="40" w:line="252" w:lineRule="auto"/>
              <w:ind w:firstLine="0" w:firstLineChars="0" w:leftChars="0" w:left="0"/>
            </w:pPr>
            <w:r>
              <w:rPr>
                <w:rFonts w:ascii="Times New Roman" w:hAnsi="Times New Roman" w:eastAsia="宋体"/>
                <w:b w:val="0"/>
                <w:sz w:val="21"/>
              </w:rPr>
              <w:t>sg(·)，⊙</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停止梯度、逐元素乘法</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训练运算符</w:t>
            </w:r>
          </w:p>
        </w:tc>
      </w:tr>
      <w:tr>
        <w:trPr>
          <w:cantSplit/>
        </w:trPr>
        <w:tc>
          <w:tcPr>
            <w:tcW w:type="dxa" w:w="3133"/>
          </w:tcPr>
          <w:p>
            <w:pPr>
              <w:pStyle w:val="a2"/>
              <w:spacing w:before="40" w:after="40" w:line="252" w:lineRule="auto"/>
              <w:ind w:firstLine="0" w:firstLineChars="0" w:leftChars="0" w:left="0"/>
            </w:pPr>
            <w:r>
              <w:rPr>
                <w:rFonts w:ascii="Times New Roman" w:hAnsi="Times New Roman" w:eastAsia="宋体"/>
                <w:b w:val="0"/>
                <w:sz w:val="21"/>
              </w:rPr>
              <w:t>abs(·)</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绝对值</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标量运算</w:t>
            </w:r>
          </w:p>
        </w:tc>
      </w:tr>
    </w:tbl>
    <w:p>
      <w:pPr>
        <w:pStyle w:val="20"/>
        <w:ind w:firstLine="0" w:firstLineChars="0" w:leftChars="0"/>
      </w:pPr>
      <w:bookmarkStart w:id="17" w:name="_PaperHeading016"/>
      <w:r>
        <w:t>3.3 连续遮挡、观测损失与实际缺失比例</w:t>
      </w:r>
      <w:bookmarkEnd w:id="17"/>
    </w:p>
    <w:p>
      <w:pPr>
        <w:pStyle w:val="30"/>
        <w:ind w:firstLine="0" w:firstLineChars="0" w:leftChars="0" w:left="142"/>
      </w:pPr>
      <w:r>
        <w:t>3.3.1 缺失模态、缺失区间与观测掩码定义</w:t>
      </w:r>
    </w:p>
    <w:p>
      <w:pPr>
        <w:pStyle w:val="a2"/>
        <w:widowControl/>
      </w:pPr>
      <w:r>
        <w:t>对样本i的真实内容位置集合Sᵢ={t:sᵢₜ=1}，选择模态子集Mᵢ和连续区间Iᵢ=[aᵢ,aᵢ+wᵢ)。区间按内容位置生成，但保留原存储索引。人工遮挡仅改变可用掩码及对应输入，不删去序列行；双模态可共享同一区间，也可采用不同起点形成错位遮挡。</w:t>
      </w:r>
    </w:p>
    <w:p>
      <w:pPr>
        <w:pStyle w:val="工作稿公式"/>
        <w:spacing w:before="100" w:after="100"/>
        <w:ind w:firstLine="0" w:firstLineChars="0" w:leftChars="0"/>
        <w:jc w:val="center"/>
      </w:pPr>
      <m:oMath>
        <m:r>
          <m:t>bᵢₜᵐ = 1(m∈Mᵢ且t∈Iᵢ)；õᵢₜᵐ = sᵢₜ oᵢₜᵐ(1−bᵢₜᵐ)</m:t>
        </m:r>
      </m:oMath>
      <w:r>
        <w:rPr>
          <w:rFonts w:ascii="Times New Roman" w:hAnsi="Times New Roman" w:eastAsia="宋体"/>
          <w:sz w:val="20"/>
        </w:rPr>
        <w:t xml:space="preserve">  （3-1）</w:t>
      </w:r>
    </w:p>
    <w:p>
      <w:pPr>
        <w:pStyle w:val="a2"/>
        <w:widowControl/>
      </w:pPr>
      <w:r>
        <w:t>文本缺失在编码之前实施，防止被遮词通过上下文化编码泄漏到其他位置。音视频在投影前再次按õ屏蔽。原来不可用的位置与人工新遮挡分开记录，恢复监督只使用o=1且õ=0的位置。</w:t>
      </w:r>
    </w:p>
    <w:p>
      <w:pPr>
        <w:pStyle w:val="30"/>
        <w:ind w:firstLine="0" w:firstLineChars="0" w:leftChars="0" w:left="142"/>
      </w:pPr>
      <w:r>
        <w:t>3.3.2 缺失位置、缺失时长与缺失率的计算</w:t>
      </w:r>
    </w:p>
    <w:p>
      <w:pPr>
        <w:pStyle w:val="工作稿公式"/>
        <w:spacing w:before="100" w:after="100"/>
        <w:ind w:firstLine="0" w:firstLineChars="0" w:leftChars="0"/>
        <w:jc w:val="center"/>
      </w:pPr>
      <m:oMath>
        <m:r>
          <m:t>wᵢ = min{Lᵢ，max[1，round(ρLᵢ)]}，ρ&gt;0；ρ=0时wᵢ=0</m:t>
        </m:r>
      </m:oMath>
      <w:r>
        <w:rPr>
          <w:rFonts w:ascii="Times New Roman" w:hAnsi="Times New Roman" w:eastAsia="宋体"/>
          <w:sz w:val="20"/>
        </w:rPr>
        <w:t xml:space="preserve">  （3-2）</w:t>
      </w:r>
    </w:p>
    <w:p>
      <w:pPr>
        <w:pStyle w:val="工作稿公式"/>
        <w:spacing w:before="100" w:after="100"/>
        <w:ind w:firstLine="0" w:firstLineChars="0" w:leftChars="0"/>
        <w:jc w:val="center"/>
      </w:pPr>
      <m:oMath>
        <m:r>
          <m:t>rᵢᵐ = Σₜsᵢₜ(1−õᵢₜᵐ)/Lᵢ；r_newᵢᵐ = Σₜoᵢₜᵐbᵢₜᵐ/Σₜoᵢₜᵐ</m:t>
        </m:r>
      </m:oMath>
      <w:r>
        <w:rPr>
          <w:rFonts w:ascii="Times New Roman" w:hAnsi="Times New Roman" w:eastAsia="宋体"/>
          <w:sz w:val="20"/>
        </w:rPr>
        <w:t xml:space="preserve">  （3-3）</w:t>
      </w:r>
    </w:p>
    <w:p>
      <w:pPr>
        <w:pStyle w:val="a2"/>
        <w:widowControl/>
      </w:pPr>
      <w:r>
        <w:t>r表示内容中的总不可用比例，r_new表示原可用观测中新增移除的比例；后者分母为0时记为不可计算，不报告成0%缺失。目标比例ρ控制区间位置预算，因取整及原始不可用位置存在，实际新移除观测比例可能与ρ不同。</w:t>
      </w:r>
    </w:p>
    <w:p>
      <w:pPr>
        <w:pStyle w:val="a2"/>
        <w:widowControl/>
      </w:pPr>
      <w:r>
        <w:t>缺失起点分别设置为前部、中部和后部，另设随机起点用于训练。当前没有原视频逐词时间映射，因此“时长”仅以连续位置数及内容比例代理，不能把50%词元解释为视频一半秒数。论文中所有缺失曲线均采用此口径。</w:t>
      </w:r>
    </w:p>
    <w:p>
      <w:pPr>
        <w:pStyle w:val="a2"/>
        <w:widowControl/>
      </w:pPr>
      <w:r>
        <w:t>同样的目标遮挡比例未必对应相同的有效信息损失。例：某模态10个内容位置中已有2个不可用，新遮挡连续4个位置，若其中包含原先的2个空位，则目标比例ρ=40%，新增损失比例为2/8=25%，总不可用比例为4/10=40%；若遮掉的是4个原可用位置，后两者分别变成50%与60%。这是定义的示例，不是额外样本结果。</w:t>
      </w:r>
    </w:p>
    <w:p>
      <w:pPr>
        <w:pStyle w:val="20"/>
        <w:ind w:firstLine="0" w:firstLineChars="0" w:leftChars="0"/>
      </w:pPr>
      <w:bookmarkStart w:id="18" w:name="_PaperHeading017"/>
      <w:r>
        <w:t>3.4 片段级多任务预测与遮挡分布</w:t>
      </w:r>
      <w:bookmarkEnd w:id="18"/>
    </w:p>
    <w:p>
      <w:pPr>
        <w:pStyle w:val="a2"/>
        <w:widowControl/>
      </w:pPr>
      <w:r>
        <w:t>每个训练样本只提供一个片段级极性c和强度y，故模型学习的是“多模态序列到片段标签”的监督映射。内部隐状态没有逐时刻情绪真值监督，不能凭其曲线宣称已经恢复真实情绪轨迹。第二问也不是从过去预测未来的外推任务：模型在推理时可读取该片段中当时允许看到的全部位置。</w:t>
      </w:r>
    </w:p>
    <w:p>
      <w:pPr>
        <w:pStyle w:val="工作稿公式"/>
        <w:spacing w:before="100" w:after="100"/>
        <w:ind w:firstLine="0" w:firstLineChars="0" w:leftChars="0"/>
        <w:jc w:val="center"/>
      </w:pPr>
      <m:oMath>
        <m:r>
          <m:t>fθ(X̃ᵢ, sᵢ, õᵢ) = (p̂ᵢ, ŷᵢ)</m:t>
        </m:r>
      </m:oMath>
      <w:r>
        <w:rPr>
          <w:rFonts w:ascii="Times New Roman" w:hAnsi="Times New Roman" w:eastAsia="宋体"/>
          <w:sz w:val="20"/>
        </w:rPr>
        <w:t xml:space="preserve">  （3-4）</w:t>
      </w:r>
    </w:p>
    <w:p>
      <w:pPr>
        <w:pStyle w:val="工作稿公式"/>
        <w:spacing w:before="100" w:after="100"/>
        <w:ind w:firstLine="0" w:firstLineChars="0" w:leftChars="0"/>
        <w:jc w:val="center"/>
      </w:pPr>
      <m:oMath>
        <m:r>
          <m:t>minθ (1/N) Σᵢ Eᵦ∼Q [ℓcls(cᵢ,p̂ᵢ) + λℓreg(yᵢ,ŷᵢ)]</m:t>
        </m:r>
      </m:oMath>
      <w:r>
        <w:rPr>
          <w:rFonts w:ascii="Times New Roman" w:hAnsi="Times New Roman" w:eastAsia="宋体"/>
          <w:sz w:val="20"/>
        </w:rPr>
        <w:t xml:space="preserve">  （3-5）</w:t>
      </w:r>
    </w:p>
    <w:p>
      <w:pPr>
        <w:pStyle w:val="a2"/>
        <w:widowControl/>
      </w:pPr>
      <w:r>
        <w:t>Q表示训练中人为定义的遮挡分布，期望由批次内随机增强近似。它将干净与部分遮挡视图关联到同一个片段标签，从而约束模型在信息减少时仍尽量保持正确输出；但Q不是已知的真实故障分布。当前40%未追加遮挡、40%单模态、20%双模态的配比覆盖了一部分风险形态，没有自动覆盖附件3的全部同步或散点缺失。</w:t>
      </w:r>
    </w:p>
    <w:p>
      <w:pPr>
        <w:pStyle w:val="a2"/>
        <w:widowControl/>
      </w:pPr>
      <w:r>
        <w:t>将同一标签分配给缺失视图是一项学习假设，而不是“删除证据后标签仍可辨认”的保证。若关键表达被全部移除，不同情感样本可能得到近似相同的可见输入，此时原标签对该输入并不可识别。恢复模型能利用训练分布进行估计，却不能凭空获得唯一真实内容。这说明鲁棒性需要以平均误差、退化幅度和失效条件共同描述，不能要求任意缺失下均维持原分数。</w:t>
      </w:r>
    </w:p>
    <w:p>
      <w:pPr>
        <w:pStyle w:val="20"/>
        <w:ind w:firstLine="0" w:firstLineChars="0" w:leftChars="0"/>
      </w:pPr>
      <w:bookmarkStart w:id="19" w:name="_PaperHeading018"/>
      <w:r>
        <w:t>3.5 完全无观测时的输出约定</w:t>
      </w:r>
      <w:bookmarkEnd w:id="19"/>
    </w:p>
    <w:p>
      <w:pPr>
        <w:pStyle w:val="a2"/>
        <w:widowControl/>
      </w:pPr>
      <w:r>
        <w:t>当三模态所有内容位置均不可用时，当前所有神经预测器显式返回训练类别先验与训练强度中位数。类别先验是常数概率模型的交叉熵最优解；中位数是常数预测下绝对误差的最优解。因此这一退化规则有可解释的统计参照。不过，训练回归损失采用Huber，中位数不必是其严格最优常数；这里选中位数是面向MAE评价的保守工程约定。</w:t>
      </w:r>
    </w:p>
    <w:p>
      <w:pPr>
        <w:pStyle w:val="a2"/>
        <w:widowControl/>
      </w:pPr>
      <w:r>
        <w:t>无观测输出可保证有限数值与一致接口，不能作为识别成功的证据。为避免自然空模态与整个样本空白混淆，推理同时保留逐模态不可用标记和全空标记。空样本测试属于边界正确性验证，与常规验证集准确率是不同证据。</w:t>
      </w:r>
    </w:p>
    <w:p>
      <w:pPr>
        <w:pStyle w:val="11"/>
        <w:ind w:firstLine="0" w:firstLineChars="0" w:leftChars="0"/>
      </w:pPr>
      <w:bookmarkStart w:id="20" w:name="_PaperHeading019"/>
      <w:r>
        <w:t>4 问题一：特征提取与时间对齐的方案论证</w:t>
      </w:r>
      <w:bookmarkEnd w:id="20"/>
    </w:p>
    <w:p>
      <w:pPr>
        <w:pStyle w:val="a2"/>
        <w:widowControl/>
        <w:shd w:fill="F2F2F2"/>
      </w:pPr>
      <w:r>
        <w:rPr>
          <w:b/>
        </w:rPr>
        <w:t>本章状态：数学方案与文件规范已给出，100条原视频清单已核查；自主特征提取、词级强制对齐和对齐误差实验尚未执行。所有“拟采用”和“待补”内容均不得直接改写为已完成结果。</w:t>
      </w:r>
    </w:p>
    <w:p>
      <w:pPr>
        <w:pStyle w:val="20"/>
        <w:ind w:firstLine="0" w:firstLineChars="0" w:leftChars="0"/>
      </w:pPr>
      <w:bookmarkStart w:id="21" w:name="_PaperHeading020"/>
      <w:r>
        <w:t>4.1 原始样本处理流程与输入输出定义</w:t>
      </w:r>
      <w:bookmarkEnd w:id="21"/>
    </w:p>
    <w:p>
      <w:pPr>
        <w:pStyle w:val="a2"/>
        <w:widowControl/>
      </w:pPr>
      <w:r>
        <w:t>拟以单条视频、配套英文转写和样本标识为输入，按“媒体解析—文本规范化—词级音频定位—三模态特征计算—时间区间聚合—掩码与映射写入—完整性校验”的顺序处理。转写原文与规范化文本同时保留；标点、口吃标记等清洗动作记录在日志中，避免无法解释的文本变化。</w:t>
      </w:r>
    </w:p>
    <w:p>
      <w:pPr>
        <w:pStyle w:val="a2"/>
        <w:widowControl/>
      </w:pPr>
      <w:r>
        <w:t>输出拟包含按词元排列的三模态矩阵、逐模态可用掩码、内容长度、词元到原词映射、每个位置的起止时间、原视频时间戳及异常标记。为覆盖完整样本，建议保留变长完整序列，并在批处理时动态填充；若另设最大长度，须明确截断位置及丢弃内容，不将第二问官方50位置的限制自动套用于第一问全部原视频。</w:t>
      </w:r>
    </w:p>
    <w:p>
      <w:pPr>
        <w:pStyle w:val="20"/>
        <w:ind w:firstLine="0" w:firstLineChars="0" w:leftChars="0"/>
      </w:pPr>
      <w:bookmarkStart w:id="22" w:name="_PaperHeading021"/>
      <w:r>
        <w:t>4.2 三模态情感特征的定义与提取</w:t>
      </w:r>
      <w:bookmarkEnd w:id="22"/>
    </w:p>
    <w:p>
      <w:pPr>
        <w:pStyle w:val="30"/>
        <w:ind w:firstLine="0" w:firstLineChars="0" w:leftChars="0" w:left="142"/>
      </w:pPr>
      <w:r>
        <w:t>4.2.1 基于预训练语言模型的文本语义特征提取</w:t>
      </w:r>
    </w:p>
    <w:p>
      <w:pPr>
        <w:pStyle w:val="a2"/>
        <w:widowControl/>
      </w:pPr>
      <w:r>
        <w:t>文本分支拟采用固定权重的英文BERT类编码器[6]。为便于工具复用，可选与第二问相同的BERT-Mini，使用分词器的offset_mapping或word_ids记录子词来源。每个有效内容词元对应一行上下文化语义向量，特殊词元和padding单独标记。长文本采用保留原索引的分窗编码，再按明确规则合并重叠位置，避免整段尾部被静默截断。</w:t>
      </w:r>
    </w:p>
    <w:p>
      <w:pPr>
        <w:pStyle w:val="工作稿公式"/>
        <w:spacing w:before="100" w:after="100"/>
        <w:ind w:firstLine="0" w:firstLineChars="0" w:leftChars="0"/>
        <w:jc w:val="center"/>
      </w:pPr>
      <m:oMath>
        <m:r>
          <m:t>Hᵀ = Encoder(token_ids，attention_mask，segment_ids)</m:t>
        </m:r>
      </m:oMath>
      <w:r>
        <w:rPr>
          <w:rFonts w:ascii="Times New Roman" w:hAnsi="Times New Roman" w:eastAsia="宋体"/>
          <w:sz w:val="20"/>
        </w:rPr>
        <w:t xml:space="preserve">  （4-1）</w:t>
      </w:r>
    </w:p>
    <w:p>
      <w:pPr>
        <w:pStyle w:val="a2"/>
        <w:widowControl/>
      </w:pPr>
      <w:r>
        <w:t>采用该模型时单行文本维数为256。这里的特征由附件1文本自主计算，与附件2官方768维预计算text是不同产物；是否采用同一权重应在实施后固定revision并记录校验值。目前未生成附件1的这些向量。</w:t>
      </w:r>
    </w:p>
    <w:p>
      <w:pPr>
        <w:pStyle w:val="a2"/>
        <w:widowControl/>
      </w:pPr>
      <w:r>
        <w:t>文本选择上下文化编码，是因为同一词在否定、转折或不同评价对象下具有不同情感含义，固定词典或孤立词向量难以表达这种关系。第一问允许选择特征工具，但需要固定词表与版本，并保存子词对应关系；不能因为第二问采用BERT-Mini，就把它当作第一问唯一可选或已验证最优的编码器。</w:t>
      </w:r>
    </w:p>
    <w:p>
      <w:pPr>
        <w:pStyle w:val="30"/>
        <w:ind w:firstLine="0" w:firstLineChars="0" w:leftChars="0" w:left="142"/>
      </w:pPr>
      <w:r>
        <w:t>4.2.2 语音韵律与声学特征提取</w:t>
      </w:r>
    </w:p>
    <w:p>
      <w:pPr>
        <w:pStyle w:val="a2"/>
        <w:widowControl/>
      </w:pPr>
      <w:r>
        <w:t>声学分支拟先按媒体时间戳提取音频，保留原采样率信息，再统一到工具要求的采样率。可选openSMILE的eGeMAPS配置[7]作为可解释的声学描述，以每个目标词区间计算88维功能统计量；工具配置、短区间的最小时长和边界扩展规则应明确固定。也可采用逐帧低层描述后聚合，但不能在未实际核对配置时把维数写成已验证值。</w:t>
      </w:r>
    </w:p>
    <w:p>
      <w:pPr>
        <w:pStyle w:val="a2"/>
        <w:widowControl/>
      </w:pPr>
      <w:r>
        <w:t>词区间过短、语音活动不足或工具未返回有效特征时，应保留该位置并标注声学不可用；扩展分析窗口不得越过媒体边界，需同时记录真实词区间与实际分析区间。该拟定特征定义不用于解释附件2的74维具体物理含义，题面并未提供这种对应关系。</w:t>
      </w:r>
    </w:p>
    <w:p>
      <w:pPr>
        <w:pStyle w:val="a2"/>
        <w:widowControl/>
      </w:pPr>
      <w:r>
        <w:t>韵律与声学统计可以表达音高、能量及声质变化，但词级区间通常较短，88维功能统计量在极短片段上可能估计不稳定。因此第一问实施时需比较“按词区间直接计算功能统计”与“更高时间分辨率的低层描述后聚合”的可用率，固定一种方法后再汇总全部样本；本文尚无这一比较结果。区间扩展增加上下文的同时也会跨越词边界，必须在时间映射中如实记录。</w:t>
      </w:r>
    </w:p>
    <w:p>
      <w:pPr>
        <w:pStyle w:val="30"/>
        <w:ind w:firstLine="0" w:firstLineChars="0" w:leftChars="0" w:left="142"/>
      </w:pPr>
      <w:r>
        <w:t>4.2.3 视觉表情与动作特征提取</w:t>
      </w:r>
    </w:p>
    <w:p>
      <w:pPr>
        <w:pStyle w:val="a2"/>
        <w:widowControl/>
      </w:pPr>
      <w:r>
        <w:t>视觉分支拟使用OpenFace等开源工具[8]，在视频帧上提取面部动作单元强度、头部姿态及检测置信度。可选17项AU强度与6项头部姿态构成23维描述，但最终应以工具实际输出字段及版本为准。人脸检测失败或置信度低于预先确定阈值的帧，不作为有效视觉观测参与聚合。</w:t>
      </w:r>
    </w:p>
    <w:p>
      <w:pPr>
        <w:pStyle w:val="a2"/>
        <w:widowControl/>
      </w:pPr>
      <w:r>
        <w:t>若片段包含多个人脸，须固定目标人物选择或跟踪规则，并对切换、遮挡和无脸帧记录质量标记，不能任意混合不同人物。问题一拟用的23维定义与附件2的35维官方视觉特征彼此独立，不由维度接近推定来源相同。</w:t>
      </w:r>
    </w:p>
    <w:p>
      <w:pPr>
        <w:pStyle w:val="20"/>
        <w:ind w:firstLine="0" w:firstLineChars="0" w:leftChars="0"/>
      </w:pPr>
      <w:bookmarkStart w:id="23" w:name="_PaperHeading022"/>
      <w:r>
        <w:t>4.3 跨模态时序对齐模型</w:t>
      </w:r>
      <w:bookmarkEnd w:id="23"/>
    </w:p>
    <w:p>
      <w:pPr>
        <w:pStyle w:val="30"/>
        <w:ind w:firstLine="0" w:firstLineChars="0" w:leftChars="0" w:left="142"/>
      </w:pPr>
      <w:r>
        <w:t>4.3.1 文本词级时间定位与词元映射</w:t>
      </w:r>
    </w:p>
    <w:p>
      <w:pPr>
        <w:pStyle w:val="a2"/>
        <w:widowControl/>
      </w:pPr>
      <w:r>
        <w:t>拟通过英文强制对齐工具，将已给转写与音频对应为词级区间Jₖ=[aₖ,bₖ)。再由分词器建立词元j到原词k的映射π(j)。同一原词拆出的多个子词可共享该词的时间区间，同时保留“词级分辨率”标记；没有声学证据时，不将词长均分伪装成精确子词时间。</w:t>
      </w:r>
    </w:p>
    <w:p>
      <w:pPr>
        <w:pStyle w:val="工作稿公式"/>
        <w:spacing w:before="100" w:after="100"/>
        <w:ind w:firstLine="0" w:firstLineChars="0" w:leftChars="0"/>
        <w:jc w:val="center"/>
      </w:pPr>
      <m:oMath>
        <m:r>
          <m:t>Jⱼ = Jπ(j)；π(j)给出子词j所属的原词索引</m:t>
        </m:r>
      </m:oMath>
      <w:r>
        <w:rPr>
          <w:rFonts w:ascii="Times New Roman" w:hAnsi="Times New Roman" w:eastAsia="宋体"/>
          <w:sz w:val="20"/>
        </w:rPr>
        <w:t xml:space="preserve">  （4-2）</w:t>
      </w:r>
    </w:p>
    <w:p>
      <w:pPr>
        <w:pStyle w:val="a2"/>
        <w:widowControl/>
      </w:pPr>
      <w:r>
        <w:t>若转写中的词未能对齐，记录null时间和失败原因，可保留文本特征而将对应音视频聚合状态标记为待核验。对齐程序只能提供候选位置，仍需典型样本人工回看核查。第一问的词级时间方案可以为第三问提供方法，但不能证明附件4已有特征行自动满足该映射。</w:t>
      </w:r>
    </w:p>
    <w:p>
      <w:pPr>
        <w:pStyle w:val="a2"/>
        <w:widowControl/>
      </w:pPr>
      <w:r>
        <w:t>强制对齐的作用是依据音频证据寻找给定词串的位置，而不是验证转写一定正确。文本漏词、背景语音或语速变化都可能导致局部错位。第一问应先保留原文，再记录规范化和对齐失败，不能为获得整齐时间轴而任意删词。对同词多个子词共享区间的处理保留了词级定位证据，但并未提高到真实子词级时间精度。</w:t>
      </w:r>
    </w:p>
    <w:p>
      <w:pPr>
        <w:pStyle w:val="30"/>
        <w:ind w:firstLine="0" w:firstLineChars="0" w:leftChars="0" w:left="142"/>
      </w:pPr>
      <w:r>
        <w:t>4.3.2 基于时间区间重叠的音视频特征聚合</w:t>
      </w:r>
    </w:p>
    <w:p>
      <w:pPr>
        <w:pStyle w:val="a2"/>
        <w:widowControl/>
      </w:pPr>
      <w:r>
        <w:t>对可按短时区间采样的声学或视觉帧级特征，令Qᵣ=[uᵣ,vᵣ)为第r个特征支持区间，qᵣ∈{0,1}表示该帧是否可信。目标区间与帧区间的重叠长度决定聚合权重。对仅有帧时间点的视频，可用相邻PTS中点构建帧支持区间，并限制到视频有效时间范围。</w:t>
      </w:r>
    </w:p>
    <w:p>
      <w:pPr>
        <w:pStyle w:val="工作稿公式"/>
        <w:spacing w:before="100" w:after="100"/>
        <w:ind w:firstLine="0" w:firstLineChars="0" w:leftChars="0"/>
        <w:jc w:val="center"/>
      </w:pPr>
      <m:oMath>
        <m:r>
          <m:t>wⱼᵣ = max{0，min(bⱼ,vᵣ)−max(aⱼ,uᵣ)} · qᵣ</m:t>
        </m:r>
      </m:oMath>
      <w:r>
        <w:rPr>
          <w:rFonts w:ascii="Times New Roman" w:hAnsi="Times New Roman" w:eastAsia="宋体"/>
          <w:sz w:val="20"/>
        </w:rPr>
        <w:t xml:space="preserve">  （4-3）</w:t>
      </w:r>
    </w:p>
    <w:p>
      <w:pPr>
        <w:pStyle w:val="工作稿公式"/>
        <w:spacing w:before="100" w:after="100"/>
        <w:ind w:firstLine="0" w:firstLineChars="0" w:leftChars="0"/>
        <w:jc w:val="center"/>
      </w:pPr>
      <m:oMath>
        <m:r>
          <m:t>xⱼᵐ = (Σᵣ wⱼᵣ fᵣᵐ)/(Σᵣ wⱼᵣ)，当Σᵣwⱼᵣ&gt;0</m:t>
        </m:r>
      </m:oMath>
      <w:r>
        <w:rPr>
          <w:rFonts w:ascii="Times New Roman" w:hAnsi="Times New Roman" w:eastAsia="宋体"/>
          <w:sz w:val="20"/>
        </w:rPr>
        <w:t xml:space="preserve">  （4-4）</w:t>
      </w:r>
    </w:p>
    <w:p>
      <w:pPr>
        <w:pStyle w:val="a2"/>
        <w:widowControl/>
      </w:pPr>
      <w:r>
        <w:t>无有效重叠时将该模态标记为不可用，不以其他时间段的均值悄悄填充。对于区间级eGeMAPS功能统计，可直接在Jⱼ对应的音频片段计算，不机械地对88维功能统计再次套用帧均值；须在配置中注明采用哪一种路径。</w:t>
      </w:r>
    </w:p>
    <w:p>
      <w:pPr>
        <w:pStyle w:val="a2"/>
        <w:widowControl/>
      </w:pPr>
      <w:r>
        <w:t>区间重叠加权可由分段常值信号的时间平均得到：若帧支持区间Qᵣ互不重叠，f(t)在各Qᵣ上取fᵣ，且只对可信区间积分，那么词区间内的平均值等于各fᵣ按有效重叠时长加权的均值。相较按帧序号均匀选点，它允许视频可变帧率、音频窗长与词长不一致。该推导依赖支持区间定义及时间戳可信；单靠相同矩阵长度不能满足这些前提。若音频分析窗重叠，直接按重叠时长求和可能重复计权，此时只能称为窗口加权聚合；要使用严格的时间积分解释，需另外划分不重叠的支持区间。</w:t>
      </w:r>
    </w:p>
    <w:p>
      <w:pPr>
        <w:pStyle w:val="工作稿公式"/>
        <w:spacing w:before="100" w:after="100"/>
        <w:ind w:firstLine="0" w:firstLineChars="0" w:leftChars="0"/>
        <w:jc w:val="center"/>
      </w:pPr>
      <m:oMath>
        <m:r>
          <m:t>xⱼᵐ = [∫Jⱼ q(t)fᵐ(t)dt] / [∫Jⱼ q(t)dt]</m:t>
        </m:r>
      </m:oMath>
      <w:r>
        <w:rPr>
          <w:rFonts w:ascii="Times New Roman" w:hAnsi="Times New Roman" w:eastAsia="宋体"/>
          <w:sz w:val="20"/>
        </w:rPr>
        <w:t xml:space="preserve">  （4-5）</w:t>
      </w:r>
    </w:p>
    <w:p>
      <w:pPr>
        <w:pStyle w:val="a2"/>
        <w:widowControl/>
      </w:pPr>
      <w:r>
        <w:t>支持时间为零时不计算均值，而是保留位置并置为不可用。对于左右边界落在视频支持范围之外的词，需要报告时间覆盖比例；不能以最近帧无条件填充，再宣称该帧精确对应原词。特征时间平均与模型内部注意力平均也应分开：前者由媒体时间决定，后者由预测任务学习。</w:t>
      </w:r>
    </w:p>
    <w:p>
      <w:pPr>
        <w:pStyle w:val="30"/>
        <w:ind w:firstLine="0" w:firstLineChars="0" w:leftChars="0" w:left="142"/>
      </w:pPr>
      <w:r>
        <w:t>4.3.3 对齐序列的有效长度与填充规则</w:t>
      </w:r>
    </w:p>
    <w:p>
      <w:pPr>
        <w:pStyle w:val="a2"/>
        <w:widowControl/>
      </w:pPr>
      <w:r>
        <w:t>第一问拟以有效内容词元数作为序列长度。存储时采用变长矩阵，或按批次最大长度填充；padding不计入真实长度，不参与池化与缺失率统计。文本存在但声学或视觉不可用的位置仍属于真实序列，不能删去或将有效长度改为非零行数。</w:t>
      </w:r>
    </w:p>
    <w:p>
      <w:pPr>
        <w:pStyle w:val="工作稿公式"/>
        <w:spacing w:before="100" w:after="100"/>
        <w:ind w:firstLine="0" w:firstLineChars="0" w:leftChars="0"/>
        <w:jc w:val="center"/>
      </w:pPr>
      <m:oMath>
        <m:r>
          <m:t>padding_maskⱼ = 1(j ≥ L)；observed_maskⱼᵐ = 1(该位置模态m有可信特征)</m:t>
        </m:r>
      </m:oMath>
      <w:r>
        <w:rPr>
          <w:rFonts w:ascii="Times New Roman" w:hAnsi="Times New Roman" w:eastAsia="宋体"/>
          <w:sz w:val="20"/>
        </w:rPr>
        <w:t xml:space="preserve">  （4-6）</w:t>
      </w:r>
    </w:p>
    <w:p>
      <w:pPr>
        <w:pStyle w:val="30"/>
        <w:ind w:firstLine="0" w:firstLineChars="0" w:leftChars="0" w:left="142"/>
      </w:pPr>
      <w:r>
        <w:t>4.3.4 序列位置与原始文本、语音及视频的对应关系</w:t>
      </w:r>
    </w:p>
    <w:p>
      <w:pPr>
        <w:pStyle w:val="a2"/>
        <w:widowControl/>
      </w:pPr>
      <w:r>
        <w:t>每行特征拟绑定sample_id、token_index、word_index、原文字符区间、词级开始/结束时间、音频支持范围和视觉帧PTS集合。不同子词共享同一词级时间时明确标注映射粒度。这样可以从重要性最高的特征位置回查原词、播放音频区间并提取对应视频帧，而不是仅凭帧率或总时长推算。</w:t>
      </w:r>
    </w:p>
    <w:p>
      <w:pPr>
        <w:pStyle w:val="a2"/>
        <w:widowControl/>
      </w:pPr>
      <w:r>
        <w:t>附件1音视频轨道存在小幅时长差；此前容器审计最大约155毫秒。这不直接等于声画不同步，处理时还需考虑起始时间与编辑列表。聚合边界按各自实际PTS及共同可用区间截取，并将无法覆盖的尾端记录为边界情况。</w:t>
      </w:r>
    </w:p>
    <w:p>
      <w:pPr>
        <w:pStyle w:val="20"/>
        <w:ind w:firstLine="0" w:firstLineChars="0" w:leftChars="0"/>
      </w:pPr>
      <w:bookmarkStart w:id="24" w:name="_PaperHeading023"/>
      <w:r>
        <w:t>4.4 特征文件构建与存储规范</w:t>
      </w:r>
      <w:bookmarkEnd w:id="24"/>
    </w:p>
    <w:p>
      <w:pPr>
        <w:pStyle w:val="30"/>
        <w:ind w:firstLine="0" w:firstLineChars="0" w:leftChars="0" w:left="142"/>
      </w:pPr>
      <w:r>
        <w:t>4.4.1 特征矩阵、掩码与时间映射的组织方式</w:t>
      </w:r>
    </w:p>
    <w:p>
      <w:pPr>
        <w:pStyle w:val="a0"/>
        <w:ind w:firstLine="0" w:firstLineChars="0" w:leftChars="0"/>
        <w:keepNext/>
        <w:numPr>
          <w:numId w:val="0"/>
        </w:numPr>
      </w:pPr>
      <w:r>
        <w:rPr>
          <w:rFonts w:ascii="Times New Roman" w:hAnsi="Times New Roman" w:eastAsia="宋体"/>
          <w:b/>
          <w:sz w:val="21"/>
        </w:rPr>
        <w:t>表4 问题一拟定输出字段（尚未生成）</w:t>
      </w:r>
    </w:p>
    <w:tbl>
      <w:tblPr>
        <w:tblW w:type="auto" w:w="0"/>
        <w:jc w:val="center"/>
        <w:tblLayout w:type="autofit"/>
        <w:tblLook w:firstColumn="1" w:firstRow="1" w:lastColumn="0" w:lastRow="0" w:noHBand="0" w:noVBand="1" w:val="04A0"/>
        <w:tblBorders>
          <w:top w:val="single" w:sz="10" w:color="000000"/>
          <w:left w:val="nil" w:sz="10" w:color="000000"/>
          <w:bottom w:val="single" w:sz="10" w:color="000000"/>
          <w:right w:val="nil" w:sz="10" w:color="000000"/>
          <w:insideH w:val="nil" w:sz="10" w:color="000000"/>
          <w:insideV w:val="nil" w:sz="10" w:color="000000"/>
        </w:tblBorders>
      </w:tblPr>
      <w:tblGrid>
        <w:gridCol w:w="3133"/>
        <w:gridCol w:w="3133"/>
        <w:gridCol w:w="3133"/>
      </w:tblGrid>
      <w:tr>
        <w:trPr>
          <w:cantSplit/>
          <w:tblHeader/>
        </w:trPr>
        <w:tc>
          <w:tcPr>
            <w:tcW w:type="dxa" w:w="3133"/>
            <w:tcBorders>
              <w:bottom w:val="single" w:sz="6"/>
            </w:tcBorders>
          </w:tcPr>
          <w:p>
            <w:pPr>
              <w:pStyle w:val="a2"/>
              <w:spacing w:before="40" w:after="40" w:line="252" w:lineRule="auto"/>
              <w:ind w:firstLine="0" w:firstLineChars="0" w:leftChars="0" w:left="0"/>
            </w:pPr>
            <w:r>
              <w:rPr>
                <w:rFonts w:ascii="Times New Roman" w:hAnsi="Times New Roman" w:eastAsia="宋体"/>
                <w:b/>
                <w:sz w:val="21"/>
              </w:rPr>
              <w:t>字段</w:t>
            </w:r>
          </w:p>
        </w:tc>
        <w:tc>
          <w:tcPr>
            <w:tcW w:type="dxa" w:w="3133"/>
            <w:tcBorders>
              <w:bottom w:val="single" w:sz="6"/>
            </w:tcBorders>
          </w:tcPr>
          <w:p>
            <w:pPr>
              <w:pStyle w:val="a2"/>
              <w:spacing w:before="40" w:after="40" w:line="252" w:lineRule="auto"/>
              <w:ind w:firstLine="0" w:firstLineChars="0" w:leftChars="0" w:left="0"/>
            </w:pPr>
            <w:r>
              <w:rPr>
                <w:rFonts w:ascii="Times New Roman" w:hAnsi="Times New Roman" w:eastAsia="宋体"/>
                <w:b/>
                <w:sz w:val="21"/>
              </w:rPr>
              <w:t>组织方式</w:t>
            </w:r>
          </w:p>
        </w:tc>
        <w:tc>
          <w:tcPr>
            <w:tcW w:type="dxa" w:w="3133"/>
            <w:tcBorders>
              <w:bottom w:val="single" w:sz="6"/>
            </w:tcBorders>
          </w:tcPr>
          <w:p>
            <w:pPr>
              <w:pStyle w:val="a2"/>
              <w:spacing w:before="40" w:after="40" w:line="252" w:lineRule="auto"/>
              <w:ind w:firstLine="0" w:firstLineChars="0" w:leftChars="0" w:left="0"/>
            </w:pPr>
            <w:r>
              <w:rPr>
                <w:rFonts w:ascii="Times New Roman" w:hAnsi="Times New Roman" w:eastAsia="宋体"/>
                <w:b/>
                <w:sz w:val="21"/>
              </w:rPr>
              <w:t>说明</w:t>
            </w:r>
          </w:p>
        </w:tc>
      </w:tr>
      <w:tr>
        <w:trPr>
          <w:cantSplit/>
        </w:trPr>
        <w:tc>
          <w:tcPr>
            <w:tcW w:type="dxa" w:w="3133"/>
          </w:tcPr>
          <w:p>
            <w:pPr>
              <w:pStyle w:val="a2"/>
              <w:spacing w:before="40" w:after="40" w:line="252" w:lineRule="auto"/>
              <w:ind w:firstLine="0" w:firstLineChars="0" w:leftChars="0" w:left="0"/>
            </w:pPr>
            <w:r>
              <w:rPr>
                <w:rFonts w:ascii="Times New Roman" w:hAnsi="Times New Roman" w:eastAsia="宋体"/>
                <w:b w:val="0"/>
                <w:sz w:val="21"/>
              </w:rPr>
              <w:t>sample_id / source_hash</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字符串 / SHA-256</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原video_id与clip_id及来源校验</w:t>
            </w:r>
          </w:p>
        </w:tc>
      </w:tr>
      <w:tr>
        <w:trPr>
          <w:cantSplit/>
        </w:trPr>
        <w:tc>
          <w:tcPr>
            <w:tcW w:type="dxa" w:w="3133"/>
          </w:tcPr>
          <w:p>
            <w:pPr>
              <w:pStyle w:val="a2"/>
              <w:spacing w:before="40" w:after="40" w:line="252" w:lineRule="auto"/>
              <w:ind w:firstLine="0" w:firstLineChars="0" w:leftChars="0" w:left="0"/>
            </w:pPr>
            <w:r>
              <w:rPr>
                <w:rFonts w:ascii="Times New Roman" w:hAnsi="Times New Roman" w:eastAsia="宋体"/>
                <w:b w:val="0"/>
                <w:sz w:val="21"/>
              </w:rPr>
              <w:t>text / audio / vision</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L×dᵀ / L×dᴬ / L×dⱽ</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维数按最终工具配置固定</w:t>
            </w:r>
          </w:p>
        </w:tc>
      </w:tr>
      <w:tr>
        <w:trPr>
          <w:cantSplit/>
        </w:trPr>
        <w:tc>
          <w:tcPr>
            <w:tcW w:type="dxa" w:w="3133"/>
          </w:tcPr>
          <w:p>
            <w:pPr>
              <w:pStyle w:val="a2"/>
              <w:spacing w:before="40" w:after="40" w:line="252" w:lineRule="auto"/>
              <w:ind w:firstLine="0" w:firstLineChars="0" w:leftChars="0" w:left="0"/>
            </w:pPr>
            <w:r>
              <w:rPr>
                <w:rFonts w:ascii="Times New Roman" w:hAnsi="Times New Roman" w:eastAsia="宋体"/>
                <w:b w:val="0"/>
                <w:sz w:val="21"/>
              </w:rPr>
              <w:t>sequence_mask / observed_mask</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L / L×3</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内容位置与模态可用性分开</w:t>
            </w:r>
          </w:p>
        </w:tc>
      </w:tr>
      <w:tr>
        <w:trPr>
          <w:cantSplit/>
        </w:trPr>
        <w:tc>
          <w:tcPr>
            <w:tcW w:type="dxa" w:w="3133"/>
          </w:tcPr>
          <w:p>
            <w:pPr>
              <w:pStyle w:val="a2"/>
              <w:spacing w:before="40" w:after="40" w:line="252" w:lineRule="auto"/>
              <w:ind w:firstLine="0" w:firstLineChars="0" w:leftChars="0" w:left="0"/>
            </w:pPr>
            <w:r>
              <w:rPr>
                <w:rFonts w:ascii="Times New Roman" w:hAnsi="Times New Roman" w:eastAsia="宋体"/>
                <w:b w:val="0"/>
                <w:sz w:val="21"/>
              </w:rPr>
              <w:t>token_ids / word_index / offsets</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长度L的数组</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原词、字符与子词对应</w:t>
            </w:r>
          </w:p>
        </w:tc>
      </w:tr>
      <w:tr>
        <w:trPr>
          <w:cantSplit/>
        </w:trPr>
        <w:tc>
          <w:tcPr>
            <w:tcW w:type="dxa" w:w="3133"/>
          </w:tcPr>
          <w:p>
            <w:pPr>
              <w:pStyle w:val="a2"/>
              <w:spacing w:before="40" w:after="40" w:line="252" w:lineRule="auto"/>
              <w:ind w:firstLine="0" w:firstLineChars="0" w:leftChars="0" w:left="0"/>
            </w:pPr>
            <w:r>
              <w:rPr>
                <w:rFonts w:ascii="Times New Roman" w:hAnsi="Times New Roman" w:eastAsia="宋体"/>
                <w:b w:val="0"/>
                <w:sz w:val="21"/>
              </w:rPr>
              <w:t>time_map</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L×2；无映射处为null</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单位秒；另存词级分辨率</w:t>
            </w:r>
          </w:p>
        </w:tc>
      </w:tr>
      <w:tr>
        <w:trPr>
          <w:cantSplit/>
        </w:trPr>
        <w:tc>
          <w:tcPr>
            <w:tcW w:type="dxa" w:w="3133"/>
          </w:tcPr>
          <w:p>
            <w:pPr>
              <w:pStyle w:val="a2"/>
              <w:spacing w:before="40" w:after="40" w:line="252" w:lineRule="auto"/>
              <w:ind w:firstLine="0" w:firstLineChars="0" w:leftChars="0" w:left="0"/>
            </w:pPr>
            <w:r>
              <w:rPr>
                <w:rFonts w:ascii="Times New Roman" w:hAnsi="Times New Roman" w:eastAsia="宋体"/>
                <w:b w:val="0"/>
                <w:sz w:val="21"/>
              </w:rPr>
              <w:t>frame_pts / audio_support</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变长列表</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保留原帧与分析窗口索引</w:t>
            </w:r>
          </w:p>
        </w:tc>
      </w:tr>
      <w:tr>
        <w:trPr>
          <w:cantSplit/>
        </w:trPr>
        <w:tc>
          <w:tcPr>
            <w:tcW w:type="dxa" w:w="3133"/>
          </w:tcPr>
          <w:p>
            <w:pPr>
              <w:pStyle w:val="a2"/>
              <w:spacing w:before="40" w:after="40" w:line="252" w:lineRule="auto"/>
              <w:ind w:firstLine="0" w:firstLineChars="0" w:leftChars="0" w:left="0"/>
            </w:pPr>
            <w:r>
              <w:rPr>
                <w:rFonts w:ascii="Times New Roman" w:hAnsi="Times New Roman" w:eastAsia="宋体"/>
                <w:b w:val="0"/>
                <w:sz w:val="21"/>
              </w:rPr>
              <w:t>quality_flags / tool_config</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列表 / 字典</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失败原因、版本、参数和权重哈希</w:t>
            </w:r>
          </w:p>
        </w:tc>
      </w:tr>
    </w:tbl>
    <w:p>
      <w:pPr>
        <w:pStyle w:val="a2"/>
        <w:widowControl/>
      </w:pPr>
      <w:r>
        <w:t>数值矩阵可使用float32压缩存储，词元索引用整数，掩码用布尔值；时间映射和工具元数据采用可读JSON。若在50MB总提交限制下使用量化或压缩，应评估压缩误差并记录规则，不得以删掉样本或必要映射来满足体积。</w:t>
      </w:r>
    </w:p>
    <w:p>
      <w:pPr>
        <w:pStyle w:val="30"/>
        <w:ind w:firstLine="0" w:firstLineChars="0" w:leftChars="0" w:left="142"/>
      </w:pPr>
      <w:r>
        <w:t>4.4.2 特征文件读取与完整性校验</w:t>
      </w:r>
    </w:p>
    <w:p>
      <w:pPr>
        <w:pStyle w:val="a2"/>
        <w:widowControl/>
      </w:pPr>
      <w:r>
        <w:t>读取后检查三种矩阵的行数与掩码、时间映射一致，所有有效数值有限，时间区间位于媒体范围内且开始不晚于结束，词元到原词映射不越界。汇总样本ID集合必须与原始100条清单完全一致。文件损坏、重复ID和缺失输出应触发明确报错；单一模态失败则保留样本与质量标记。</w:t>
      </w:r>
    </w:p>
    <w:p>
      <w:pPr>
        <w:pStyle w:val="20"/>
        <w:ind w:firstLine="0" w:firstLineChars="0" w:leftChars="0"/>
      </w:pPr>
      <w:bookmarkStart w:id="25" w:name="_PaperHeading024"/>
      <w:r>
        <w:t>4.5 已核验的原始样本基础与尚缺成果</w:t>
      </w:r>
      <w:bookmarkEnd w:id="25"/>
    </w:p>
    <w:p>
      <w:pPr>
        <w:pStyle w:val="a2"/>
        <w:widowControl/>
        <w:shd w:fill="F2F2F2"/>
      </w:pPr>
      <w:r>
        <w:rPr>
          <w:b/>
        </w:rPr>
        <w:t>本节仅报告原媒体核查，不是100条自主特征提取结果。第一问正式结果仍需逐样本补齐特征维数、对齐粒度、有效长度、时间覆盖和文件校验。</w:t>
      </w:r>
    </w:p>
    <w:p>
      <w:pPr>
        <w:pStyle w:val="a0"/>
        <w:ind w:firstLine="0" w:firstLineChars="0" w:leftChars="0"/>
        <w:keepNext/>
        <w:numPr>
          <w:numId w:val="0"/>
        </w:numPr>
      </w:pPr>
      <w:r>
        <w:rPr>
          <w:rFonts w:ascii="Times New Roman" w:hAnsi="Times New Roman" w:eastAsia="宋体"/>
          <w:b/>
          <w:sz w:val="21"/>
        </w:rPr>
        <w:t>表5 第一问原始样本核查汇总（特征结果待完成）</w:t>
      </w:r>
    </w:p>
    <w:tbl>
      <w:tblPr>
        <w:tblW w:type="auto" w:w="0"/>
        <w:jc w:val="center"/>
        <w:tblLayout w:type="autofit"/>
        <w:tblLook w:firstColumn="1" w:firstRow="1" w:lastColumn="0" w:lastRow="0" w:noHBand="0" w:noVBand="1" w:val="04A0"/>
        <w:tblBorders>
          <w:top w:val="single" w:sz="10" w:color="000000"/>
          <w:left w:val="nil" w:sz="10" w:color="000000"/>
          <w:bottom w:val="single" w:sz="10" w:color="000000"/>
          <w:right w:val="nil" w:sz="10" w:color="000000"/>
          <w:insideH w:val="nil" w:sz="10" w:color="000000"/>
          <w:insideV w:val="nil" w:sz="10" w:color="000000"/>
        </w:tblBorders>
      </w:tblPr>
      <w:tblGrid>
        <w:gridCol w:w="2349"/>
        <w:gridCol w:w="2349"/>
        <w:gridCol w:w="2349"/>
        <w:gridCol w:w="2349"/>
      </w:tblGrid>
      <w:tr>
        <w:trPr>
          <w:cantSplit/>
          <w:tblHeader/>
        </w:trPr>
        <w:tc>
          <w:tcPr>
            <w:tcW w:type="dxa" w:w="2349"/>
            <w:tcBorders>
              <w:bottom w:val="single" w:sz="6"/>
            </w:tcBorders>
          </w:tcPr>
          <w:p>
            <w:pPr>
              <w:pStyle w:val="a2"/>
              <w:spacing w:before="40" w:after="40" w:line="252" w:lineRule="auto"/>
              <w:ind w:firstLine="0" w:firstLineChars="0" w:leftChars="0" w:left="0"/>
            </w:pPr>
            <w:r>
              <w:rPr>
                <w:rFonts w:ascii="Times New Roman" w:hAnsi="Times New Roman" w:eastAsia="宋体"/>
                <w:b/>
                <w:sz w:val="21"/>
              </w:rPr>
              <w:t>极性</w:t>
            </w:r>
          </w:p>
        </w:tc>
        <w:tc>
          <w:tcPr>
            <w:tcW w:type="dxa" w:w="2349"/>
            <w:tcBorders>
              <w:bottom w:val="single" w:sz="6"/>
            </w:tcBorders>
          </w:tcPr>
          <w:p>
            <w:pPr>
              <w:pStyle w:val="a2"/>
              <w:spacing w:before="40" w:after="40" w:line="252" w:lineRule="auto"/>
              <w:ind w:firstLine="0" w:firstLineChars="0" w:leftChars="0" w:left="0"/>
            </w:pPr>
            <w:r>
              <w:rPr>
                <w:rFonts w:ascii="Times New Roman" w:hAnsi="Times New Roman" w:eastAsia="宋体"/>
                <w:b/>
                <w:sz w:val="21"/>
              </w:rPr>
              <w:t>条数</w:t>
            </w:r>
          </w:p>
        </w:tc>
        <w:tc>
          <w:tcPr>
            <w:tcW w:type="dxa" w:w="2349"/>
            <w:tcBorders>
              <w:bottom w:val="single" w:sz="6"/>
            </w:tcBorders>
          </w:tcPr>
          <w:p>
            <w:pPr>
              <w:pStyle w:val="a2"/>
              <w:spacing w:before="40" w:after="40" w:line="252" w:lineRule="auto"/>
              <w:ind w:firstLine="0" w:firstLineChars="0" w:leftChars="0" w:left="0"/>
            </w:pPr>
            <w:r>
              <w:rPr>
                <w:rFonts w:ascii="Times New Roman" w:hAnsi="Times New Roman" w:eastAsia="宋体"/>
                <w:b/>
                <w:sz w:val="21"/>
              </w:rPr>
              <w:t>容器时长范围/s</w:t>
            </w:r>
          </w:p>
        </w:tc>
        <w:tc>
          <w:tcPr>
            <w:tcW w:type="dxa" w:w="2349"/>
            <w:tcBorders>
              <w:bottom w:val="single" w:sz="6"/>
            </w:tcBorders>
          </w:tcPr>
          <w:p>
            <w:pPr>
              <w:pStyle w:val="a2"/>
              <w:spacing w:before="40" w:after="40" w:line="252" w:lineRule="auto"/>
              <w:ind w:firstLine="0" w:firstLineChars="0" w:leftChars="0" w:left="0"/>
            </w:pPr>
            <w:r>
              <w:rPr>
                <w:rFonts w:ascii="Times New Roman" w:hAnsi="Times New Roman" w:eastAsia="宋体"/>
                <w:b/>
                <w:sz w:val="21"/>
              </w:rPr>
              <w:t>状态</w:t>
            </w:r>
          </w:p>
        </w:tc>
      </w:tr>
      <w:tr>
        <w:trPr>
          <w:cantSplit/>
        </w:trPr>
        <w:tc>
          <w:tcPr>
            <w:tcW w:type="dxa" w:w="2349"/>
          </w:tcPr>
          <w:p>
            <w:pPr>
              <w:pStyle w:val="a2"/>
              <w:spacing w:before="40" w:after="40" w:line="252" w:lineRule="auto"/>
              <w:ind w:firstLine="0" w:firstLineChars="0" w:leftChars="0" w:left="0"/>
            </w:pPr>
            <w:r>
              <w:rPr>
                <w:rFonts w:ascii="Times New Roman" w:hAnsi="Times New Roman" w:eastAsia="宋体"/>
                <w:b w:val="0"/>
                <w:sz w:val="21"/>
              </w:rPr>
              <w:t>负向</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18</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6.223—22.733</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音视频文件已核查；自主特征未生成</w:t>
            </w:r>
          </w:p>
        </w:tc>
      </w:tr>
      <w:tr>
        <w:trPr>
          <w:cantSplit/>
        </w:trPr>
        <w:tc>
          <w:tcPr>
            <w:tcW w:type="dxa" w:w="2349"/>
          </w:tcPr>
          <w:p>
            <w:pPr>
              <w:pStyle w:val="a2"/>
              <w:spacing w:before="40" w:after="40" w:line="252" w:lineRule="auto"/>
              <w:ind w:firstLine="0" w:firstLineChars="0" w:leftChars="0" w:left="0"/>
            </w:pPr>
            <w:r>
              <w:rPr>
                <w:rFonts w:ascii="Times New Roman" w:hAnsi="Times New Roman" w:eastAsia="宋体"/>
                <w:b w:val="0"/>
                <w:sz w:val="21"/>
              </w:rPr>
              <w:t>中性</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25</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3.295—34.567</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音视频文件已核查；自主特征未生成</w:t>
            </w:r>
          </w:p>
        </w:tc>
      </w:tr>
      <w:tr>
        <w:trPr>
          <w:cantSplit/>
        </w:trPr>
        <w:tc>
          <w:tcPr>
            <w:tcW w:type="dxa" w:w="2349"/>
          </w:tcPr>
          <w:p>
            <w:pPr>
              <w:pStyle w:val="a2"/>
              <w:spacing w:before="40" w:after="40" w:line="252" w:lineRule="auto"/>
              <w:ind w:firstLine="0" w:firstLineChars="0" w:leftChars="0" w:left="0"/>
            </w:pPr>
            <w:r>
              <w:rPr>
                <w:rFonts w:ascii="Times New Roman" w:hAnsi="Times New Roman" w:eastAsia="宋体"/>
                <w:b w:val="0"/>
                <w:sz w:val="21"/>
              </w:rPr>
              <w:t>正向</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57</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2.648—27.300</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音视频文件已核查；自主特征未生成</w:t>
            </w:r>
          </w:p>
        </w:tc>
      </w:tr>
    </w:tbl>
    <w:p>
      <w:pPr>
        <w:pStyle w:val="a2"/>
        <w:widowControl/>
      </w:pPr>
      <w:r>
        <w:t>本轮核查的100条原视频均存在音频和视频轨道，全部容器时长为2.648—34.567秒。逐条原始ID、标签、时长和待提取状态另存机器可读清单。最终论文仍应按题面要求将100条真实特征结果完整汇总；本工作稿只精简展示原始清单，避免以重复“待提取”占据结果分析篇幅。</w:t>
      </w:r>
    </w:p>
    <w:p>
      <w:pPr>
        <w:pStyle w:val="20"/>
        <w:ind w:firstLine="0" w:firstLineChars="0" w:leftChars="0"/>
      </w:pPr>
      <w:bookmarkStart w:id="26" w:name="_PaperHeading025"/>
      <w:r>
        <w:t>4.6 典型样本的时序对齐验证</w:t>
      </w:r>
      <w:bookmarkEnd w:id="26"/>
    </w:p>
    <w:p>
      <w:pPr>
        <w:pStyle w:val="30"/>
        <w:ind w:firstLine="0" w:firstLineChars="0" w:leftChars="0" w:left="142"/>
      </w:pPr>
      <w:r>
        <w:t>4.6.1 文本片段、语音时段与视频帧段对应展示</w:t>
      </w:r>
    </w:p>
    <w:p>
      <w:pPr>
        <w:pStyle w:val="a2"/>
        <w:widowControl/>
      </w:pPr>
      <w:r>
        <w:t>拟从语音清晰、文本完整、人物可见的样本中选择至少1条作为典型案例，展示原句、词级时间区间、对应音频波形和视频帧段。选择规则先确定，不仅展示模型最容易的片段；同时保留至少一个低置信度或边界异常案例说明失效情形。</w:t>
      </w:r>
    </w:p>
    <w:p>
      <w:pPr>
        <w:pStyle w:val="a0"/>
        <w:ind w:firstLine="0" w:firstLineChars="0" w:leftChars="0"/>
        <w:keepNext/>
        <w:numPr>
          <w:numId w:val="0"/>
        </w:numPr>
      </w:pPr>
      <w:r>
        <w:rPr>
          <w:rFonts w:ascii="Times New Roman" w:hAnsi="Times New Roman" w:eastAsia="宋体"/>
          <w:b/>
          <w:sz w:val="21"/>
        </w:rPr>
        <w:t>表6 典型样本证据展示模板（待运行后填写）</w:t>
      </w:r>
    </w:p>
    <w:tbl>
      <w:tblPr>
        <w:tblW w:type="auto" w:w="0"/>
        <w:jc w:val="center"/>
        <w:tblLayout w:type="autofit"/>
        <w:tblLook w:firstColumn="1" w:firstRow="1" w:lastColumn="0" w:lastRow="0" w:noHBand="0" w:noVBand="1" w:val="04A0"/>
        <w:tblBorders>
          <w:top w:val="single" w:sz="10" w:color="000000"/>
          <w:left w:val="nil" w:sz="10" w:color="000000"/>
          <w:bottom w:val="single" w:sz="10" w:color="000000"/>
          <w:right w:val="nil" w:sz="10" w:color="000000"/>
          <w:insideH w:val="nil" w:sz="10" w:color="000000"/>
          <w:insideV w:val="nil" w:sz="10" w:color="000000"/>
        </w:tblBorders>
      </w:tblPr>
      <w:tblGrid>
        <w:gridCol w:w="3133"/>
        <w:gridCol w:w="3133"/>
        <w:gridCol w:w="3133"/>
      </w:tblGrid>
      <w:tr>
        <w:trPr>
          <w:cantSplit/>
          <w:tblHeader/>
        </w:trPr>
        <w:tc>
          <w:tcPr>
            <w:tcW w:type="dxa" w:w="3133"/>
            <w:tcBorders>
              <w:bottom w:val="single" w:sz="6"/>
            </w:tcBorders>
          </w:tcPr>
          <w:p>
            <w:pPr>
              <w:pStyle w:val="a2"/>
              <w:spacing w:before="40" w:after="40" w:line="252" w:lineRule="auto"/>
              <w:ind w:firstLine="0" w:firstLineChars="0" w:leftChars="0" w:left="0"/>
            </w:pPr>
            <w:r>
              <w:rPr>
                <w:rFonts w:ascii="Times New Roman" w:hAnsi="Times New Roman" w:eastAsia="宋体"/>
                <w:b/>
                <w:sz w:val="21"/>
              </w:rPr>
              <w:t>记录项</w:t>
            </w:r>
          </w:p>
        </w:tc>
        <w:tc>
          <w:tcPr>
            <w:tcW w:type="dxa" w:w="3133"/>
            <w:tcBorders>
              <w:bottom w:val="single" w:sz="6"/>
            </w:tcBorders>
          </w:tcPr>
          <w:p>
            <w:pPr>
              <w:pStyle w:val="a2"/>
              <w:spacing w:before="40" w:after="40" w:line="252" w:lineRule="auto"/>
              <w:ind w:firstLine="0" w:firstLineChars="0" w:leftChars="0" w:left="0"/>
            </w:pPr>
            <w:r>
              <w:rPr>
                <w:rFonts w:ascii="Times New Roman" w:hAnsi="Times New Roman" w:eastAsia="宋体"/>
                <w:b/>
                <w:sz w:val="21"/>
              </w:rPr>
              <w:t>应填写内容</w:t>
            </w:r>
          </w:p>
        </w:tc>
        <w:tc>
          <w:tcPr>
            <w:tcW w:type="dxa" w:w="3133"/>
            <w:tcBorders>
              <w:bottom w:val="single" w:sz="6"/>
            </w:tcBorders>
          </w:tcPr>
          <w:p>
            <w:pPr>
              <w:pStyle w:val="a2"/>
              <w:spacing w:before="40" w:after="40" w:line="252" w:lineRule="auto"/>
              <w:ind w:firstLine="0" w:firstLineChars="0" w:leftChars="0" w:left="0"/>
            </w:pPr>
            <w:r>
              <w:rPr>
                <w:rFonts w:ascii="Times New Roman" w:hAnsi="Times New Roman" w:eastAsia="宋体"/>
                <w:b/>
                <w:sz w:val="21"/>
              </w:rPr>
              <w:t>当前状态</w:t>
            </w:r>
          </w:p>
        </w:tc>
      </w:tr>
      <w:tr>
        <w:trPr>
          <w:cantSplit/>
        </w:trPr>
        <w:tc>
          <w:tcPr>
            <w:tcW w:type="dxa" w:w="3133"/>
          </w:tcPr>
          <w:p>
            <w:pPr>
              <w:pStyle w:val="a2"/>
              <w:spacing w:before="40" w:after="40" w:line="252" w:lineRule="auto"/>
              <w:ind w:firstLine="0" w:firstLineChars="0" w:leftChars="0" w:left="0"/>
            </w:pPr>
            <w:r>
              <w:rPr>
                <w:rFonts w:ascii="Times New Roman" w:hAnsi="Times New Roman" w:eastAsia="宋体"/>
                <w:b w:val="0"/>
                <w:sz w:val="21"/>
              </w:rPr>
              <w:t>样本及原句</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真实ID、转写文本</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原始清单可查，案例尚未确定</w:t>
            </w:r>
          </w:p>
        </w:tc>
      </w:tr>
      <w:tr>
        <w:trPr>
          <w:cantSplit/>
        </w:trPr>
        <w:tc>
          <w:tcPr>
            <w:tcW w:type="dxa" w:w="3133"/>
          </w:tcPr>
          <w:p>
            <w:pPr>
              <w:pStyle w:val="a2"/>
              <w:spacing w:before="40" w:after="40" w:line="252" w:lineRule="auto"/>
              <w:ind w:firstLine="0" w:firstLineChars="0" w:leftChars="0" w:left="0"/>
            </w:pPr>
            <w:r>
              <w:rPr>
                <w:rFonts w:ascii="Times New Roman" w:hAnsi="Times New Roman" w:eastAsia="宋体"/>
                <w:b w:val="0"/>
                <w:sz w:val="21"/>
              </w:rPr>
              <w:t>词级定位</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原词、开始/结束时间、对齐置信度</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待强制对齐</w:t>
            </w:r>
          </w:p>
        </w:tc>
      </w:tr>
      <w:tr>
        <w:trPr>
          <w:cantSplit/>
        </w:trPr>
        <w:tc>
          <w:tcPr>
            <w:tcW w:type="dxa" w:w="3133"/>
          </w:tcPr>
          <w:p>
            <w:pPr>
              <w:pStyle w:val="a2"/>
              <w:spacing w:before="40" w:after="40" w:line="252" w:lineRule="auto"/>
              <w:ind w:firstLine="0" w:firstLineChars="0" w:leftChars="0" w:left="0"/>
            </w:pPr>
            <w:r>
              <w:rPr>
                <w:rFonts w:ascii="Times New Roman" w:hAnsi="Times New Roman" w:eastAsia="宋体"/>
                <w:b w:val="0"/>
                <w:sz w:val="21"/>
              </w:rPr>
              <w:t>音频证据</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波形/韵律、对应播放区间</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待提取</w:t>
            </w:r>
          </w:p>
        </w:tc>
      </w:tr>
      <w:tr>
        <w:trPr>
          <w:cantSplit/>
        </w:trPr>
        <w:tc>
          <w:tcPr>
            <w:tcW w:type="dxa" w:w="3133"/>
          </w:tcPr>
          <w:p>
            <w:pPr>
              <w:pStyle w:val="a2"/>
              <w:spacing w:before="40" w:after="40" w:line="252" w:lineRule="auto"/>
              <w:ind w:firstLine="0" w:firstLineChars="0" w:leftChars="0" w:left="0"/>
            </w:pPr>
            <w:r>
              <w:rPr>
                <w:rFonts w:ascii="Times New Roman" w:hAnsi="Times New Roman" w:eastAsia="宋体"/>
                <w:b w:val="0"/>
                <w:sz w:val="21"/>
              </w:rPr>
              <w:t>视觉证据</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帧PTS、关键帧、检测质量</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待提取</w:t>
            </w:r>
          </w:p>
        </w:tc>
      </w:tr>
      <w:tr>
        <w:trPr>
          <w:cantSplit/>
        </w:trPr>
        <w:tc>
          <w:tcPr>
            <w:tcW w:type="dxa" w:w="3133"/>
          </w:tcPr>
          <w:p>
            <w:pPr>
              <w:pStyle w:val="a2"/>
              <w:spacing w:before="40" w:after="40" w:line="252" w:lineRule="auto"/>
              <w:ind w:firstLine="0" w:firstLineChars="0" w:leftChars="0" w:left="0"/>
            </w:pPr>
            <w:r>
              <w:rPr>
                <w:rFonts w:ascii="Times New Roman" w:hAnsi="Times New Roman" w:eastAsia="宋体"/>
                <w:b w:val="0"/>
                <w:sz w:val="21"/>
              </w:rPr>
              <w:t>交叉核验</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子词—词—音频—视频对应记录</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待人工回看</w:t>
            </w:r>
          </w:p>
        </w:tc>
      </w:tr>
    </w:tbl>
    <w:p>
      <w:pPr>
        <w:pStyle w:val="30"/>
        <w:ind w:firstLine="0" w:firstLineChars="0" w:leftChars="0" w:left="142"/>
      </w:pPr>
      <w:r>
        <w:t>4.6.2 三模态特征可视化与对齐误差分析</w:t>
      </w:r>
    </w:p>
    <w:p>
      <w:pPr>
        <w:pStyle w:val="a2"/>
        <w:widowControl/>
      </w:pPr>
      <w:r>
        <w:t>特征可视化拟在同一时间轴绘制词语区间、声学曲线和视觉AU强度，并用颜色区分有效观测、工具失败及padding。若人工标注少量词边界作为核验参照，可报告开始与结束边界绝对误差的均值、中位数和90%分位数；未有人工作为参照时，只能报告可用率和一致性检查，不能自行生成“真实对齐误差”。</w:t>
      </w:r>
    </w:p>
    <w:p>
      <w:pPr>
        <w:pStyle w:val="工作稿公式"/>
        <w:spacing w:before="100" w:after="100"/>
        <w:ind w:firstLine="0" w:firstLineChars="0" w:leftChars="0"/>
        <w:jc w:val="center"/>
      </w:pPr>
      <m:oMath>
        <m:r>
          <m:t>E_align = (1/(2K)) Σₖ(abs(âₖ−aₖᴿ) + abs(b̂ₖ−bₖᴿ))</m:t>
        </m:r>
      </m:oMath>
      <w:r>
        <w:rPr>
          <w:rFonts w:ascii="Times New Roman" w:hAnsi="Times New Roman" w:eastAsia="宋体"/>
          <w:sz w:val="20"/>
        </w:rPr>
        <w:t xml:space="preserve">  （4-7）</w:t>
      </w:r>
    </w:p>
    <w:p>
      <w:pPr>
        <w:pStyle w:val="a2"/>
        <w:widowControl/>
      </w:pPr>
      <w:r>
        <w:t>其中aₖᴿ、bₖᴿ是人工核验边界，âₖ、b̂ₖ是工具输出。当前没有该人工边界集，式（4-7）仅定义未来评价方法，本稿不填写误差数值或伪造对齐图。</w:t>
      </w:r>
    </w:p>
    <w:p>
      <w:pPr>
        <w:pStyle w:val="20"/>
        <w:ind w:firstLine="0" w:firstLineChars="0" w:leftChars="0"/>
      </w:pPr>
      <w:bookmarkStart w:id="27" w:name="_PaperHeading026"/>
      <w:r>
        <w:t>4.7 工具版本、关键参数与可复现性说明</w:t>
      </w:r>
      <w:bookmarkEnd w:id="27"/>
    </w:p>
    <w:p>
      <w:pPr>
        <w:pStyle w:val="a0"/>
        <w:ind w:firstLine="0" w:firstLineChars="0" w:leftChars="0"/>
        <w:keepNext/>
        <w:numPr>
          <w:numId w:val="0"/>
        </w:numPr>
      </w:pPr>
      <w:r>
        <w:rPr>
          <w:rFonts w:ascii="Times New Roman" w:hAnsi="Times New Roman" w:eastAsia="宋体"/>
          <w:b/>
          <w:sz w:val="21"/>
        </w:rPr>
        <w:t>表7 工具与参数记录状态</w:t>
      </w:r>
    </w:p>
    <w:tbl>
      <w:tblPr>
        <w:tblW w:type="auto" w:w="0"/>
        <w:jc w:val="center"/>
        <w:tblLayout w:type="autofit"/>
        <w:tblLook w:firstColumn="1" w:firstRow="1" w:lastColumn="0" w:lastRow="0" w:noHBand="0" w:noVBand="1" w:val="04A0"/>
        <w:tblBorders>
          <w:top w:val="single" w:sz="10" w:color="000000"/>
          <w:left w:val="nil" w:sz="10" w:color="000000"/>
          <w:bottom w:val="single" w:sz="10" w:color="000000"/>
          <w:right w:val="nil" w:sz="10" w:color="000000"/>
          <w:insideH w:val="nil" w:sz="10" w:color="000000"/>
          <w:insideV w:val="nil" w:sz="10" w:color="000000"/>
        </w:tblBorders>
      </w:tblPr>
      <w:tblGrid>
        <w:gridCol w:w="3133"/>
        <w:gridCol w:w="3133"/>
        <w:gridCol w:w="3133"/>
      </w:tblGrid>
      <w:tr>
        <w:trPr>
          <w:cantSplit/>
          <w:tblHeader/>
        </w:trPr>
        <w:tc>
          <w:tcPr>
            <w:tcW w:type="dxa" w:w="3133"/>
            <w:tcBorders>
              <w:bottom w:val="single" w:sz="6"/>
            </w:tcBorders>
          </w:tcPr>
          <w:p>
            <w:pPr>
              <w:pStyle w:val="a2"/>
              <w:spacing w:before="40" w:after="40" w:line="252" w:lineRule="auto"/>
              <w:ind w:firstLine="0" w:firstLineChars="0" w:leftChars="0" w:left="0"/>
            </w:pPr>
            <w:r>
              <w:rPr>
                <w:rFonts w:ascii="Times New Roman" w:hAnsi="Times New Roman" w:eastAsia="宋体"/>
                <w:b/>
                <w:sz w:val="21"/>
              </w:rPr>
              <w:t>环节</w:t>
            </w:r>
          </w:p>
        </w:tc>
        <w:tc>
          <w:tcPr>
            <w:tcW w:type="dxa" w:w="3133"/>
            <w:tcBorders>
              <w:bottom w:val="single" w:sz="6"/>
            </w:tcBorders>
          </w:tcPr>
          <w:p>
            <w:pPr>
              <w:pStyle w:val="a2"/>
              <w:spacing w:before="40" w:after="40" w:line="252" w:lineRule="auto"/>
              <w:ind w:firstLine="0" w:firstLineChars="0" w:leftChars="0" w:left="0"/>
            </w:pPr>
            <w:r>
              <w:rPr>
                <w:rFonts w:ascii="Times New Roman" w:hAnsi="Times New Roman" w:eastAsia="宋体"/>
                <w:b/>
                <w:sz w:val="21"/>
              </w:rPr>
              <w:t>拟用或已用工具</w:t>
            </w:r>
          </w:p>
        </w:tc>
        <w:tc>
          <w:tcPr>
            <w:tcW w:type="dxa" w:w="3133"/>
            <w:tcBorders>
              <w:bottom w:val="single" w:sz="6"/>
            </w:tcBorders>
          </w:tcPr>
          <w:p>
            <w:pPr>
              <w:pStyle w:val="a2"/>
              <w:spacing w:before="40" w:after="40" w:line="252" w:lineRule="auto"/>
              <w:ind w:firstLine="0" w:firstLineChars="0" w:leftChars="0" w:left="0"/>
            </w:pPr>
            <w:r>
              <w:rPr>
                <w:rFonts w:ascii="Times New Roman" w:hAnsi="Times New Roman" w:eastAsia="宋体"/>
                <w:b/>
                <w:sz w:val="21"/>
              </w:rPr>
              <w:t>状态及需固定事项</w:t>
            </w:r>
          </w:p>
        </w:tc>
      </w:tr>
      <w:tr>
        <w:trPr>
          <w:cantSplit/>
        </w:trPr>
        <w:tc>
          <w:tcPr>
            <w:tcW w:type="dxa" w:w="3133"/>
          </w:tcPr>
          <w:p>
            <w:pPr>
              <w:pStyle w:val="a2"/>
              <w:spacing w:before="40" w:after="40" w:line="252" w:lineRule="auto"/>
              <w:ind w:firstLine="0" w:firstLineChars="0" w:leftChars="0" w:left="0"/>
            </w:pPr>
            <w:r>
              <w:rPr>
                <w:rFonts w:ascii="Times New Roman" w:hAnsi="Times New Roman" w:eastAsia="宋体"/>
                <w:b w:val="0"/>
                <w:sz w:val="21"/>
              </w:rPr>
              <w:t>原视频轨道核查</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ffprobe</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已用于100条媒体清单，见本轮环境记录</w:t>
            </w:r>
          </w:p>
        </w:tc>
      </w:tr>
      <w:tr>
        <w:trPr>
          <w:cantSplit/>
        </w:trPr>
        <w:tc>
          <w:tcPr>
            <w:tcW w:type="dxa" w:w="3133"/>
          </w:tcPr>
          <w:p>
            <w:pPr>
              <w:pStyle w:val="a2"/>
              <w:spacing w:before="40" w:after="40" w:line="252" w:lineRule="auto"/>
              <w:ind w:firstLine="0" w:firstLineChars="0" w:leftChars="0" w:left="0"/>
            </w:pPr>
            <w:r>
              <w:rPr>
                <w:rFonts w:ascii="Times New Roman" w:hAnsi="Times New Roman" w:eastAsia="宋体"/>
                <w:b w:val="0"/>
                <w:sz w:val="21"/>
              </w:rPr>
              <w:t>问题一文本编码</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BERT-Mini或固定英文BERT</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拟用；固定分窗长度、tokenizer及revision</w:t>
            </w:r>
          </w:p>
        </w:tc>
      </w:tr>
      <w:tr>
        <w:trPr>
          <w:cantSplit/>
        </w:trPr>
        <w:tc>
          <w:tcPr>
            <w:tcW w:type="dxa" w:w="3133"/>
          </w:tcPr>
          <w:p>
            <w:pPr>
              <w:pStyle w:val="a2"/>
              <w:spacing w:before="40" w:after="40" w:line="252" w:lineRule="auto"/>
              <w:ind w:firstLine="0" w:firstLineChars="0" w:leftChars="0" w:left="0"/>
            </w:pPr>
            <w:r>
              <w:rPr>
                <w:rFonts w:ascii="Times New Roman" w:hAnsi="Times New Roman" w:eastAsia="宋体"/>
                <w:b w:val="0"/>
                <w:sz w:val="21"/>
              </w:rPr>
              <w:t>问题一词级定位</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英文强制对齐工具，如MFA</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未运行；固定词典、声学模型及置信规则</w:t>
            </w:r>
          </w:p>
        </w:tc>
      </w:tr>
      <w:tr>
        <w:trPr>
          <w:cantSplit/>
        </w:trPr>
        <w:tc>
          <w:tcPr>
            <w:tcW w:type="dxa" w:w="3133"/>
          </w:tcPr>
          <w:p>
            <w:pPr>
              <w:pStyle w:val="a2"/>
              <w:spacing w:before="40" w:after="40" w:line="252" w:lineRule="auto"/>
              <w:ind w:firstLine="0" w:firstLineChars="0" w:leftChars="0" w:left="0"/>
            </w:pPr>
            <w:r>
              <w:rPr>
                <w:rFonts w:ascii="Times New Roman" w:hAnsi="Times New Roman" w:eastAsia="宋体"/>
                <w:b w:val="0"/>
                <w:sz w:val="21"/>
              </w:rPr>
              <w:t>问题一声学提取</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openSMILE eGeMAPS配置</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未运行；固定版本、88维配置与短窗策略</w:t>
            </w:r>
          </w:p>
        </w:tc>
      </w:tr>
      <w:tr>
        <w:trPr>
          <w:cantSplit/>
        </w:trPr>
        <w:tc>
          <w:tcPr>
            <w:tcW w:type="dxa" w:w="3133"/>
          </w:tcPr>
          <w:p>
            <w:pPr>
              <w:pStyle w:val="a2"/>
              <w:spacing w:before="40" w:after="40" w:line="252" w:lineRule="auto"/>
              <w:ind w:firstLine="0" w:firstLineChars="0" w:leftChars="0" w:left="0"/>
            </w:pPr>
            <w:r>
              <w:rPr>
                <w:rFonts w:ascii="Times New Roman" w:hAnsi="Times New Roman" w:eastAsia="宋体"/>
                <w:b w:val="0"/>
                <w:sz w:val="21"/>
              </w:rPr>
              <w:t>问题一视觉提取</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OpenFace AU与pose</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未运行；固定字段、阈值和人物跟踪规则</w:t>
            </w:r>
          </w:p>
        </w:tc>
      </w:tr>
      <w:tr>
        <w:trPr>
          <w:cantSplit/>
        </w:trPr>
        <w:tc>
          <w:tcPr>
            <w:tcW w:type="dxa" w:w="3133"/>
          </w:tcPr>
          <w:p>
            <w:pPr>
              <w:pStyle w:val="a2"/>
              <w:spacing w:before="40" w:after="40" w:line="252" w:lineRule="auto"/>
              <w:ind w:firstLine="0" w:firstLineChars="0" w:leftChars="0" w:left="0"/>
            </w:pPr>
            <w:r>
              <w:rPr>
                <w:rFonts w:ascii="Times New Roman" w:hAnsi="Times New Roman" w:eastAsia="宋体"/>
                <w:b w:val="0"/>
                <w:sz w:val="21"/>
              </w:rPr>
              <w:t>问题二共同编码</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google/bert_uncased_L-4_H-256_A-4</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已运行；revision 387825ce42dbb39b87911cdf8e383ee3b25184f8</w:t>
            </w:r>
          </w:p>
        </w:tc>
      </w:tr>
    </w:tbl>
    <w:p>
      <w:pPr>
        <w:pStyle w:val="a2"/>
        <w:widowControl/>
      </w:pPr>
      <w:r>
        <w:t>复现材料应同时给出运行命令、输入清单、工具参数、依赖版本、失败日志和文件校验值。第一问尚未执行的工具不填写虚构版本。当前第二问已记录Python、PyTorch、Transformers等实际版本，并通过新目录解压运行验证；这一事实不能替代第一问自己的复现检查。</w:t>
      </w:r>
    </w:p>
    <w:p>
      <w:pPr>
        <w:pStyle w:val="11"/>
        <w:ind w:firstLine="0" w:firstLineChars="0" w:leftChars="0"/>
      </w:pPr>
      <w:bookmarkStart w:id="28" w:name="_PaperHeading027"/>
      <w:r>
        <w:t>5 问题二：从可用观测融合到跨模态恢复</w:t>
      </w:r>
      <w:bookmarkEnd w:id="28"/>
    </w:p>
    <w:p>
      <w:pPr>
        <w:pStyle w:val="a2"/>
        <w:widowControl/>
      </w:pPr>
      <w:r>
        <w:t>本章围绕三个可检验机制建立模型：可用观测聚合是否足够，显式历史传播是否改善连续缺失后的预测，以及跨模态交互和恢复监督能否进一步降低信息损失带来的误差。各机制共享输入适配规则和标签定义；结构上的合理性先由数学形式说明，实际效果再由第6章验证。</w:t>
      </w:r>
    </w:p>
    <w:p>
      <w:pPr>
        <w:pStyle w:val="20"/>
        <w:ind w:firstLine="0" w:firstLineChars="0" w:leftChars="0"/>
      </w:pPr>
      <w:bookmarkStart w:id="29" w:name="_PaperHeading028"/>
      <w:r>
        <w:t>5.1 基础表示与低复杂度参照</w:t>
      </w:r>
      <w:bookmarkEnd w:id="29"/>
    </w:p>
    <w:p>
      <w:pPr>
        <w:pStyle w:val="工作稿公式"/>
        <w:spacing w:before="100" w:after="100"/>
        <w:ind w:firstLine="0" w:firstLineChars="0" w:leftChars="0"/>
        <w:jc w:val="center"/>
      </w:pPr>
      <m:oMath>
        <m:r>
          <m:t>hᵢₜᵐ = õᵢₜᵐ · tanh{LN[Wᵐ(õᵢₜᵐx̃ᵢₜᵐ)+bᵐ]}</m:t>
        </m:r>
      </m:oMath>
      <w:r>
        <w:rPr>
          <w:rFonts w:ascii="Times New Roman" w:hAnsi="Times New Roman" w:eastAsia="宋体"/>
          <w:sz w:val="20"/>
        </w:rPr>
        <w:t xml:space="preserve">  （5-1）</w:t>
      </w:r>
    </w:p>
    <w:p>
      <w:pPr>
        <w:pStyle w:val="a2"/>
        <w:widowControl/>
      </w:pPr>
      <w:r>
        <w:t>文本、音频、视觉分别由256、74、35维投影到32维。输入在学习变换之前屏蔽，投影后再乘可用掩码，防止偏置和归一化使不可用位置产生伪观测。文本编码器固定权重并使用eval模式，不参与情感标签微调。</w:t>
      </w:r>
    </w:p>
    <w:p>
      <w:pPr>
        <w:pStyle w:val="a2"/>
        <w:widowControl/>
      </w:pPr>
      <w:r>
        <w:t>在线性投影前屏蔽不可用值，防止任意填充值改变特征；投影后再次屏蔽，防止线性偏置与LayerNorm产生伪观测。这两步看似重复，却分别约束输入信息和变换偏置。公共32维投影只用于历史小模型；MulT与EMT采用自己的隐藏维数，不能把全部对照称为等参数模型。</w:t>
      </w:r>
    </w:p>
    <w:p>
      <w:pPr>
        <w:pStyle w:val="工作稿公式"/>
        <w:spacing w:before="100" w:after="100"/>
        <w:ind w:firstLine="0" w:firstLineChars="0" w:leftChars="0"/>
        <w:jc w:val="center"/>
      </w:pPr>
      <m:oMath>
        <m:r>
          <m:t>μhᵐ = Σₜõₜᵐhₜᵐ / max(Σₜõₜᵐ,1)</m:t>
        </m:r>
      </m:oMath>
      <w:r>
        <w:rPr>
          <w:rFonts w:ascii="Times New Roman" w:hAnsi="Times New Roman" w:eastAsia="宋体"/>
          <w:sz w:val="20"/>
        </w:rPr>
        <w:t xml:space="preserve">  （5-2）</w:t>
      </w:r>
    </w:p>
    <w:p>
      <w:pPr>
        <w:pStyle w:val="a2"/>
        <w:widowControl/>
      </w:pPr>
      <w:r>
        <w:t>MLP参照先对每个模态的可用投影取均值，再拼接三个均值与模态存在标记，得到片段级融合表示。它舍弃了显式融合序列顺序，但文本向量本身已由BERT上下文化，故不能称为完全没有序列信息。该参照回答的是：在已有预训练表示上，是否仍需要额外时序融合结构。</w:t>
      </w:r>
    </w:p>
    <w:p>
      <w:pPr>
        <w:pStyle w:val="a2"/>
        <w:widowControl/>
      </w:pPr>
      <w:r>
        <w:t>补充线性路线将三模态分别表示为均值、标准差和可用比例，得到2×(256+74+35)+3=733维统计向量，再采用L2正则逻辑回归和Ridge回归。另一变体加入可见WordPiece的一元及相邻二元TF-IDF。缺失位置保留断点，不跨缺失空位拼出原本不存在的相邻词组。它们是已经运行过的不同方法，而不是未验证的推荐方案。</w:t>
      </w:r>
    </w:p>
    <w:p>
      <w:pPr>
        <w:pStyle w:val="20"/>
        <w:ind w:firstLine="0" w:firstLineChars="0" w:leftChars="0"/>
      </w:pPr>
      <w:bookmarkStart w:id="30" w:name="_PaperHeading029"/>
      <w:r>
        <w:t>5.2 观测状态感知递推候选</w:t>
      </w:r>
      <w:bookmarkEnd w:id="30"/>
    </w:p>
    <w:p>
      <w:pPr>
        <w:pStyle w:val="30"/>
        <w:ind w:firstLine="0" w:firstLineChars="0" w:leftChars="0" w:left="142"/>
      </w:pPr>
      <w:r>
        <w:t>5.2.1 观测状态与连续缺失间隔表示</w:t>
      </w:r>
    </w:p>
    <w:p>
      <w:pPr>
        <w:pStyle w:val="a2"/>
        <w:widowControl/>
      </w:pPr>
      <w:r>
        <w:t>对每种模态维护距最近可用观测的内容步数d。观测存在时归零，内容位置缺失时加一，padding不推进计数。初始无观测区间从首个内容位置累计，间隔以log(1+d)压缩，与三种模态的可用状态拼接为6维描述。</w:t>
      </w:r>
    </w:p>
    <w:p>
      <w:pPr>
        <w:pStyle w:val="工作稿公式"/>
        <w:spacing w:before="100" w:after="100"/>
        <w:ind w:firstLine="0" w:firstLineChars="0" w:leftChars="0"/>
        <w:jc w:val="center"/>
      </w:pPr>
      <m:oMath>
        <m:r>
          <m:t>dₜᵐ = 0（õₜᵐ=1）；dₜᵐ=dₜ₋₁ᵐ+1（sₜ=1且õₜᵐ=0）</m:t>
        </m:r>
      </m:oMath>
      <w:r>
        <w:rPr>
          <w:rFonts w:ascii="Times New Roman" w:hAnsi="Times New Roman" w:eastAsia="宋体"/>
          <w:sz w:val="20"/>
        </w:rPr>
        <w:t xml:space="preserve">  （5-3）</w:t>
      </w:r>
    </w:p>
    <w:p>
      <w:pPr>
        <w:pStyle w:val="工作稿公式"/>
        <w:spacing w:before="100" w:after="100"/>
        <w:ind w:firstLine="0" w:firstLineChars="0" w:leftChars="0"/>
        <w:jc w:val="center"/>
      </w:pPr>
      <m:oMath>
        <m:r>
          <m:t>gₜᵐ = log(1+dₜᵐ)；qₜ = [õₜᵀ,õₜᴬ,õₜⱽ,gₜᵀ,gₜᴬ,gₜⱽ]</m:t>
        </m:r>
      </m:oMath>
      <w:r>
        <w:rPr>
          <w:rFonts w:ascii="Times New Roman" w:hAnsi="Times New Roman" w:eastAsia="宋体"/>
          <w:sz w:val="20"/>
        </w:rPr>
        <w:t xml:space="preserve">  （5-4）</w:t>
      </w:r>
    </w:p>
    <w:p>
      <w:pPr>
        <w:pStyle w:val="30"/>
        <w:ind w:firstLine="0" w:firstLineChars="0" w:leftChars="0" w:left="142"/>
      </w:pPr>
      <w:r>
        <w:t>5.2.2 当前可用模态的融合机制</w:t>
      </w:r>
    </w:p>
    <w:p>
      <w:pPr>
        <w:pStyle w:val="工作稿公式"/>
        <w:spacing w:before="100" w:after="100"/>
        <w:ind w:firstLine="0" w:firstLineChars="0" w:leftChars="0"/>
        <w:jc w:val="center"/>
      </w:pPr>
      <m:oMath>
        <m:r>
          <m:t>eₜᵐ = w₂ᵀ tanh(W₁[hₜᵐ;qₜ]+b₁)+b₂</m:t>
        </m:r>
      </m:oMath>
      <w:r>
        <w:rPr>
          <w:rFonts w:ascii="Times New Roman" w:hAnsi="Times New Roman" w:eastAsia="宋体"/>
          <w:sz w:val="20"/>
        </w:rPr>
        <w:t xml:space="preserve">  （5-5）</w:t>
      </w:r>
    </w:p>
    <w:p>
      <w:pPr>
        <w:pStyle w:val="工作稿公式"/>
        <w:spacing w:before="100" w:after="100"/>
        <w:ind w:firstLine="0" w:firstLineChars="0" w:leftChars="0"/>
        <w:jc w:val="center"/>
      </w:pPr>
      <m:oMath>
        <m:r>
          <m:t>αₜᵐ = õₜᵐ exp(eₜᵐ) / Σₙ õₜⁿ exp(eₜⁿ)</m:t>
        </m:r>
      </m:oMath>
      <w:r>
        <w:rPr>
          <w:rFonts w:ascii="Times New Roman" w:hAnsi="Times New Roman" w:eastAsia="宋体"/>
          <w:sz w:val="20"/>
        </w:rPr>
        <w:t xml:space="preserve">  （5-6）</w:t>
      </w:r>
    </w:p>
    <w:p>
      <w:pPr>
        <w:pStyle w:val="工作稿公式"/>
        <w:spacing w:before="100" w:after="100"/>
        <w:ind w:firstLine="0" w:firstLineChars="0" w:leftChars="0"/>
        <w:jc w:val="center"/>
      </w:pPr>
      <m:oMath>
        <m:r>
          <m:t>uₜ = tanh{Wᵤ[αₜᵀhₜᵀ;αₜᴬhₜᴬ;αₜⱽhₜⱽ;õₜ]+bᵤ}</m:t>
        </m:r>
      </m:oMath>
      <w:r>
        <w:rPr>
          <w:rFonts w:ascii="Times New Roman" w:hAnsi="Times New Roman" w:eastAsia="宋体"/>
          <w:sz w:val="20"/>
        </w:rPr>
        <w:t xml:space="preserve">  （5-7）</w:t>
      </w:r>
    </w:p>
    <w:p>
      <w:pPr>
        <w:pStyle w:val="a2"/>
        <w:widowControl/>
      </w:pPr>
      <w:r>
        <w:t>式（5-6）只在当前可用模态间归一化；分母为0时令所有权重及uₜ为0。加权后按模态身份拼接，避免先求和丢失模态来源。这些权重用于预测融合，尚未经过第三问的解释忠实性验证，不直接称为真实因果贡献。</w:t>
      </w:r>
    </w:p>
    <w:p>
      <w:pPr>
        <w:pStyle w:val="30"/>
        <w:ind w:firstLine="0" w:firstLineChars="0" w:leftChars="0" w:left="142"/>
      </w:pPr>
      <w:r>
        <w:t>5.2.3 历史状态传播与观测更新机制</w:t>
      </w:r>
    </w:p>
    <w:p>
      <w:pPr>
        <w:pStyle w:val="工作稿公式"/>
        <w:spacing w:before="100" w:after="100"/>
        <w:ind w:firstLine="0" w:firstLineChars="0" w:leftChars="0"/>
        <w:jc w:val="center"/>
      </w:pPr>
      <m:oMath>
        <m:r>
          <m:t>a = sigmoid(θ)；zₜ⁻ = a ⊙ zₜ₋₁</m:t>
        </m:r>
      </m:oMath>
      <w:r>
        <w:rPr>
          <w:rFonts w:ascii="Times New Roman" w:hAnsi="Times New Roman" w:eastAsia="宋体"/>
          <w:sz w:val="20"/>
        </w:rPr>
        <w:t xml:space="preserve">  （5-8）</w:t>
      </w:r>
    </w:p>
    <w:p>
      <w:pPr>
        <w:pStyle w:val="工作稿公式"/>
        <w:spacing w:before="100" w:after="100"/>
        <w:ind w:firstLine="0" w:firstLineChars="0" w:leftChars="0"/>
        <w:jc w:val="center"/>
      </w:pPr>
      <m:oMath>
        <m:r>
          <m:t>kₜ = sigmoid{Wₖ[zₜ⁻;uₜ;qₜ]+bₖ} · 1(∃m:õₜᵐ=1)</m:t>
        </m:r>
      </m:oMath>
      <w:r>
        <w:rPr>
          <w:rFonts w:ascii="Times New Roman" w:hAnsi="Times New Roman" w:eastAsia="宋体"/>
          <w:sz w:val="20"/>
        </w:rPr>
        <w:t xml:space="preserve">  （5-9）</w:t>
      </w:r>
    </w:p>
    <w:p>
      <w:pPr>
        <w:pStyle w:val="工作稿公式"/>
        <w:spacing w:before="100" w:after="100"/>
        <w:ind w:firstLine="0" w:firstLineChars="0" w:leftChars="0"/>
        <w:jc w:val="center"/>
      </w:pPr>
      <m:oMath>
        <m:r>
          <m:t>zₜ = (1−kₜ)⊙zₜ⁻ + kₜ⊙uₜ，当sₜ=1</m:t>
        </m:r>
      </m:oMath>
      <w:r>
        <w:rPr>
          <w:rFonts w:ascii="Times New Roman" w:hAnsi="Times New Roman" w:eastAsia="宋体"/>
          <w:sz w:val="20"/>
        </w:rPr>
        <w:t xml:space="preserve">  （5-10）</w:t>
      </w:r>
    </w:p>
    <w:p>
      <w:pPr>
        <w:pStyle w:val="a2"/>
        <w:widowControl/>
      </w:pPr>
      <w:r>
        <w:t>初始化z₀=0，保持系数初值为0.98。内容位置全部模态不可用时，更新门为0，仅传播历史；padding直接保持上一步状态，不衰减也不参与池化。最终对真实内容位置的隐状态均值池化为片段表示。该结构表达了“无观测时保留历史、有观测时调整状态”的建模思想，但效果必须通过消融验证。</w:t>
      </w:r>
    </w:p>
    <w:p>
      <w:pPr>
        <w:pStyle w:val="30"/>
        <w:ind w:firstLine="0" w:firstLineChars="0" w:leftChars="0" w:left="142"/>
      </w:pPr>
      <w:r>
        <w:t>5.2.4 情感极性分类与情感强度回归</w:t>
      </w:r>
    </w:p>
    <w:p>
      <w:pPr>
        <w:pStyle w:val="工作稿公式"/>
        <w:spacing w:before="100" w:after="100"/>
        <w:ind w:firstLine="0" w:firstLineChars="0" w:leftChars="0"/>
        <w:jc w:val="center"/>
      </w:pPr>
      <m:oMath>
        <m:r>
          <m:t>z̄ᵢ = (Σₜsᵢₜzᵢₜ)/max(Lᵢ,1)；p̂ᵢ = softmax(Wcz̄ᵢ+bc)</m:t>
        </m:r>
      </m:oMath>
      <w:r>
        <w:rPr>
          <w:rFonts w:ascii="Times New Roman" w:hAnsi="Times New Roman" w:eastAsia="宋体"/>
          <w:sz w:val="20"/>
        </w:rPr>
        <w:t xml:space="preserve">  （5-11）</w:t>
      </w:r>
    </w:p>
    <w:p>
      <w:pPr>
        <w:pStyle w:val="工作稿公式"/>
        <w:spacing w:before="100" w:after="100"/>
        <w:ind w:firstLine="0" w:firstLineChars="0" w:leftChars="0"/>
        <w:jc w:val="center"/>
      </w:pPr>
      <m:oMath>
        <m:r>
          <m:t>ŷᵢ = 3tanh[(Wrz̄ᵢ+br)/3]；ĉᵢ = argmaxc p̂ᵢc</m:t>
        </m:r>
      </m:oMath>
      <w:r>
        <w:rPr>
          <w:rFonts w:ascii="Times New Roman" w:hAnsi="Times New Roman" w:eastAsia="宋体"/>
          <w:sz w:val="20"/>
        </w:rPr>
        <w:t xml:space="preserve">  （5-12）</w:t>
      </w:r>
    </w:p>
    <w:p>
      <w:pPr>
        <w:pStyle w:val="a2"/>
        <w:widowControl/>
      </w:pPr>
      <w:r>
        <w:t>极性和强度由独立输出头预测，强度限制在[−3,3]。完全没有可用观测的样本使用训练类别先验及训练强度中位数，避免数值异常。独立输出头可能在接近0的区域出现类别与强度符号不一致，本文保留原始输出并统计该现象，不根据无标签专项结果临时修改阈值。</w:t>
      </w:r>
    </w:p>
    <w:p>
      <w:pPr>
        <w:pStyle w:val="a2"/>
        <w:widowControl/>
      </w:pPr>
      <w:r>
        <w:t>观测间隔g告诉模型“已有多久没有某种模态的支持”，当前可用权重α回答“这一位置能使用什么”，更新门k则决定“新融合信息与历史表示怎样组合”。三者作用不同：仅保留mask无法表达连续缺失积累了多少位置；仅保留gap又无法代替真实特征。当前实现将它们共同输入评分和更新网络，是否必要仍需消融，而不能从含义直观直接推出性能增益。</w:t>
      </w:r>
    </w:p>
    <w:p>
      <w:pPr>
        <w:pStyle w:val="30"/>
        <w:ind w:firstLine="0" w:firstLineChars="0" w:leftChars="0" w:left="142"/>
      </w:pPr>
      <w:r>
        <w:t>5.2.5 隐状态有界性与无观测传播</w:t>
      </w:r>
    </w:p>
    <w:p>
      <w:pPr>
        <w:pStyle w:val="工作稿公式"/>
        <w:spacing w:before="100" w:after="100"/>
        <w:ind w:firstLine="0" w:firstLineChars="0" w:leftChars="0"/>
        <w:jc w:val="center"/>
      </w:pPr>
      <m:oMath>
        <m:r>
          <m:t>zₜ⁻ = a⊙zₜ₋₁，zₜ = (1−kₜ)⊙zₜ⁻ + kₜ⊙uₜ</m:t>
        </m:r>
      </m:oMath>
      <w:r>
        <w:rPr>
          <w:rFonts w:ascii="Times New Roman" w:hAnsi="Times New Roman" w:eastAsia="宋体"/>
          <w:sz w:val="20"/>
        </w:rPr>
        <w:t xml:space="preserve">  （5-13）</w:t>
      </w:r>
    </w:p>
    <w:p>
      <w:pPr>
        <w:pStyle w:val="a2"/>
        <w:widowControl/>
      </w:pPr>
      <w:r>
        <w:t>由于u由tanh产生，逐分量满足|uₜ,ⱼ|≤1；a由sigmoid产生，0&lt;aⱼ&lt;1；k在存在观测时位于(0,1)，无观测时为0。由z₀=0归纳，若|zₜ₋₁,ⱼ|≤1，则|zₜ⁻,ⱼ|≤1，更新后的z是两个区间内数值的凸组合，仍满足|zₜ,ⱼ|≤1。padding步骤保持状态不变，因此不会破坏该性质。</w:t>
      </w:r>
    </w:p>
    <w:p>
      <w:pPr>
        <w:pStyle w:val="工作稿公式"/>
        <w:spacing w:before="100" w:after="100"/>
        <w:ind w:firstLine="0" w:firstLineChars="0" w:leftChars="0"/>
        <w:jc w:val="center"/>
      </w:pPr>
      <m:oMath>
        <m:r>
          <m:t>abs(zₜ,ⱼ) ≤ (1−kₜ,ⱼ)aⱼabs(zₜ₋₁,ⱼ) + kₜ,ⱼabs(uₜ,ⱼ) ≤ 1</m:t>
        </m:r>
      </m:oMath>
      <w:r>
        <w:rPr>
          <w:rFonts w:ascii="Times New Roman" w:hAnsi="Times New Roman" w:eastAsia="宋体"/>
          <w:sz w:val="20"/>
        </w:rPr>
        <w:t xml:space="preserve">  （5-14）</w:t>
      </w:r>
    </w:p>
    <w:p>
      <w:pPr>
        <w:pStyle w:val="a2"/>
        <w:widowControl/>
      </w:pPr>
      <w:r>
        <w:t>这一结论是实现所对应递推的数值有界性，不是情绪估计误差上界。隐状态之后的预测头可以改变尺度，训练dropout也不受上述状态区间限制；真正的回归输出范围由独立的3tanh函数限定。不得由有界性进一步声称分类正确率、抗噪最优性或全局收敛已经得到证明。</w:t>
      </w:r>
    </w:p>
    <w:p>
      <w:pPr>
        <w:pStyle w:val="工作稿公式"/>
        <w:spacing w:before="100" w:after="100"/>
        <w:ind w:firstLine="0" w:firstLineChars="0" w:leftChars="0"/>
        <w:jc w:val="center"/>
      </w:pPr>
      <m:oMath>
        <m:r>
          <m:t>z(t+q) = a^q ⊙ z(t)（随后q个真实内容位置均无任何模态观测）</m:t>
        </m:r>
      </m:oMath>
      <w:r>
        <w:rPr>
          <w:rFonts w:ascii="Times New Roman" w:hAnsi="Times New Roman" w:eastAsia="宋体"/>
          <w:sz w:val="20"/>
        </w:rPr>
        <w:t xml:space="preserve">  （5-15）</w:t>
      </w:r>
    </w:p>
    <w:p>
      <w:pPr>
        <w:pStyle w:val="a2"/>
        <w:widowControl/>
      </w:pPr>
      <w:r>
        <w:t>连续完全无观测时，更新门为0，状态只沿保持系数衰减，避免将零占位当成新情感证据。初始保持系数0.98对应约34.31个内容步的半衰期，即ln(0.5)/ln(0.98)，单位是位置而非秒；训练后各分量可学习不同的a，因此这个数只解释初始化尺度，不是拟合后的实验结果。</w:t>
      </w:r>
    </w:p>
    <w:p>
      <w:pPr>
        <w:pStyle w:val="a2"/>
        <w:widowControl/>
      </w:pPr>
      <w:r>
        <w:t>上述“传播—更新”思想与控制中的观测器具有结构相似性，但本模型没有已知状态方程、过程/测量噪声协方差、Riccati递推或卡尔曼增益最优性条件。本文将其称为观测状态感知递推，而不将它包装为卡尔曼滤波或已辨识的物理情绪系统。</w:t>
      </w:r>
    </w:p>
    <w:p>
      <w:pPr>
        <w:pStyle w:val="20"/>
        <w:ind w:firstLine="0" w:firstLineChars="0" w:leftChars="0"/>
      </w:pPr>
      <w:bookmarkStart w:id="31" w:name="_PaperHeading030"/>
      <w:r>
        <w:t>5.3 MulT：跨位置的模态交互对照</w:t>
      </w:r>
      <w:bookmarkEnd w:id="31"/>
    </w:p>
    <w:p>
      <w:pPr>
        <w:pStyle w:val="a2"/>
        <w:widowControl/>
      </w:pPr>
      <w:r>
        <w:t>MulT保留六个方向的成对跨模态注意力，再将每个目标模态的两路表示拼接并经自注意力记忆网络汇总。适配时以最后真实内容位置代替固定末行，不可用源位置不作为注意力键，真实缺失目标位置仍可作为查询；最后输出三分类和有界回归。</w:t>
      </w:r>
    </w:p>
    <w:p>
      <w:pPr>
        <w:pStyle w:val="工作稿公式"/>
        <w:spacing w:before="100" w:after="100"/>
        <w:ind w:firstLine="0" w:firstLineChars="0" w:leftChars="0"/>
        <w:jc w:val="center"/>
      </w:pPr>
      <m:oMath>
        <m:r>
          <m:t>A(T←A) = softmax(Qᵀ(Kᴬ)ᵀ/√dₖ + Bᴬ)Vᴬ</m:t>
        </m:r>
      </m:oMath>
      <w:r>
        <w:rPr>
          <w:rFonts w:ascii="Times New Roman" w:hAnsi="Times New Roman" w:eastAsia="宋体"/>
          <w:sz w:val="20"/>
        </w:rPr>
        <w:t xml:space="preserve">  （5-16）</w:t>
      </w:r>
    </w:p>
    <w:p>
      <w:pPr>
        <w:pStyle w:val="a2"/>
        <w:widowControl/>
      </w:pPr>
      <w:r>
        <w:t>上式省略批次与多头维度，Q来自目标模态，K和V来自源模态；B对不可用源位置施加屏蔽。一个文本位置由此可以读取同片段多个音频位置，而非只使用相同行音频。对齐数据上仍可使用这一机制，因为题面给定的对应关系并不等于情感依赖只能发生在同一位置。</w:t>
      </w:r>
    </w:p>
    <w:p>
      <w:pPr>
        <w:pStyle w:val="a2"/>
        <w:widowControl/>
      </w:pPr>
      <w:r>
        <w:t>目标位置缺失时保留查询与位置编码，使其有机会从其他模态推断；源位置不可用时则不能作为真实输入键值。六个方向的结果按目标模态拼接，经各自记忆网络和末个真实内容位置汇总后预测。保留全部真实内容位置与读取固定索引49有本质区别，后者在短样本上可能读取padding。</w:t>
      </w:r>
    </w:p>
    <w:p>
      <w:pPr>
        <w:pStyle w:val="a2"/>
        <w:widowControl/>
      </w:pPr>
      <w:r>
        <w:t>该结构增加了交互表达能力，同时也增加参数与学习难度。当前训练只有3395个样本，文本又采用冻结小型编码器；在这一设置下，更多层和注意力方向并不保证改善。实验结果只能评价本文固定配置的适配模型，不能据此否定MulT在其原论文数据和调参预算下的结论。</w:t>
      </w:r>
    </w:p>
    <w:p>
      <w:pPr>
        <w:pStyle w:val="20"/>
        <w:ind w:firstLine="0" w:firstLineChars="0" w:leftChars="0"/>
      </w:pPr>
      <w:bookmarkStart w:id="32" w:name="_PaperHeading031"/>
      <w:r>
        <w:t>5.4 EMT-DLFR：全局—局部交互及训练期恢复</w:t>
      </w:r>
      <w:bookmarkEnd w:id="32"/>
    </w:p>
    <w:p>
      <w:pPr>
        <w:pStyle w:val="a2"/>
        <w:widowControl/>
      </w:pPr>
      <w:r>
        <w:t>EMT先由音频/视觉LSTM获得16/32维局部及片段表示，文本使用共同编码的可用内容池化，投影到128维。三路片段表示构成全局上下文G，与各模态局部表示Hᵐ双向交互，并聚合三路更新后的全局信息。方向、模态与层之间共享MPU参数，采用4头、2层设置。局部缺失位置保留为可推断的潜在表示，但不可用原始值已清除；该表示不被当作原素材证据。</w:t>
      </w:r>
    </w:p>
    <w:p>
      <w:pPr>
        <w:pStyle w:val="工作稿公式"/>
        <w:spacing w:before="100" w:after="100"/>
        <w:ind w:firstLine="0" w:firstLineChars="0" w:leftChars="0"/>
        <w:jc w:val="center"/>
      </w:pPr>
      <m:oMath>
        <m:r>
          <m:t>Hᵐ ← MPU(Hᵐ,G)；Gᵐ ← MPU(G,Hᵐ)；G ← AttentionPool(Gᵀ,Gᴬ,Gⱽ)</m:t>
        </m:r>
      </m:oMath>
      <w:r>
        <w:rPr>
          <w:rFonts w:ascii="Times New Roman" w:hAnsi="Times New Roman" w:eastAsia="宋体"/>
          <w:sz w:val="20"/>
        </w:rPr>
        <w:t xml:space="preserve">  （5-17）</w:t>
      </w:r>
    </w:p>
    <w:p>
      <w:pPr>
        <w:pStyle w:val="a2"/>
        <w:widowControl/>
      </w:pPr>
      <w:r>
        <w:t>相对原论文，本文改变了文本编码器、数据规模、缺失机制、任务输出与部分掩码实现，因此称为“赛题适配版”，不能把该结果描述成原论文完整复现。MulT固定代码版本为a670936…，EMT-DLFR为e421621…，完整版本和MIT许可保留在实验材料中。</w:t>
      </w:r>
    </w:p>
    <w:p>
      <w:pPr>
        <w:pStyle w:val="a2"/>
        <w:widowControl/>
      </w:pPr>
      <w:r>
        <w:t>音频与视觉分别经单层LSTM得到局部序列及末内容位置的片段表示，隐藏维数为16和32；文本片段表示是可用256维内容向量的均值。三种片段表示投影为3个128维全局token，各模态局部序列也投影到128维。LSTM只移走CLS、SEP和padding，保留内部缺失步；输入零化不等于删除时间。</w:t>
      </w:r>
    </w:p>
    <w:p>
      <w:pPr>
        <w:pStyle w:val="30"/>
        <w:ind w:firstLine="0" w:firstLineChars="0" w:leftChars="0" w:left="142"/>
      </w:pPr>
      <w:r>
        <w:t>5.4.1 双向信息传递与共享参数</w:t>
      </w:r>
    </w:p>
    <w:p>
      <w:pPr>
        <w:pStyle w:val="工作稿公式"/>
        <w:spacing w:before="100" w:after="100"/>
        <w:ind w:firstLine="0" w:firstLineChars="0" w:leftChars="0"/>
        <w:jc w:val="center"/>
      </w:pPr>
      <m:oMath>
        <m:r>
          <m:t>Ũ = U + CrossAttn(LN(U), LN(V))</m:t>
        </m:r>
      </m:oMath>
      <w:r>
        <w:rPr>
          <w:rFonts w:ascii="Times New Roman" w:hAnsi="Times New Roman" w:eastAsia="宋体"/>
          <w:sz w:val="20"/>
        </w:rPr>
        <w:t xml:space="preserve">  （5-18）</w:t>
      </w:r>
    </w:p>
    <w:p>
      <w:pPr>
        <w:pStyle w:val="工作稿公式"/>
        <w:spacing w:before="100" w:after="100"/>
        <w:ind w:firstLine="0" w:firstLineChars="0" w:leftChars="0"/>
        <w:jc w:val="center"/>
      </w:pPr>
      <m:oMath>
        <m:r>
          <m:t>Û = Ũ + SelfAttn(LN(Ũ))；MPU(U,V) = Û + FFN(LN(Û))</m:t>
        </m:r>
      </m:oMath>
      <w:r>
        <w:rPr>
          <w:rFonts w:ascii="Times New Roman" w:hAnsi="Times New Roman" w:eastAsia="宋体"/>
          <w:sz w:val="20"/>
        </w:rPr>
        <w:t xml:space="preserve">  （5-19）</w:t>
      </w:r>
    </w:p>
    <w:p>
      <w:pPr>
        <w:pStyle w:val="a2"/>
        <w:widowControl/>
      </w:pPr>
      <w:r>
        <w:t>MPU先进行交叉注意力，再进行自注意力与GEGLU前馈，并保留残差连接。每层分别用全局token更新三个局部序列，同时用各局部序列更新全局token，再通过共享注意力池化合并三个全局更新。方向、模态与层之间共享MPU参数，当前采用4头、2层。公式是对实现的结构展开，末端仍按内容掩码移除非内容位置。</w:t>
      </w:r>
    </w:p>
    <w:p>
      <w:pPr>
        <w:pStyle w:val="a2"/>
        <w:widowControl/>
      </w:pPr>
      <w:r>
        <w:t>EMT融合层允许真实但缺失的位置作为潜在表示参与交互。这与MulT的“只将可用源位置作为cross键”并不完全相同：EMT在原始输入已经清除后，允许LSTM历史、位置编码和其他模态形成估计表示。其作用是学习补充信息，而不是把这些位置重新标成真实观测。该区别需要在论文中说明，否则会把两个模型描述成并不存在的相同掩码机制。</w:t>
      </w:r>
    </w:p>
    <w:p>
      <w:pPr>
        <w:pStyle w:val="a2"/>
        <w:widowControl/>
      </w:pPr>
      <w:r>
        <w:t>最终预测将文本、音频、视觉三个片段表示与更新后的全局token拼接，经两层128维映射输出极性和强度。验证与专项推理只使用当前可见输入；训练期的原始可用参考分支、重建头和表示吸引头均不提供测试时的额外信息。</w:t>
      </w:r>
    </w:p>
    <w:p>
      <w:pPr>
        <w:pStyle w:val="30"/>
        <w:ind w:firstLine="0" w:firstLineChars="0" w:leftChars="0" w:left="142"/>
      </w:pPr>
      <w:r>
        <w:t>5.4.2 低层特征目标与高层一致性目标</w:t>
      </w:r>
    </w:p>
    <w:p>
      <w:pPr>
        <w:pStyle w:val="a2"/>
        <w:widowControl/>
      </w:pPr>
      <w:r>
        <w:t>恢复不等于重建真实语音波形、原始图像或已丢失的原文。低层目标是模型所用的三类特征：文本为原始可用视图的冻结BERT-Mini向量，音视频为按训练统计量变换后的官方特征。高层目标是同一样本不同可见视图的片段表示接近。二者均在训练标签和原始可用观测的范围内构造。</w:t>
      </w:r>
    </w:p>
    <w:p>
      <w:pPr>
        <w:pStyle w:val="工作稿公式"/>
        <w:spacing w:before="100" w:after="100"/>
        <w:ind w:firstLine="0" w:firstLineChars="0" w:leftChars="0"/>
        <w:jc w:val="center"/>
      </w:pPr>
      <m:oMath>
        <m:sSub>
          <m:e>
            <m:r>
              <m:t>L</m:t>
            </m:r>
          </m:e>
          <m:sub>
            <m:r>
              <m:t>pred</m:t>
            </m:r>
          </m:sub>
        </m:sSub>
        <m:r>
          <m:t> = −(1/N)Σᵢlog p̂ᵢ,cᵢ + λ(1/N)ΣᵢHuber₁(ŷᵢ−yᵢ)，λ=1</m:t>
        </m:r>
      </m:oMath>
      <w:r>
        <w:rPr>
          <w:rFonts w:ascii="Times New Roman" w:hAnsi="Times New Roman" w:eastAsia="宋体"/>
          <w:sz w:val="20"/>
        </w:rPr>
        <w:t xml:space="preserve">  （5-20）</w:t>
      </w:r>
    </w:p>
    <w:p>
      <w:pPr>
        <w:pStyle w:val="a2"/>
        <w:widowControl/>
      </w:pPr>
      <w:r>
        <w:t>Huber₁(e)在|e|≤1时为e²/2，否则为|e|−1/2。分类与回归共用表示，前者关注类别边界，后者约束强度连续性。MLP、GRU、状态递推与MulT使用式（5-20）。</w:t>
      </w:r>
    </w:p>
    <w:p>
      <w:pPr>
        <w:pStyle w:val="a2"/>
        <w:widowControl/>
      </w:pPr>
      <w:r>
        <w:t>EMT-DLFR适配版另设完整和人工缺失两个训练视图。两者共享预测参数，完整支路只提供训练监督；低层恢复对被人工移除的原可用特征计算SmoothL1，高层恢复在全局、文本、音频、视觉四路表示上使用SimSiam式对称停止梯度余弦吸引。</w:t>
      </w:r>
    </w:p>
    <w:p>
      <w:pPr>
        <w:pStyle w:val="工作稿公式"/>
        <w:spacing w:before="100" w:after="100"/>
        <w:ind w:firstLine="0" w:firstLineChars="0" w:leftChars="0"/>
        <w:jc w:val="center"/>
      </w:pPr>
      <m:oMath>
        <m:sSub>
          <m:e>
            <m:r>
              <m:t>L</m:t>
            </m:r>
          </m:e>
          <m:sub>
            <m:r>
              <m:t>rec</m:t>
            </m:r>
          </m:sub>
        </m:sSub>
        <m:r>
          <m:t> = Σₘ { [Σᵢ,ₜ,ⱼ oᵢₜᵐbᵢₜᵐ SmoothL1(x̂ᵢₜⱼᵐ−xᵢₜⱼᵐ)] / max(dᵐΣᵢ,ₜoᵢₜᵐbᵢₜᵐ,1) }</m:t>
        </m:r>
      </m:oMath>
      <w:r>
        <w:rPr>
          <w:rFonts w:ascii="Times New Roman" w:hAnsi="Times New Roman" w:eastAsia="宋体"/>
          <w:sz w:val="20"/>
        </w:rPr>
        <w:t xml:space="preserve">  （5-21）</w:t>
      </w:r>
    </w:p>
    <w:p>
      <w:pPr>
        <w:pStyle w:val="工作稿公式"/>
        <w:spacing w:before="100" w:after="100"/>
        <w:ind w:firstLine="0" w:firstLineChars="0" w:leftChars="0"/>
        <w:jc w:val="center"/>
      </w:pPr>
      <m:oMath>
        <m:sSub>
          <m:e>
            <m:r>
              <m:t>L</m:t>
            </m:r>
          </m:e>
          <m:sub>
            <m:r>
              <m:t>att</m:t>
            </m:r>
          </m:sub>
        </m:sSub>
        <m:r>
          <m:t> = −½ Σₖ meanᵢ{cos(pᵢₖ^miss,sg(zᵢₖ^full))+cos(pᵢₖ^full,sg(zᵢₖ^miss))}</m:t>
        </m:r>
      </m:oMath>
      <w:r>
        <w:rPr>
          <w:rFonts w:ascii="Times New Roman" w:hAnsi="Times New Roman" w:eastAsia="宋体"/>
          <w:sz w:val="20"/>
        </w:rPr>
        <w:t xml:space="preserve">  （5-22）</w:t>
      </w:r>
    </w:p>
    <w:p>
      <w:pPr>
        <w:pStyle w:val="工作稿公式"/>
        <w:spacing w:before="100" w:after="100"/>
        <w:ind w:firstLine="0" w:firstLineChars="0" w:leftChars="0"/>
        <w:jc w:val="center"/>
      </w:pPr>
      <m:oMath>
        <m:sSub>
          <m:e>
            <m:r>
              <m:t>L</m:t>
            </m:r>
          </m:e>
          <m:sub>
            <m:r>
              <m:t>EMT</m:t>
            </m:r>
          </m:sub>
        </m:sSub>
        <m:r>
          <m:t> = </m:t>
        </m:r>
        <m:sSubSup>
          <m:e>
            <m:r>
              <m:t>L</m:t>
            </m:r>
          </m:e>
          <m:sub>
            <m:r>
              <m:t>pred</m:t>
            </m:r>
          </m:sub>
          <m:sup>
            <m:r>
              <m:t>miss</m:t>
            </m:r>
          </m:sup>
        </m:sSubSup>
        <m:r>
          <m:t> + </m:t>
        </m:r>
        <m:sSubSup>
          <m:e>
            <m:r>
              <m:t>L</m:t>
            </m:r>
          </m:e>
          <m:sub>
            <m:r>
              <m:t>pred</m:t>
            </m:r>
          </m:sub>
          <m:sup>
            <m:r>
              <m:t>full</m:t>
            </m:r>
          </m:sup>
        </m:sSubSup>
        <m:r>
          <m:t> + </m:t>
        </m:r>
        <m:sSub>
          <m:e>
            <m:r>
              <m:t>L</m:t>
            </m:r>
          </m:e>
          <m:sub>
            <m:r>
              <m:t>rec</m:t>
            </m:r>
          </m:sub>
        </m:sSub>
        <m:r>
          <m:t> + </m:t>
        </m:r>
        <m:sSub>
          <m:e>
            <m:r>
              <m:t>L</m:t>
            </m:r>
          </m:e>
          <m:sub>
            <m:r>
              <m:t>att</m:t>
            </m:r>
          </m:sub>
        </m:sSub>
      </m:oMath>
      <w:r>
        <w:rPr>
          <w:rFonts w:ascii="Times New Roman" w:hAnsi="Times New Roman" w:eastAsia="宋体"/>
          <w:sz w:val="20"/>
        </w:rPr>
        <w:t xml:space="preserve">  （5-23）</w:t>
      </w:r>
    </w:p>
    <w:p>
      <w:pPr>
        <w:pStyle w:val="a2"/>
        <w:widowControl/>
      </w:pPr>
      <w:r>
        <w:t>式（5-22）在原本有可信观测的样本/模态上计算；整路自然不可用时跳过该路吸引监督。L_att可为负，因此EMT训练总损失不能与只有预测项的模型直接比较。去恢复约束的消融保留两支预测监督，仅令L_rec和L_att权重为0，避免把增加完整视图监督带来的作用混入恢复机制结论。验证和专项推理仅执行单个可见输入分支。</w:t>
      </w:r>
    </w:p>
    <w:p>
      <w:pPr>
        <w:pStyle w:val="a2"/>
        <w:widowControl/>
      </w:pPr>
      <w:r>
        <w:t>重建掩码等于“原来可用且本次人工遮挡”的交集。某模态没有这种位置时，该模态重建损失为0；自然缺失位置没有可信目标，不能把占位零当作真实目标进行恢复监督。按被遮位置数和特征维数共同归一化，可避免256维文本仅因维数较高而机械地主导三模态损失。</w:t>
      </w:r>
    </w:p>
    <w:p>
      <w:pPr>
        <w:pStyle w:val="a2"/>
        <w:widowControl/>
      </w:pPr>
      <w:r>
        <w:t>高层损失对全局、文本、音频、视觉四路表示使用对称停止梯度余弦目标：缺失视图预测完整参考的投影表示，反向配对也参与优化，但各自目标端停止梯度。它不是额外情感教师模型或外部标签蒸馏。原样本整路模态不可用时，跳过该模态一致性项；完整参考一词只指未追加人工遮挡的输入。</w:t>
      </w:r>
    </w:p>
    <w:p>
      <w:pPr>
        <w:pStyle w:val="a2"/>
        <w:widowControl/>
      </w:pPr>
      <w:r>
        <w:t>去恢复约束变体保持相同预测结构、初始化与双支预测监督，仅去掉重建和吸引损失。因此这个对照可以评价“两类恢复约束共同加入”的增量，却不能分离低层重建与高层吸引各自的贡献；若要独立归因，仍需分别去掉其中一项的实验。</w:t>
      </w:r>
    </w:p>
    <w:p>
      <w:pPr>
        <w:pStyle w:val="20"/>
        <w:ind w:firstLine="0" w:firstLineChars="0" w:leftChars="0"/>
      </w:pPr>
      <w:bookmarkStart w:id="33" w:name="_PaperHeading032"/>
      <w:r>
        <w:t>5.5 连续缺失训练与表示缓存</w:t>
      </w:r>
      <w:bookmarkEnd w:id="33"/>
    </w:p>
    <w:p>
      <w:pPr>
        <w:pStyle w:val="a2"/>
        <w:widowControl/>
      </w:pPr>
      <w:r>
        <w:t>训练样本以40%概率保留原观测，40%概率对单模态遮挡，20%概率对双模态遮挡。区间比例在10%—50%之间采样，起点随机；双模态包含同步和错位区间。文本提前生成8组“遮token后再编码”的视图，在训练时抽取；音视频掩码在线生成。所有模型共享该接口，避免某一模型获得被遮词的完整编码。</w:t>
      </w:r>
    </w:p>
    <w:p>
      <w:pPr>
        <w:pStyle w:val="a2"/>
        <w:widowControl/>
      </w:pPr>
      <w:r>
        <w:t>自然不可用位置仍保留其原掩码，不人为宣称这些位置存在完整恢复目标。附件3虽然观测到高度同步的不可用位置及散点样式，本轮没有据此回调训练比例或阈值。当前32条件没有专门三模态同步遮挡，这是实验覆盖的限制，后续扩展应独立列明。</w:t>
      </w:r>
    </w:p>
    <w:p>
      <w:pPr>
        <w:pStyle w:val="a2"/>
        <w:widowControl/>
      </w:pPr>
      <w:r>
        <w:t>文本编码器冻结后，重复对相同遮挡编码的成本可通过缓存降低。当前每条训练样本准备8种预编码缺失视图，训练遇到文本遮挡时从中抽取；验证的前、中、后及三种比例也分别在编码前生成。固定缓存保证模型看到的是同一套受控输入，但限制了文本遮挡多样性，并非每轮都重新采样无限种文本缺失模式。音视频遮挡则在线生成。</w:t>
      </w:r>
    </w:p>
    <w:p>
      <w:pPr>
        <w:pStyle w:val="a2"/>
        <w:widowControl/>
      </w:pPr>
      <w:r>
        <w:t>双模态选择时，同步分支共享区间；若涉及文本，其另一模态同步遮挡范围服从该次抽取的文本缓存掩码。错位分支对音视频另抽起点。故“40/40/20”描述的是增强选择概率，不意味着每个批次的实际比例严格相同，也不表示所有被选模态均新增移除了相同数量的原可用观测。</w:t>
      </w:r>
    </w:p>
    <w:p>
      <w:pPr>
        <w:pStyle w:val="11"/>
        <w:ind w:firstLine="0" w:firstLineChars="0" w:leftChars="0"/>
      </w:pPr>
      <w:bookmarkStart w:id="34" w:name="_PaperHeading033"/>
      <w:r>
        <w:t>6 实验结果、机制检验与专项推理</w:t>
      </w:r>
      <w:bookmarkEnd w:id="34"/>
    </w:p>
    <w:p>
      <w:pPr>
        <w:pStyle w:val="20"/>
        <w:ind w:firstLine="0" w:firstLineChars="0" w:leftChars="0"/>
      </w:pPr>
      <w:bookmarkStart w:id="35" w:name="_PaperHeading034"/>
      <w:r>
        <w:t>6.1 训练配置、选模顺序与公平比较范围</w:t>
      </w:r>
      <w:bookmarkEnd w:id="35"/>
    </w:p>
    <w:p>
      <w:pPr>
        <w:pStyle w:val="a0"/>
        <w:ind w:firstLine="0" w:firstLineChars="0" w:leftChars="0"/>
        <w:keepNext/>
        <w:numPr>
          <w:numId w:val="0"/>
        </w:numPr>
      </w:pPr>
      <w:r>
        <w:rPr>
          <w:rFonts w:ascii="Times New Roman" w:hAnsi="Times New Roman" w:eastAsia="宋体"/>
          <w:b/>
          <w:sz w:val="21"/>
        </w:rPr>
        <w:t>表8 主要训练设置</w:t>
      </w:r>
    </w:p>
    <w:tbl>
      <w:tblPr>
        <w:tblW w:type="auto" w:w="0"/>
        <w:jc w:val="center"/>
        <w:tblLayout w:type="autofit"/>
        <w:tblLook w:firstColumn="1" w:firstRow="1" w:lastColumn="0" w:lastRow="0" w:noHBand="0" w:noVBand="1" w:val="04A0"/>
        <w:tblBorders>
          <w:top w:val="single" w:sz="10" w:color="000000"/>
          <w:left w:val="nil" w:sz="10" w:color="000000"/>
          <w:bottom w:val="single" w:sz="10" w:color="000000"/>
          <w:right w:val="nil" w:sz="10" w:color="000000"/>
          <w:insideH w:val="nil" w:sz="10" w:color="000000"/>
          <w:insideV w:val="nil" w:sz="10" w:color="000000"/>
        </w:tblBorders>
      </w:tblPr>
      <w:tblGrid>
        <w:gridCol w:w="2349"/>
        <w:gridCol w:w="2349"/>
        <w:gridCol w:w="2349"/>
        <w:gridCol w:w="2349"/>
      </w:tblGrid>
      <w:tr>
        <w:trPr>
          <w:cantSplit/>
          <w:tblHeader/>
        </w:trPr>
        <w:tc>
          <w:tcPr>
            <w:tcW w:type="dxa" w:w="2349"/>
            <w:tcBorders>
              <w:bottom w:val="single" w:sz="6"/>
            </w:tcBorders>
          </w:tcPr>
          <w:p>
            <w:pPr>
              <w:pStyle w:val="a2"/>
              <w:spacing w:before="40" w:after="40" w:line="252" w:lineRule="auto"/>
              <w:ind w:firstLine="0" w:firstLineChars="0" w:leftChars="0" w:left="0"/>
            </w:pPr>
            <w:r>
              <w:rPr>
                <w:rFonts w:ascii="Times New Roman" w:hAnsi="Times New Roman" w:eastAsia="宋体"/>
                <w:b/>
                <w:sz w:val="21"/>
              </w:rPr>
              <w:t>项目</w:t>
            </w:r>
          </w:p>
        </w:tc>
        <w:tc>
          <w:tcPr>
            <w:tcW w:type="dxa" w:w="2349"/>
            <w:tcBorders>
              <w:bottom w:val="single" w:sz="6"/>
            </w:tcBorders>
          </w:tcPr>
          <w:p>
            <w:pPr>
              <w:pStyle w:val="a2"/>
              <w:spacing w:before="40" w:after="40" w:line="252" w:lineRule="auto"/>
              <w:ind w:firstLine="0" w:firstLineChars="0" w:leftChars="0" w:left="0"/>
            </w:pPr>
            <w:r>
              <w:rPr>
                <w:rFonts w:ascii="Times New Roman" w:hAnsi="Times New Roman" w:eastAsia="宋体"/>
                <w:b/>
                <w:sz w:val="21"/>
              </w:rPr>
              <w:t>自建及普通基线</w:t>
            </w:r>
          </w:p>
        </w:tc>
        <w:tc>
          <w:tcPr>
            <w:tcW w:type="dxa" w:w="2349"/>
            <w:tcBorders>
              <w:bottom w:val="single" w:sz="6"/>
            </w:tcBorders>
          </w:tcPr>
          <w:p>
            <w:pPr>
              <w:pStyle w:val="a2"/>
              <w:spacing w:before="40" w:after="40" w:line="252" w:lineRule="auto"/>
              <w:ind w:firstLine="0" w:firstLineChars="0" w:leftChars="0" w:left="0"/>
            </w:pPr>
            <w:r>
              <w:rPr>
                <w:rFonts w:ascii="Times New Roman" w:hAnsi="Times New Roman" w:eastAsia="宋体"/>
                <w:b/>
                <w:sz w:val="21"/>
              </w:rPr>
              <w:t>MulT适配</w:t>
            </w:r>
          </w:p>
        </w:tc>
        <w:tc>
          <w:tcPr>
            <w:tcW w:type="dxa" w:w="2349"/>
            <w:tcBorders>
              <w:bottom w:val="single" w:sz="6"/>
            </w:tcBorders>
          </w:tcPr>
          <w:p>
            <w:pPr>
              <w:pStyle w:val="a2"/>
              <w:spacing w:before="40" w:after="40" w:line="252" w:lineRule="auto"/>
              <w:ind w:firstLine="0" w:firstLineChars="0" w:leftChars="0" w:left="0"/>
            </w:pPr>
            <w:r>
              <w:rPr>
                <w:rFonts w:ascii="Times New Roman" w:hAnsi="Times New Roman" w:eastAsia="宋体"/>
                <w:b/>
                <w:sz w:val="21"/>
              </w:rPr>
              <w:t>EMT及消融</w:t>
            </w:r>
          </w:p>
        </w:tc>
      </w:tr>
      <w:tr>
        <w:trPr>
          <w:cantSplit/>
        </w:trPr>
        <w:tc>
          <w:tcPr>
            <w:tcW w:type="dxa" w:w="2349"/>
          </w:tcPr>
          <w:p>
            <w:pPr>
              <w:pStyle w:val="a2"/>
              <w:spacing w:before="40" w:after="40" w:line="252" w:lineRule="auto"/>
              <w:ind w:firstLine="0" w:firstLineChars="0" w:leftChars="0" w:left="0"/>
            </w:pPr>
            <w:r>
              <w:rPr>
                <w:rFonts w:ascii="Times New Roman" w:hAnsi="Times New Roman" w:eastAsia="宋体"/>
                <w:b w:val="0"/>
                <w:sz w:val="21"/>
              </w:rPr>
              <w:t>文本编码</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固定BERT-Mini 256维</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同左</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同左</w:t>
            </w:r>
          </w:p>
        </w:tc>
      </w:tr>
      <w:tr>
        <w:trPr>
          <w:cantSplit/>
        </w:trPr>
        <w:tc>
          <w:tcPr>
            <w:tcW w:type="dxa" w:w="2349"/>
          </w:tcPr>
          <w:p>
            <w:pPr>
              <w:pStyle w:val="a2"/>
              <w:spacing w:before="40" w:after="40" w:line="252" w:lineRule="auto"/>
              <w:ind w:firstLine="0" w:firstLineChars="0" w:leftChars="0" w:left="0"/>
            </w:pPr>
            <w:r>
              <w:rPr>
                <w:rFonts w:ascii="Times New Roman" w:hAnsi="Times New Roman" w:eastAsia="宋体"/>
                <w:b w:val="0"/>
                <w:sz w:val="21"/>
              </w:rPr>
              <w:t>融合规模</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隐维32</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隐维30，5头，5层</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隐维128，4头，2层</w:t>
            </w:r>
          </w:p>
        </w:tc>
      </w:tr>
      <w:tr>
        <w:trPr>
          <w:cantSplit/>
        </w:trPr>
        <w:tc>
          <w:tcPr>
            <w:tcW w:type="dxa" w:w="2349"/>
          </w:tcPr>
          <w:p>
            <w:pPr>
              <w:pStyle w:val="a2"/>
              <w:spacing w:before="40" w:after="40" w:line="252" w:lineRule="auto"/>
              <w:ind w:firstLine="0" w:firstLineChars="0" w:leftChars="0" w:left="0"/>
            </w:pPr>
            <w:r>
              <w:rPr>
                <w:rFonts w:ascii="Times New Roman" w:hAnsi="Times New Roman" w:eastAsia="宋体"/>
                <w:b w:val="0"/>
                <w:sz w:val="21"/>
              </w:rPr>
              <w:t>优化器</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AdamW</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AdamW</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AdamW</w:t>
            </w:r>
          </w:p>
        </w:tc>
      </w:tr>
      <w:tr>
        <w:trPr>
          <w:cantSplit/>
        </w:trPr>
        <w:tc>
          <w:tcPr>
            <w:tcW w:type="dxa" w:w="2349"/>
          </w:tcPr>
          <w:p>
            <w:pPr>
              <w:pStyle w:val="a2"/>
              <w:spacing w:before="40" w:after="40" w:line="252" w:lineRule="auto"/>
              <w:ind w:firstLine="0" w:firstLineChars="0" w:leftChars="0" w:left="0"/>
            </w:pPr>
            <w:r>
              <w:rPr>
                <w:rFonts w:ascii="Times New Roman" w:hAnsi="Times New Roman" w:eastAsia="宋体"/>
                <w:b w:val="0"/>
                <w:sz w:val="21"/>
              </w:rPr>
              <w:t>学习率</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0.001</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0.001</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0.0001</w:t>
            </w:r>
          </w:p>
        </w:tc>
      </w:tr>
      <w:tr>
        <w:trPr>
          <w:cantSplit/>
        </w:trPr>
        <w:tc>
          <w:tcPr>
            <w:tcW w:type="dxa" w:w="2349"/>
          </w:tcPr>
          <w:p>
            <w:pPr>
              <w:pStyle w:val="a2"/>
              <w:spacing w:before="40" w:after="40" w:line="252" w:lineRule="auto"/>
              <w:ind w:firstLine="0" w:firstLineChars="0" w:leftChars="0" w:left="0"/>
            </w:pPr>
            <w:r>
              <w:rPr>
                <w:rFonts w:ascii="Times New Roman" w:hAnsi="Times New Roman" w:eastAsia="宋体"/>
                <w:b w:val="0"/>
                <w:sz w:val="21"/>
              </w:rPr>
              <w:t>weight decay</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0.0001</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0.0001</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0.001</w:t>
            </w:r>
          </w:p>
        </w:tc>
      </w:tr>
      <w:tr>
        <w:trPr>
          <w:cantSplit/>
        </w:trPr>
        <w:tc>
          <w:tcPr>
            <w:tcW w:type="dxa" w:w="2349"/>
          </w:tcPr>
          <w:p>
            <w:pPr>
              <w:pStyle w:val="a2"/>
              <w:spacing w:before="40" w:after="40" w:line="252" w:lineRule="auto"/>
              <w:ind w:firstLine="0" w:firstLineChars="0" w:leftChars="0" w:left="0"/>
            </w:pPr>
            <w:r>
              <w:rPr>
                <w:rFonts w:ascii="Times New Roman" w:hAnsi="Times New Roman" w:eastAsia="宋体"/>
                <w:b w:val="0"/>
                <w:sz w:val="21"/>
              </w:rPr>
              <w:t>batch / 最多轮次</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64 / 40</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64 / 40</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64 / 40</w:t>
            </w:r>
          </w:p>
        </w:tc>
      </w:tr>
      <w:tr>
        <w:trPr>
          <w:cantSplit/>
        </w:trPr>
        <w:tc>
          <w:tcPr>
            <w:tcW w:type="dxa" w:w="2349"/>
          </w:tcPr>
          <w:p>
            <w:pPr>
              <w:pStyle w:val="a2"/>
              <w:spacing w:before="40" w:after="40" w:line="252" w:lineRule="auto"/>
              <w:ind w:firstLine="0" w:firstLineChars="0" w:leftChars="0" w:left="0"/>
            </w:pPr>
            <w:r>
              <w:rPr>
                <w:rFonts w:ascii="Times New Roman" w:hAnsi="Times New Roman" w:eastAsia="宋体"/>
                <w:b w:val="0"/>
                <w:sz w:val="21"/>
              </w:rPr>
              <w:t>早停 / 梯度裁剪</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6轮 / 5</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6轮 / 5</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6轮 / 5</w:t>
            </w:r>
          </w:p>
        </w:tc>
      </w:tr>
      <w:tr>
        <w:trPr>
          <w:cantSplit/>
        </w:trPr>
        <w:tc>
          <w:tcPr>
            <w:tcW w:type="dxa" w:w="2349"/>
          </w:tcPr>
          <w:p>
            <w:pPr>
              <w:pStyle w:val="a2"/>
              <w:spacing w:before="40" w:after="40" w:line="252" w:lineRule="auto"/>
              <w:ind w:firstLine="0" w:firstLineChars="0" w:leftChars="0" w:left="0"/>
            </w:pPr>
            <w:r>
              <w:rPr>
                <w:rFonts w:ascii="Times New Roman" w:hAnsi="Times New Roman" w:eastAsia="宋体"/>
                <w:b w:val="0"/>
                <w:sz w:val="21"/>
              </w:rPr>
              <w:t>主模型随机种子</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17、29、43</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17、29、43</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17、29、43</w:t>
            </w:r>
          </w:p>
        </w:tc>
      </w:tr>
      <w:tr>
        <w:trPr>
          <w:cantSplit/>
        </w:trPr>
        <w:tc>
          <w:tcPr>
            <w:tcW w:type="dxa" w:w="2349"/>
          </w:tcPr>
          <w:p>
            <w:pPr>
              <w:pStyle w:val="a2"/>
              <w:spacing w:before="40" w:after="40" w:line="252" w:lineRule="auto"/>
              <w:ind w:firstLine="0" w:firstLineChars="0" w:leftChars="0" w:left="0"/>
            </w:pPr>
            <w:r>
              <w:rPr>
                <w:rFonts w:ascii="Times New Roman" w:hAnsi="Times New Roman" w:eastAsia="宋体"/>
                <w:b w:val="0"/>
                <w:sz w:val="21"/>
              </w:rPr>
              <w:t>新增调参搜索</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本轮不搜索</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本轮不搜索</w:t>
            </w:r>
          </w:p>
        </w:tc>
      </w:tr>
    </w:tbl>
    <w:p>
      <w:pPr>
        <w:pStyle w:val="a2"/>
        <w:widowControl/>
      </w:pPr>
      <w:r>
        <w:t>每轮在完整输入与文本、音频、视觉各30%中部缺失的四种验证条件下计算Macro-F1，平均值最高的检查点被保留，相同时选择平均MAE更低者。结构按照三个种子的该指标均值排序，随后平均三个检查点的类别概率和强度输出形成集成。该顺序在正式论文方法实验前固定，不在看到集成结果后切换口径。</w:t>
      </w:r>
    </w:p>
    <w:p>
      <w:pPr>
        <w:pStyle w:val="a2"/>
        <w:widowControl/>
      </w:pPr>
      <w:r>
        <w:t>论文方法训练前先检查GPU利用率、显存、CPU和内存负载，通过模型边界检查与小批量拟合后，在两张较空闲的RTX4090上分别运行。各任务结束后释放资源；耗时受共享服务器影响，不把墙钟时间当作跨设备严格算法复杂度比较。</w:t>
      </w:r>
    </w:p>
    <w:p>
      <w:pPr>
        <w:pStyle w:val="a2"/>
        <w:widowControl/>
      </w:pPr>
      <w:r>
        <w:t>早停选择的是每次训练的检查点；结构选择再比较三个种子的四条件指标均值；最后才平均三个检查点的预测概率与强度形成集成。训练随机性、条件平均和预测集成是三个不同层次。F1对预测是非线性的，所以“先算F1再平均”不等于“先平均概率再算F1”，二者排序不同并不构成计算矛盾。</w:t>
      </w:r>
    </w:p>
    <w:p>
      <w:pPr>
        <w:pStyle w:val="工作稿公式"/>
        <w:spacing w:before="100" w:after="100"/>
        <w:ind w:firstLine="0" w:firstLineChars="0" w:leftChars="0"/>
        <w:jc w:val="center"/>
      </w:pPr>
      <m:oMath>
        <m:r>
          <m:t>S(M) = (1/3) Σr [(1/4) Σc∈C F1(M,r,c)]</m:t>
        </m:r>
      </m:oMath>
      <w:r>
        <w:rPr>
          <w:rFonts w:ascii="Times New Roman" w:hAnsi="Times New Roman" w:eastAsia="宋体"/>
          <w:sz w:val="20"/>
        </w:rPr>
        <w:t xml:space="preserve">  （6-1）</w:t>
      </w:r>
    </w:p>
    <w:p>
      <w:pPr>
        <w:pStyle w:val="工作稿公式"/>
        <w:spacing w:before="100" w:after="100"/>
        <w:ind w:firstLine="0" w:firstLineChars="0" w:leftChars="0"/>
        <w:jc w:val="center"/>
      </w:pPr>
      <m:oMath>
        <m:r>
          <m:t>p̄ᵢ = (1/3)Σr p̂ᵢ,r；ȳpredᵢ = (1/3)Σr ŷᵢ,r</m:t>
        </m:r>
      </m:oMath>
      <w:r>
        <w:rPr>
          <w:rFonts w:ascii="Times New Roman" w:hAnsi="Times New Roman" w:eastAsia="宋体"/>
          <w:sz w:val="20"/>
        </w:rPr>
        <w:t xml:space="preserve">  （6-2）</w:t>
      </w:r>
    </w:p>
    <w:p>
      <w:pPr>
        <w:pStyle w:val="a2"/>
        <w:widowControl/>
      </w:pPr>
      <w:r>
        <w:t>当前EMT-DLFR与MLP的结构选择分数相差0.00195，即约0.195个百分点；该数小于两者各自观测到的训练种子标准差，但标准差大小本身不是差异显著性检验。保留既定选择可以保证程序一致，却不能把“排第一”写成稳定的统计优势。后文同时报告集成表现、种子波动和按视频组重采样结果。</w:t>
      </w:r>
    </w:p>
    <w:p>
      <w:pPr>
        <w:pStyle w:val="a2"/>
        <w:widowControl/>
      </w:pPr>
      <w:r>
        <w:t>不同方法共享数据、输入接口和评价条件，但没有等参数或等算力约束。MLP模型实例参数总数为16,581，状态递推为18,885，MulT为1,072,954，EMT及去恢复变体为1,131,394；均不含共同冻结编码器；EMT计数包括训练辅助头，不等于实际推理调用的参数量。EMT与MLP比较混合了结构、容量、双视图监督及恢复机制等变化，因此需要同架构消融进一步缩小解释范围。</w:t>
      </w:r>
    </w:p>
    <w:p>
      <w:pPr>
        <w:pStyle w:val="20"/>
        <w:ind w:firstLine="0" w:firstLineChars="0" w:leftChars="0"/>
      </w:pPr>
      <w:bookmarkStart w:id="36" w:name="_PaperHeading035"/>
      <w:r>
        <w:t>6.2 指标、不确定性与边界检查</w:t>
      </w:r>
      <w:bookmarkEnd w:id="36"/>
    </w:p>
    <w:p>
      <w:pPr>
        <w:pStyle w:val="工作稿公式"/>
        <w:spacing w:before="100" w:after="100"/>
        <w:ind w:firstLine="0" w:firstLineChars="0" w:leftChars="0"/>
        <w:jc w:val="center"/>
      </w:pPr>
      <m:oMath>
        <m:r>
          <m:t>Accuracy = (1/N)Σᵢ1(ĉᵢ=cᵢ)；Macro-F1 = (1/3)Σc F1c</m:t>
        </m:r>
      </m:oMath>
      <w:r>
        <w:rPr>
          <w:rFonts w:ascii="Times New Roman" w:hAnsi="Times New Roman" w:eastAsia="宋体"/>
          <w:sz w:val="20"/>
        </w:rPr>
        <w:t xml:space="preserve">  （6-3）</w:t>
      </w:r>
    </w:p>
    <w:p>
      <w:pPr>
        <w:pStyle w:val="工作稿公式"/>
        <w:spacing w:before="100" w:after="100"/>
        <w:ind w:firstLine="0" w:firstLineChars="0" w:leftChars="0"/>
        <w:jc w:val="center"/>
      </w:pPr>
      <m:oMath>
        <m:r>
          <m:t>F1c = 2TPc/(2TPc+FPc+FNc)；Weighted-F1 = Σc(nc/N)F1c</m:t>
        </m:r>
      </m:oMath>
      <w:r>
        <w:rPr>
          <w:rFonts w:ascii="Times New Roman" w:hAnsi="Times New Roman" w:eastAsia="宋体"/>
          <w:sz w:val="20"/>
        </w:rPr>
        <w:t xml:space="preserve">  （6-4）</w:t>
      </w:r>
    </w:p>
    <w:p>
      <w:pPr>
        <w:pStyle w:val="工作稿公式"/>
        <w:spacing w:before="100" w:after="100"/>
        <w:ind w:firstLine="0" w:firstLineChars="0" w:leftChars="0"/>
        <w:jc w:val="center"/>
      </w:pPr>
      <m:oMath>
        <m:r>
          <m:t>MAE = (1/N)Σᵢabs(ŷᵢ−yᵢ)</m:t>
        </m:r>
      </m:oMath>
      <w:r>
        <w:rPr>
          <w:rFonts w:ascii="Times New Roman" w:hAnsi="Times New Roman" w:eastAsia="宋体"/>
          <w:sz w:val="20"/>
        </w:rPr>
        <w:t xml:space="preserve">  （6-5）</w:t>
      </w:r>
    </w:p>
    <w:p>
      <w:pPr>
        <w:pStyle w:val="工作稿公式"/>
        <w:spacing w:before="100" w:after="100"/>
        <w:ind w:firstLine="0" w:firstLineChars="0" w:leftChars="0"/>
        <w:jc w:val="center"/>
      </w:pPr>
      <m:oMath>
        <m:r>
          <m:t>Pearson = Σᵢ(yᵢ−ȳ)(ŷᵢ−ŷ̄) / √[Σᵢ(yᵢ−ȳ)² · Σᵢ(ŷᵢ−ŷ̄)²]</m:t>
        </m:r>
      </m:oMath>
      <w:r>
        <w:rPr>
          <w:rFonts w:ascii="Times New Roman" w:hAnsi="Times New Roman" w:eastAsia="宋体"/>
          <w:sz w:val="20"/>
        </w:rPr>
        <w:t xml:space="preserve">  （6-6）</w:t>
      </w:r>
    </w:p>
    <w:p>
      <w:pPr>
        <w:pStyle w:val="a2"/>
        <w:widowControl/>
      </w:pPr>
      <w:r>
        <w:t>F1分母为0时按0处理；Pearson在任一变量方差为0时未定义，不填成虚假的有效相关系数。Macro-F1平等对待三类，Weighted-F1按真实类别频数加权，二者分别标明。本文不采用将中性并入正向的二分类指标。</w:t>
      </w:r>
    </w:p>
    <w:p>
      <w:pPr>
        <w:pStyle w:val="30"/>
        <w:ind w:firstLine="0" w:firstLineChars="0" w:leftChars="0" w:left="142"/>
      </w:pPr>
      <w:r>
        <w:t>6.2.1 重复实验与结果统计方法</w:t>
      </w:r>
    </w:p>
    <w:p>
      <w:pPr>
        <w:pStyle w:val="a2"/>
        <w:widowControl/>
      </w:pPr>
      <w:r>
        <w:t>主候选各运行17、29、43三个种子，报告指标均值及样本标准差。另单独报告先平均预测再计算的集成指标；非线性的F1使这两种统计可能产生不同排序。历史状态模块消融只有种子17，应与同种子的完整状态模型配对，不能拿单种子结果与三种子均值作严格归因。</w:t>
      </w:r>
    </w:p>
    <w:p>
      <w:pPr>
        <w:pStyle w:val="a2"/>
        <w:widowControl/>
      </w:pPr>
      <w:r>
        <w:t>对候选模型与MLP的预测差异，以原始video_id为组进行1000次配对Bootstrap重采样，当前验证包含239个原视频组。该区间描述本验证集内的波动，不消除模型选择偏差，也不等同于独立测试上的显著性证明。</w:t>
      </w:r>
    </w:p>
    <w:p>
      <w:pPr>
        <w:pStyle w:val="a2"/>
        <w:widowControl/>
      </w:pPr>
      <w:r>
        <w:t>Accuracy按样本频数加权，因此正向占比较高时，对中性改善的敏感度有限；Macro-F1先分别计算每类F1再等权平均，更关注三类之间的平衡。MAE在标签原尺度上衡量强度误差，Pearson衡量线性共变，后者即使较高也不能排除系统性偏移或幅值偏差。因此本文不以其中单一指标代替其余指标。</w:t>
      </w:r>
    </w:p>
    <w:p>
      <w:pPr>
        <w:pStyle w:val="a2"/>
        <w:widowControl/>
      </w:pPr>
      <w:r>
        <w:t>32个条件都作用于同一批728条验证样本，不能视为32批独立数据；同一原视频内的多个片段也可能相关。按239个video_id分组的Bootstrap保留了这种组内相关性，但仍以已经参与选择的验证集为基础。区间用于描述本轮差异的不确定性，不能消除反复比较模型所产生的选择偏差。</w:t>
      </w:r>
    </w:p>
    <w:p>
      <w:pPr>
        <w:pStyle w:val="a2"/>
        <w:widowControl/>
      </w:pPr>
      <w:r>
        <w:t>实现检查验证了被遮数值的替换不影响预测、padding数值与扩展不改变有效输出、全空输入回退有限、自然不可用位置不进入重建目标，以及检查点重载的一致性。输入适配10项测试和论文模型5项针对性测试已通过。六条验证样本的CPU/GPU往返核验存在约10⁻⁴量级的最大概率差、类别一致；独立解压复现包的30条专项CSV与溯源文件则逐字节一致。前者是数值容差检查，后者是固定环境下的文件复现，二者不混称。</w:t>
      </w:r>
    </w:p>
    <w:p>
      <w:pPr>
        <w:pStyle w:val="20"/>
        <w:ind w:firstLine="0" w:firstLineChars="0" w:leftChars="0"/>
      </w:pPr>
      <w:bookmarkStart w:id="37" w:name="_PaperHeading036"/>
      <w:r>
        <w:t>6.3 基础性能与候选模型选择</w:t>
      </w:r>
      <w:bookmarkEnd w:id="37"/>
    </w:p>
    <w:p>
      <w:pPr>
        <w:pStyle w:val="a0"/>
        <w:ind w:firstLine="0" w:firstLineChars="0" w:leftChars="0"/>
        <w:keepNext/>
        <w:numPr>
          <w:numId w:val="0"/>
        </w:numPr>
      </w:pPr>
      <w:r>
        <w:rPr>
          <w:rFonts w:ascii="Times New Roman" w:hAnsi="Times New Roman" w:eastAsia="宋体"/>
          <w:b/>
          <w:sz w:val="21"/>
        </w:rPr>
        <w:t>表9 未追加人工遮挡：三种子预测集成的验证性能</w:t>
      </w:r>
    </w:p>
    <w:tbl>
      <w:tblPr>
        <w:tblW w:type="auto" w:w="0"/>
        <w:jc w:val="center"/>
        <w:tblLayout w:type="autofit"/>
        <w:tblLook w:firstColumn="1" w:firstRow="1" w:lastColumn="0" w:lastRow="0" w:noHBand="0" w:noVBand="1" w:val="04A0"/>
        <w:tblBorders>
          <w:top w:val="single" w:sz="10" w:color="000000"/>
          <w:left w:val="nil" w:sz="10" w:color="000000"/>
          <w:bottom w:val="single" w:sz="10" w:color="000000"/>
          <w:right w:val="nil" w:sz="10" w:color="000000"/>
          <w:insideH w:val="nil" w:sz="10" w:color="000000"/>
          <w:insideV w:val="nil" w:sz="10" w:color="000000"/>
        </w:tblBorders>
      </w:tblPr>
      <w:tblGrid>
        <w:gridCol w:w="1880"/>
        <w:gridCol w:w="1880"/>
        <w:gridCol w:w="1880"/>
        <w:gridCol w:w="1880"/>
        <w:gridCol w:w="1880"/>
      </w:tblGrid>
      <w:tr>
        <w:trPr>
          <w:cantSplit/>
          <w:tblHeader/>
        </w:trPr>
        <w:tc>
          <w:tcPr>
            <w:tcW w:type="dxa" w:w="1880"/>
            <w:tcBorders>
              <w:bottom w:val="single" w:sz="6"/>
            </w:tcBorders>
          </w:tcPr>
          <w:p>
            <w:pPr>
              <w:pStyle w:val="a2"/>
              <w:spacing w:before="40" w:after="40" w:line="252" w:lineRule="auto"/>
              <w:ind w:firstLine="0" w:firstLineChars="0" w:leftChars="0" w:left="0"/>
            </w:pPr>
            <w:r>
              <w:rPr>
                <w:rFonts w:ascii="Times New Roman" w:hAnsi="Times New Roman" w:eastAsia="宋体"/>
                <w:b/>
                <w:sz w:val="19"/>
              </w:rPr>
              <w:t>模型</w:t>
            </w:r>
          </w:p>
        </w:tc>
        <w:tc>
          <w:tcPr>
            <w:tcW w:type="dxa" w:w="1880"/>
            <w:tcBorders>
              <w:bottom w:val="single" w:sz="6"/>
            </w:tcBorders>
          </w:tcPr>
          <w:p>
            <w:pPr>
              <w:pStyle w:val="a2"/>
              <w:spacing w:before="40" w:after="40" w:line="252" w:lineRule="auto"/>
              <w:ind w:firstLine="0" w:firstLineChars="0" w:leftChars="0" w:left="0"/>
            </w:pPr>
            <w:r>
              <w:rPr>
                <w:rFonts w:ascii="Times New Roman" w:hAnsi="Times New Roman" w:eastAsia="宋体"/>
                <w:b/>
                <w:sz w:val="19"/>
              </w:rPr>
              <w:t>Accuracy</w:t>
            </w:r>
          </w:p>
        </w:tc>
        <w:tc>
          <w:tcPr>
            <w:tcW w:type="dxa" w:w="1880"/>
            <w:tcBorders>
              <w:bottom w:val="single" w:sz="6"/>
            </w:tcBorders>
          </w:tcPr>
          <w:p>
            <w:pPr>
              <w:pStyle w:val="a2"/>
              <w:spacing w:before="40" w:after="40" w:line="252" w:lineRule="auto"/>
              <w:ind w:firstLine="0" w:firstLineChars="0" w:leftChars="0" w:left="0"/>
            </w:pPr>
            <w:r>
              <w:rPr>
                <w:rFonts w:ascii="Times New Roman" w:hAnsi="Times New Roman" w:eastAsia="宋体"/>
                <w:b/>
                <w:sz w:val="19"/>
              </w:rPr>
              <w:t>Macro-F1</w:t>
            </w:r>
          </w:p>
        </w:tc>
        <w:tc>
          <w:tcPr>
            <w:tcW w:type="dxa" w:w="1880"/>
            <w:tcBorders>
              <w:bottom w:val="single" w:sz="6"/>
            </w:tcBorders>
          </w:tcPr>
          <w:p>
            <w:pPr>
              <w:pStyle w:val="a2"/>
              <w:spacing w:before="40" w:after="40" w:line="252" w:lineRule="auto"/>
              <w:ind w:firstLine="0" w:firstLineChars="0" w:leftChars="0" w:left="0"/>
            </w:pPr>
            <w:r>
              <w:rPr>
                <w:rFonts w:ascii="Times New Roman" w:hAnsi="Times New Roman" w:eastAsia="宋体"/>
                <w:b/>
                <w:sz w:val="19"/>
              </w:rPr>
              <w:t>MAE</w:t>
            </w:r>
          </w:p>
        </w:tc>
        <w:tc>
          <w:tcPr>
            <w:tcW w:type="dxa" w:w="1880"/>
            <w:tcBorders>
              <w:bottom w:val="single" w:sz="6"/>
            </w:tcBorders>
          </w:tcPr>
          <w:p>
            <w:pPr>
              <w:pStyle w:val="a2"/>
              <w:spacing w:before="40" w:after="40" w:line="252" w:lineRule="auto"/>
              <w:ind w:firstLine="0" w:firstLineChars="0" w:leftChars="0" w:left="0"/>
            </w:pPr>
            <w:r>
              <w:rPr>
                <w:rFonts w:ascii="Times New Roman" w:hAnsi="Times New Roman" w:eastAsia="宋体"/>
                <w:b/>
                <w:sz w:val="19"/>
              </w:rPr>
              <w:t>Pearson</w:t>
            </w:r>
          </w:p>
        </w:tc>
      </w:tr>
      <w:tr>
        <w:trPr>
          <w:cantSplit/>
        </w:trPr>
        <w:tc>
          <w:tcPr>
            <w:tcW w:type="dxa" w:w="1880"/>
          </w:tcPr>
          <w:p>
            <w:pPr>
              <w:pStyle w:val="a2"/>
              <w:spacing w:before="40" w:after="40" w:line="252" w:lineRule="auto"/>
              <w:ind w:firstLine="0" w:firstLineChars="0" w:leftChars="0" w:left="0"/>
            </w:pPr>
            <w:r>
              <w:rPr>
                <w:rFonts w:ascii="Times New Roman" w:hAnsi="Times New Roman" w:eastAsia="宋体"/>
                <w:b w:val="0"/>
                <w:sz w:val="19"/>
              </w:rPr>
              <w:t>MLP融合</w:t>
            </w:r>
          </w:p>
        </w:tc>
        <w:tc>
          <w:tcPr>
            <w:tcW w:type="dxa" w:w="1880"/>
          </w:tcPr>
          <w:p>
            <w:pPr>
              <w:pStyle w:val="a2"/>
              <w:spacing w:before="40" w:after="40" w:line="252" w:lineRule="auto"/>
              <w:ind w:firstLine="0" w:firstLineChars="0" w:leftChars="0" w:left="0"/>
            </w:pPr>
            <w:r>
              <w:rPr>
                <w:rFonts w:ascii="Times New Roman" w:hAnsi="Times New Roman" w:eastAsia="宋体"/>
                <w:b w:val="0"/>
                <w:sz w:val="19"/>
              </w:rPr>
              <w:t>0.5824</w:t>
            </w:r>
          </w:p>
        </w:tc>
        <w:tc>
          <w:tcPr>
            <w:tcW w:type="dxa" w:w="1880"/>
          </w:tcPr>
          <w:p>
            <w:pPr>
              <w:pStyle w:val="a2"/>
              <w:spacing w:before="40" w:after="40" w:line="252" w:lineRule="auto"/>
              <w:ind w:firstLine="0" w:firstLineChars="0" w:leftChars="0" w:left="0"/>
            </w:pPr>
            <w:r>
              <w:rPr>
                <w:rFonts w:ascii="Times New Roman" w:hAnsi="Times New Roman" w:eastAsia="宋体"/>
                <w:b w:val="0"/>
                <w:sz w:val="19"/>
              </w:rPr>
              <w:t>0.5403</w:t>
            </w:r>
          </w:p>
        </w:tc>
        <w:tc>
          <w:tcPr>
            <w:tcW w:type="dxa" w:w="1880"/>
          </w:tcPr>
          <w:p>
            <w:pPr>
              <w:pStyle w:val="a2"/>
              <w:spacing w:before="40" w:after="40" w:line="252" w:lineRule="auto"/>
              <w:ind w:firstLine="0" w:firstLineChars="0" w:leftChars="0" w:left="0"/>
            </w:pPr>
            <w:r>
              <w:rPr>
                <w:rFonts w:ascii="Times New Roman" w:hAnsi="Times New Roman" w:eastAsia="宋体"/>
                <w:b w:val="0"/>
                <w:sz w:val="19"/>
              </w:rPr>
              <w:t>0.6588</w:t>
            </w:r>
          </w:p>
        </w:tc>
        <w:tc>
          <w:tcPr>
            <w:tcW w:type="dxa" w:w="1880"/>
          </w:tcPr>
          <w:p>
            <w:pPr>
              <w:pStyle w:val="a2"/>
              <w:spacing w:before="40" w:after="40" w:line="252" w:lineRule="auto"/>
              <w:ind w:firstLine="0" w:firstLineChars="0" w:leftChars="0" w:left="0"/>
            </w:pPr>
            <w:r>
              <w:rPr>
                <w:rFonts w:ascii="Times New Roman" w:hAnsi="Times New Roman" w:eastAsia="宋体"/>
                <w:b w:val="0"/>
                <w:sz w:val="19"/>
              </w:rPr>
              <w:t>0.5474</w:t>
            </w:r>
          </w:p>
        </w:tc>
      </w:tr>
      <w:tr>
        <w:trPr>
          <w:cantSplit/>
        </w:trPr>
        <w:tc>
          <w:tcPr>
            <w:tcW w:type="dxa" w:w="1880"/>
          </w:tcPr>
          <w:p>
            <w:pPr>
              <w:pStyle w:val="a2"/>
              <w:spacing w:before="40" w:after="40" w:line="252" w:lineRule="auto"/>
              <w:ind w:firstLine="0" w:firstLineChars="0" w:leftChars="0" w:left="0"/>
            </w:pPr>
            <w:r>
              <w:rPr>
                <w:rFonts w:ascii="Times New Roman" w:hAnsi="Times New Roman" w:eastAsia="宋体"/>
                <w:b w:val="0"/>
                <w:sz w:val="19"/>
              </w:rPr>
              <w:t>观测状态递推</w:t>
            </w:r>
          </w:p>
        </w:tc>
        <w:tc>
          <w:tcPr>
            <w:tcW w:type="dxa" w:w="1880"/>
          </w:tcPr>
          <w:p>
            <w:pPr>
              <w:pStyle w:val="a2"/>
              <w:spacing w:before="40" w:after="40" w:line="252" w:lineRule="auto"/>
              <w:ind w:firstLine="0" w:firstLineChars="0" w:leftChars="0" w:left="0"/>
            </w:pPr>
            <w:r>
              <w:rPr>
                <w:rFonts w:ascii="Times New Roman" w:hAnsi="Times New Roman" w:eastAsia="宋体"/>
                <w:b w:val="0"/>
                <w:sz w:val="19"/>
              </w:rPr>
              <w:t>0.5838</w:t>
            </w:r>
          </w:p>
        </w:tc>
        <w:tc>
          <w:tcPr>
            <w:tcW w:type="dxa" w:w="1880"/>
          </w:tcPr>
          <w:p>
            <w:pPr>
              <w:pStyle w:val="a2"/>
              <w:spacing w:before="40" w:after="40" w:line="252" w:lineRule="auto"/>
              <w:ind w:firstLine="0" w:firstLineChars="0" w:leftChars="0" w:left="0"/>
            </w:pPr>
            <w:r>
              <w:rPr>
                <w:rFonts w:ascii="Times New Roman" w:hAnsi="Times New Roman" w:eastAsia="宋体"/>
                <w:b w:val="0"/>
                <w:sz w:val="19"/>
              </w:rPr>
              <w:t>0.5305</w:t>
            </w:r>
          </w:p>
        </w:tc>
        <w:tc>
          <w:tcPr>
            <w:tcW w:type="dxa" w:w="1880"/>
          </w:tcPr>
          <w:p>
            <w:pPr>
              <w:pStyle w:val="a2"/>
              <w:spacing w:before="40" w:after="40" w:line="252" w:lineRule="auto"/>
              <w:ind w:firstLine="0" w:firstLineChars="0" w:leftChars="0" w:left="0"/>
            </w:pPr>
            <w:r>
              <w:rPr>
                <w:rFonts w:ascii="Times New Roman" w:hAnsi="Times New Roman" w:eastAsia="宋体"/>
                <w:b w:val="0"/>
                <w:sz w:val="19"/>
              </w:rPr>
              <w:t>0.6540</w:t>
            </w:r>
          </w:p>
        </w:tc>
        <w:tc>
          <w:tcPr>
            <w:tcW w:type="dxa" w:w="1880"/>
          </w:tcPr>
          <w:p>
            <w:pPr>
              <w:pStyle w:val="a2"/>
              <w:spacing w:before="40" w:after="40" w:line="252" w:lineRule="auto"/>
              <w:ind w:firstLine="0" w:firstLineChars="0" w:leftChars="0" w:left="0"/>
            </w:pPr>
            <w:r>
              <w:rPr>
                <w:rFonts w:ascii="Times New Roman" w:hAnsi="Times New Roman" w:eastAsia="宋体"/>
                <w:b w:val="0"/>
                <w:sz w:val="19"/>
              </w:rPr>
              <w:t>0.5563</w:t>
            </w:r>
          </w:p>
        </w:tc>
      </w:tr>
      <w:tr>
        <w:trPr>
          <w:cantSplit/>
        </w:trPr>
        <w:tc>
          <w:tcPr>
            <w:tcW w:type="dxa" w:w="1880"/>
          </w:tcPr>
          <w:p>
            <w:pPr>
              <w:pStyle w:val="a2"/>
              <w:spacing w:before="40" w:after="40" w:line="252" w:lineRule="auto"/>
              <w:ind w:firstLine="0" w:firstLineChars="0" w:leftChars="0" w:left="0"/>
            </w:pPr>
            <w:r>
              <w:rPr>
                <w:rFonts w:ascii="Times New Roman" w:hAnsi="Times New Roman" w:eastAsia="宋体"/>
                <w:b w:val="0"/>
                <w:sz w:val="19"/>
              </w:rPr>
              <w:t>MulT适配版</w:t>
            </w:r>
          </w:p>
        </w:tc>
        <w:tc>
          <w:tcPr>
            <w:tcW w:type="dxa" w:w="1880"/>
          </w:tcPr>
          <w:p>
            <w:pPr>
              <w:pStyle w:val="a2"/>
              <w:spacing w:before="40" w:after="40" w:line="252" w:lineRule="auto"/>
              <w:ind w:firstLine="0" w:firstLineChars="0" w:leftChars="0" w:left="0"/>
            </w:pPr>
            <w:r>
              <w:rPr>
                <w:rFonts w:ascii="Times New Roman" w:hAnsi="Times New Roman" w:eastAsia="宋体"/>
                <w:b w:val="0"/>
                <w:sz w:val="19"/>
              </w:rPr>
              <w:t>0.5824</w:t>
            </w:r>
          </w:p>
        </w:tc>
        <w:tc>
          <w:tcPr>
            <w:tcW w:type="dxa" w:w="1880"/>
          </w:tcPr>
          <w:p>
            <w:pPr>
              <w:pStyle w:val="a2"/>
              <w:spacing w:before="40" w:after="40" w:line="252" w:lineRule="auto"/>
              <w:ind w:firstLine="0" w:firstLineChars="0" w:leftChars="0" w:left="0"/>
            </w:pPr>
            <w:r>
              <w:rPr>
                <w:rFonts w:ascii="Times New Roman" w:hAnsi="Times New Roman" w:eastAsia="宋体"/>
                <w:b w:val="0"/>
                <w:sz w:val="19"/>
              </w:rPr>
              <w:t>0.5375</w:t>
            </w:r>
          </w:p>
        </w:tc>
        <w:tc>
          <w:tcPr>
            <w:tcW w:type="dxa" w:w="1880"/>
          </w:tcPr>
          <w:p>
            <w:pPr>
              <w:pStyle w:val="a2"/>
              <w:spacing w:before="40" w:after="40" w:line="252" w:lineRule="auto"/>
              <w:ind w:firstLine="0" w:firstLineChars="0" w:leftChars="0" w:left="0"/>
            </w:pPr>
            <w:r>
              <w:rPr>
                <w:rFonts w:ascii="Times New Roman" w:hAnsi="Times New Roman" w:eastAsia="宋体"/>
                <w:b w:val="0"/>
                <w:sz w:val="19"/>
              </w:rPr>
              <w:t>0.6653</w:t>
            </w:r>
          </w:p>
        </w:tc>
        <w:tc>
          <w:tcPr>
            <w:tcW w:type="dxa" w:w="1880"/>
          </w:tcPr>
          <w:p>
            <w:pPr>
              <w:pStyle w:val="a2"/>
              <w:spacing w:before="40" w:after="40" w:line="252" w:lineRule="auto"/>
              <w:ind w:firstLine="0" w:firstLineChars="0" w:leftChars="0" w:left="0"/>
            </w:pPr>
            <w:r>
              <w:rPr>
                <w:rFonts w:ascii="Times New Roman" w:hAnsi="Times New Roman" w:eastAsia="宋体"/>
                <w:b w:val="0"/>
                <w:sz w:val="19"/>
              </w:rPr>
              <w:t>0.5342</w:t>
            </w:r>
          </w:p>
        </w:tc>
      </w:tr>
      <w:tr>
        <w:trPr>
          <w:cantSplit/>
        </w:trPr>
        <w:tc>
          <w:tcPr>
            <w:tcW w:type="dxa" w:w="1880"/>
          </w:tcPr>
          <w:p>
            <w:pPr>
              <w:pStyle w:val="a2"/>
              <w:spacing w:before="40" w:after="40" w:line="252" w:lineRule="auto"/>
              <w:ind w:firstLine="0" w:firstLineChars="0" w:leftChars="0" w:left="0"/>
            </w:pPr>
            <w:r>
              <w:rPr>
                <w:rFonts w:ascii="Times New Roman" w:hAnsi="Times New Roman" w:eastAsia="宋体"/>
                <w:b w:val="0"/>
                <w:sz w:val="19"/>
              </w:rPr>
              <w:t>EMT-DLFR适配版</w:t>
            </w:r>
          </w:p>
        </w:tc>
        <w:tc>
          <w:tcPr>
            <w:tcW w:type="dxa" w:w="1880"/>
          </w:tcPr>
          <w:p>
            <w:pPr>
              <w:pStyle w:val="a2"/>
              <w:spacing w:before="40" w:after="40" w:line="252" w:lineRule="auto"/>
              <w:ind w:firstLine="0" w:firstLineChars="0" w:leftChars="0" w:left="0"/>
            </w:pPr>
            <w:r>
              <w:rPr>
                <w:rFonts w:ascii="Times New Roman" w:hAnsi="Times New Roman" w:eastAsia="宋体"/>
                <w:b w:val="0"/>
                <w:sz w:val="19"/>
              </w:rPr>
              <w:t>0.5783</w:t>
            </w:r>
          </w:p>
        </w:tc>
        <w:tc>
          <w:tcPr>
            <w:tcW w:type="dxa" w:w="1880"/>
          </w:tcPr>
          <w:p>
            <w:pPr>
              <w:pStyle w:val="a2"/>
              <w:spacing w:before="40" w:after="40" w:line="252" w:lineRule="auto"/>
              <w:ind w:firstLine="0" w:firstLineChars="0" w:leftChars="0" w:left="0"/>
            </w:pPr>
            <w:r>
              <w:rPr>
                <w:rFonts w:ascii="Times New Roman" w:hAnsi="Times New Roman" w:eastAsia="宋体"/>
                <w:b w:val="0"/>
                <w:sz w:val="19"/>
              </w:rPr>
              <w:t>0.5548</w:t>
            </w:r>
          </w:p>
        </w:tc>
        <w:tc>
          <w:tcPr>
            <w:tcW w:type="dxa" w:w="1880"/>
          </w:tcPr>
          <w:p>
            <w:pPr>
              <w:pStyle w:val="a2"/>
              <w:spacing w:before="40" w:after="40" w:line="252" w:lineRule="auto"/>
              <w:ind w:firstLine="0" w:firstLineChars="0" w:leftChars="0" w:left="0"/>
            </w:pPr>
            <w:r>
              <w:rPr>
                <w:rFonts w:ascii="Times New Roman" w:hAnsi="Times New Roman" w:eastAsia="宋体"/>
                <w:b w:val="0"/>
                <w:sz w:val="19"/>
              </w:rPr>
              <w:t>0.6348</w:t>
            </w:r>
          </w:p>
        </w:tc>
        <w:tc>
          <w:tcPr>
            <w:tcW w:type="dxa" w:w="1880"/>
          </w:tcPr>
          <w:p>
            <w:pPr>
              <w:pStyle w:val="a2"/>
              <w:spacing w:before="40" w:after="40" w:line="252" w:lineRule="auto"/>
              <w:ind w:firstLine="0" w:firstLineChars="0" w:leftChars="0" w:left="0"/>
            </w:pPr>
            <w:r>
              <w:rPr>
                <w:rFonts w:ascii="Times New Roman" w:hAnsi="Times New Roman" w:eastAsia="宋体"/>
                <w:b w:val="0"/>
                <w:sz w:val="19"/>
              </w:rPr>
              <w:t>0.5591</w:t>
            </w:r>
          </w:p>
        </w:tc>
      </w:tr>
      <w:tr>
        <w:trPr>
          <w:cantSplit/>
        </w:trPr>
        <w:tc>
          <w:tcPr>
            <w:tcW w:type="dxa" w:w="1880"/>
          </w:tcPr>
          <w:p>
            <w:pPr>
              <w:pStyle w:val="a2"/>
              <w:spacing w:before="40" w:after="40" w:line="252" w:lineRule="auto"/>
              <w:ind w:firstLine="0" w:firstLineChars="0" w:leftChars="0" w:left="0"/>
            </w:pPr>
            <w:r>
              <w:rPr>
                <w:rFonts w:ascii="Times New Roman" w:hAnsi="Times New Roman" w:eastAsia="宋体"/>
                <w:b w:val="0"/>
                <w:sz w:val="19"/>
              </w:rPr>
              <w:t>EMT去恢复约束</w:t>
            </w:r>
          </w:p>
        </w:tc>
        <w:tc>
          <w:tcPr>
            <w:tcW w:type="dxa" w:w="1880"/>
          </w:tcPr>
          <w:p>
            <w:pPr>
              <w:pStyle w:val="a2"/>
              <w:spacing w:before="40" w:after="40" w:line="252" w:lineRule="auto"/>
              <w:ind w:firstLine="0" w:firstLineChars="0" w:leftChars="0" w:left="0"/>
            </w:pPr>
            <w:r>
              <w:rPr>
                <w:rFonts w:ascii="Times New Roman" w:hAnsi="Times New Roman" w:eastAsia="宋体"/>
                <w:b w:val="0"/>
                <w:sz w:val="19"/>
              </w:rPr>
              <w:t>0.5948</w:t>
            </w:r>
          </w:p>
        </w:tc>
        <w:tc>
          <w:tcPr>
            <w:tcW w:type="dxa" w:w="1880"/>
          </w:tcPr>
          <w:p>
            <w:pPr>
              <w:pStyle w:val="a2"/>
              <w:spacing w:before="40" w:after="40" w:line="252" w:lineRule="auto"/>
              <w:ind w:firstLine="0" w:firstLineChars="0" w:leftChars="0" w:left="0"/>
            </w:pPr>
            <w:r>
              <w:rPr>
                <w:rFonts w:ascii="Times New Roman" w:hAnsi="Times New Roman" w:eastAsia="宋体"/>
                <w:b w:val="0"/>
                <w:sz w:val="19"/>
              </w:rPr>
              <w:t>0.5628</w:t>
            </w:r>
          </w:p>
        </w:tc>
        <w:tc>
          <w:tcPr>
            <w:tcW w:type="dxa" w:w="1880"/>
          </w:tcPr>
          <w:p>
            <w:pPr>
              <w:pStyle w:val="a2"/>
              <w:spacing w:before="40" w:after="40" w:line="252" w:lineRule="auto"/>
              <w:ind w:firstLine="0" w:firstLineChars="0" w:leftChars="0" w:left="0"/>
            </w:pPr>
            <w:r>
              <w:rPr>
                <w:rFonts w:ascii="Times New Roman" w:hAnsi="Times New Roman" w:eastAsia="宋体"/>
                <w:b w:val="0"/>
                <w:sz w:val="19"/>
              </w:rPr>
              <w:t>0.6318</w:t>
            </w:r>
          </w:p>
        </w:tc>
        <w:tc>
          <w:tcPr>
            <w:tcW w:type="dxa" w:w="1880"/>
          </w:tcPr>
          <w:p>
            <w:pPr>
              <w:pStyle w:val="a2"/>
              <w:spacing w:before="40" w:after="40" w:line="252" w:lineRule="auto"/>
              <w:ind w:firstLine="0" w:firstLineChars="0" w:leftChars="0" w:left="0"/>
            </w:pPr>
            <w:r>
              <w:rPr>
                <w:rFonts w:ascii="Times New Roman" w:hAnsi="Times New Roman" w:eastAsia="宋体"/>
                <w:b w:val="0"/>
                <w:sz w:val="19"/>
              </w:rPr>
              <w:t>0.5605</w:t>
            </w:r>
          </w:p>
        </w:tc>
      </w:tr>
    </w:tbl>
    <w:p>
      <w:pPr>
        <w:pStyle w:val="a0"/>
        <w:ind w:firstLine="0" w:firstLineChars="0" w:leftChars="0"/>
        <w:keepNext/>
        <w:numPr>
          <w:numId w:val="0"/>
        </w:numPr>
      </w:pPr>
      <w:r>
        <w:rPr>
          <w:rFonts w:ascii="Times New Roman" w:hAnsi="Times New Roman" w:eastAsia="宋体"/>
          <w:b/>
          <w:sz w:val="21"/>
        </w:rPr>
        <w:t>表10 四条件选模：三种子指标的均值与标准差</w:t>
      </w:r>
    </w:p>
    <w:tbl>
      <w:tblPr>
        <w:tblW w:type="auto" w:w="0"/>
        <w:jc w:val="center"/>
        <w:tblLayout w:type="autofit"/>
        <w:tblLook w:firstColumn="1" w:firstRow="1" w:lastColumn="0" w:lastRow="0" w:noHBand="0" w:noVBand="1" w:val="04A0"/>
        <w:tblBorders>
          <w:top w:val="single" w:sz="10" w:color="000000"/>
          <w:left w:val="nil" w:sz="10" w:color="000000"/>
          <w:bottom w:val="single" w:sz="10" w:color="000000"/>
          <w:right w:val="nil" w:sz="10" w:color="000000"/>
          <w:insideH w:val="nil" w:sz="10" w:color="000000"/>
          <w:insideV w:val="nil" w:sz="10" w:color="000000"/>
        </w:tblBorders>
      </w:tblPr>
      <w:tblGrid>
        <w:gridCol w:w="3133"/>
        <w:gridCol w:w="3133"/>
        <w:gridCol w:w="3133"/>
      </w:tblGrid>
      <w:tr>
        <w:trPr>
          <w:cantSplit/>
          <w:tblHeader/>
        </w:trPr>
        <w:tc>
          <w:tcPr>
            <w:tcW w:type="dxa" w:w="3133"/>
            <w:tcBorders>
              <w:bottom w:val="single" w:sz="6"/>
            </w:tcBorders>
          </w:tcPr>
          <w:p>
            <w:pPr>
              <w:pStyle w:val="a2"/>
              <w:spacing w:before="40" w:after="40" w:line="252" w:lineRule="auto"/>
              <w:ind w:firstLine="0" w:firstLineChars="0" w:leftChars="0" w:left="0"/>
            </w:pPr>
            <w:r>
              <w:rPr>
                <w:rFonts w:ascii="Times New Roman" w:hAnsi="Times New Roman" w:eastAsia="宋体"/>
                <w:b/>
                <w:sz w:val="21"/>
              </w:rPr>
              <w:t>模型</w:t>
            </w:r>
          </w:p>
        </w:tc>
        <w:tc>
          <w:tcPr>
            <w:tcW w:type="dxa" w:w="3133"/>
            <w:tcBorders>
              <w:bottom w:val="single" w:sz="6"/>
            </w:tcBorders>
          </w:tcPr>
          <w:p>
            <w:pPr>
              <w:pStyle w:val="a2"/>
              <w:spacing w:before="40" w:after="40" w:line="252" w:lineRule="auto"/>
              <w:ind w:firstLine="0" w:firstLineChars="0" w:leftChars="0" w:left="0"/>
            </w:pPr>
            <w:r>
              <w:rPr>
                <w:rFonts w:ascii="Times New Roman" w:hAnsi="Times New Roman" w:eastAsia="宋体"/>
                <w:b/>
                <w:sz w:val="21"/>
              </w:rPr>
              <w:t>Macro-F1（均值±标准差）</w:t>
            </w:r>
          </w:p>
        </w:tc>
        <w:tc>
          <w:tcPr>
            <w:tcW w:type="dxa" w:w="3133"/>
            <w:tcBorders>
              <w:bottom w:val="single" w:sz="6"/>
            </w:tcBorders>
          </w:tcPr>
          <w:p>
            <w:pPr>
              <w:pStyle w:val="a2"/>
              <w:spacing w:before="40" w:after="40" w:line="252" w:lineRule="auto"/>
              <w:ind w:firstLine="0" w:firstLineChars="0" w:leftChars="0" w:left="0"/>
            </w:pPr>
            <w:r>
              <w:rPr>
                <w:rFonts w:ascii="Times New Roman" w:hAnsi="Times New Roman" w:eastAsia="宋体"/>
                <w:b/>
                <w:sz w:val="21"/>
              </w:rPr>
              <w:t>MAE（均值±标准差）</w:t>
            </w:r>
          </w:p>
        </w:tc>
      </w:tr>
      <w:tr>
        <w:trPr>
          <w:cantSplit/>
        </w:trPr>
        <w:tc>
          <w:tcPr>
            <w:tcW w:type="dxa" w:w="3133"/>
          </w:tcPr>
          <w:p>
            <w:pPr>
              <w:pStyle w:val="a2"/>
              <w:spacing w:before="40" w:after="40" w:line="252" w:lineRule="auto"/>
              <w:ind w:firstLine="0" w:firstLineChars="0" w:leftChars="0" w:left="0"/>
            </w:pPr>
            <w:r>
              <w:rPr>
                <w:rFonts w:ascii="Times New Roman" w:hAnsi="Times New Roman" w:eastAsia="宋体"/>
                <w:b w:val="0"/>
                <w:sz w:val="21"/>
              </w:rPr>
              <w:t>MLP融合</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0.5392 ± 0.0092</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0.6724 ± 0.0023</w:t>
            </w:r>
          </w:p>
        </w:tc>
      </w:tr>
      <w:tr>
        <w:trPr>
          <w:cantSplit/>
        </w:trPr>
        <w:tc>
          <w:tcPr>
            <w:tcW w:type="dxa" w:w="3133"/>
          </w:tcPr>
          <w:p>
            <w:pPr>
              <w:pStyle w:val="a2"/>
              <w:spacing w:before="40" w:after="40" w:line="252" w:lineRule="auto"/>
              <w:ind w:firstLine="0" w:firstLineChars="0" w:leftChars="0" w:left="0"/>
            </w:pPr>
            <w:r>
              <w:rPr>
                <w:rFonts w:ascii="Times New Roman" w:hAnsi="Times New Roman" w:eastAsia="宋体"/>
                <w:b w:val="0"/>
                <w:sz w:val="21"/>
              </w:rPr>
              <w:t>观测状态递推</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0.5276 ± 0.0076</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0.6716 ± 0.0063</w:t>
            </w:r>
          </w:p>
        </w:tc>
      </w:tr>
      <w:tr>
        <w:trPr>
          <w:cantSplit/>
        </w:trPr>
        <w:tc>
          <w:tcPr>
            <w:tcW w:type="dxa" w:w="3133"/>
          </w:tcPr>
          <w:p>
            <w:pPr>
              <w:pStyle w:val="a2"/>
              <w:spacing w:before="40" w:after="40" w:line="252" w:lineRule="auto"/>
              <w:ind w:firstLine="0" w:firstLineChars="0" w:leftChars="0" w:left="0"/>
            </w:pPr>
            <w:r>
              <w:rPr>
                <w:rFonts w:ascii="Times New Roman" w:hAnsi="Times New Roman" w:eastAsia="宋体"/>
                <w:b w:val="0"/>
                <w:sz w:val="21"/>
              </w:rPr>
              <w:t>MulT适配版</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0.5307 ± 0.0071</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0.6916 ± 0.0144</w:t>
            </w:r>
          </w:p>
        </w:tc>
      </w:tr>
      <w:tr>
        <w:trPr>
          <w:cantSplit/>
        </w:trPr>
        <w:tc>
          <w:tcPr>
            <w:tcW w:type="dxa" w:w="3133"/>
          </w:tcPr>
          <w:p>
            <w:pPr>
              <w:pStyle w:val="a2"/>
              <w:spacing w:before="40" w:after="40" w:line="252" w:lineRule="auto"/>
              <w:ind w:firstLine="0" w:firstLineChars="0" w:leftChars="0" w:left="0"/>
            </w:pPr>
            <w:r>
              <w:rPr>
                <w:rFonts w:ascii="Times New Roman" w:hAnsi="Times New Roman" w:eastAsia="宋体"/>
                <w:b w:val="0"/>
                <w:sz w:val="21"/>
              </w:rPr>
              <w:t>EMT-DLFR适配版</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0.5412 ± 0.0151</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0.6584 ± 0.0197</w:t>
            </w:r>
          </w:p>
        </w:tc>
      </w:tr>
      <w:tr>
        <w:trPr>
          <w:cantSplit/>
        </w:trPr>
        <w:tc>
          <w:tcPr>
            <w:tcW w:type="dxa" w:w="3133"/>
          </w:tcPr>
          <w:p>
            <w:pPr>
              <w:pStyle w:val="a2"/>
              <w:spacing w:before="40" w:after="40" w:line="252" w:lineRule="auto"/>
              <w:ind w:firstLine="0" w:firstLineChars="0" w:leftChars="0" w:left="0"/>
            </w:pPr>
            <w:r>
              <w:rPr>
                <w:rFonts w:ascii="Times New Roman" w:hAnsi="Times New Roman" w:eastAsia="宋体"/>
                <w:b w:val="0"/>
                <w:sz w:val="21"/>
              </w:rPr>
              <w:t>EMT去恢复约束</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0.5382 ± 0.0041</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0.6586 ± 0.0262</w:t>
            </w:r>
          </w:p>
        </w:tc>
      </w:tr>
    </w:tbl>
    <w:p>
      <w:pPr>
        <w:pStyle w:val="a2"/>
        <w:widowControl/>
      </w:pPr>
      <w:r>
        <w:t>按表10所对应的预定规则，本轮四个主候选中选中EMT-DLFR。其完整输入集成Macro-F1较MLP提高0.0145，MAE降低0.0240，但Accuracy从0.5824降至0.5783。四条件集成Macro-F1为0.5483、MAE为0.6414，原MLP分别为0.5409和0.6644。该结果体现了类别均衡识别和总体准确率之间的取舍。</w:t>
      </w:r>
    </w:p>
    <w:p>
      <w:pPr>
        <w:pStyle w:val="a2"/>
        <w:widowControl/>
      </w:pPr>
      <w:r>
        <w:t>MulT在本设置下未超过MLP，说明更复杂的两两跨模态注意力不必然带来收益。自建状态递推也没有稳定超过简单融合，不能将其写成最终性能最优方法。另需保留一个负面机制结果：去恢复约束的EMT集成在完整输入上取得0.5628 Macro-F1和0.6318 MAE，优于完整EMT-DLFR；其三种子指标均值排序却不同，本文不据此事后修改选模口径。</w:t>
      </w:r>
    </w:p>
    <w:p>
      <w:pPr>
        <w:pStyle w:val="a2"/>
        <w:widowControl/>
      </w:pPr>
      <w:r>
        <w:t>EMT-DLFR相对MLP，完整输入Macro-F1差的95%分组Bootstrap区间为[−0.0165,0.0442]，跨过0；MAE差的区间为[−0.0466,−0.0014]。后者在当前开发验证中支持较低回归误差，但由于验证参与选模，仍不应推广为未经独立评估的泛化保证。</w:t>
      </w:r>
    </w:p>
    <w:p>
      <w:pPr>
        <w:pStyle w:val="a2"/>
        <w:keepNext/>
        <w:widowControl/>
        <w:ind w:firstLine="0" w:firstLineChars="0" w:leftChars="0"/>
        <w:jc w:val="center"/>
      </w:pPr>
      <w:r>
        <w:drawing>
          <wp:inline xmlns:a="http://schemas.openxmlformats.org/drawingml/2006/main" xmlns:pic="http://schemas.openxmlformats.org/drawingml/2006/picture">
            <wp:extent cx="5400000" cy="3600000"/>
            <wp:docPr id="1324739091" name="Picture 1324739091"/>
            <wp:cNvGraphicFramePr>
              <a:graphicFrameLocks noChangeAspect="1"/>
            </wp:cNvGraphicFramePr>
            <a:graphic>
              <a:graphicData uri="http://schemas.openxmlformats.org/drawingml/2006/picture">
                <pic:pic>
                  <pic:nvPicPr>
                    <pic:cNvPr id="0" name="01_集成对比.png"/>
                    <pic:cNvPicPr/>
                  </pic:nvPicPr>
                  <pic:blipFill>
                    <a:blip r:embed="rId27"/>
                    <a:stretch>
                      <a:fillRect/>
                    </a:stretch>
                  </pic:blipFill>
                  <pic:spPr>
                    <a:xfrm>
                      <a:off x="0" y="0"/>
                      <a:ext cx="5400000" cy="3600000"/>
                    </a:xfrm>
                    <a:prstGeom prst="rect"/>
                  </pic:spPr>
                </pic:pic>
              </a:graphicData>
            </a:graphic>
          </wp:inline>
        </w:drawing>
      </w:r>
    </w:p>
    <w:p>
      <w:pPr>
        <w:pStyle w:val="a"/>
        <w:ind w:firstLine="0" w:firstLineChars="0" w:leftChars="0"/>
        <w:numPr>
          <w:numId w:val="0"/>
        </w:numPr>
      </w:pPr>
      <w:r>
        <w:rPr>
          <w:rFonts w:ascii="Times New Roman" w:hAnsi="Times New Roman" w:eastAsia="宋体"/>
          <w:b/>
          <w:sz w:val="21"/>
        </w:rPr>
        <w:t>图4 未追加人工遮挡下的五种方法集成性能</w:t>
      </w:r>
    </w:p>
    <w:p>
      <w:pPr>
        <w:pStyle w:val="a2"/>
        <w:keepNext/>
        <w:widowControl/>
        <w:ind w:firstLine="0" w:firstLineChars="0" w:leftChars="0"/>
        <w:jc w:val="center"/>
      </w:pPr>
      <w:r>
        <w:drawing>
          <wp:inline xmlns:a="http://schemas.openxmlformats.org/drawingml/2006/main" xmlns:pic="http://schemas.openxmlformats.org/drawingml/2006/picture">
            <wp:extent cx="5580000" cy="2536364"/>
            <wp:docPr id="1324739092" name="Picture 1324739092"/>
            <wp:cNvGraphicFramePr>
              <a:graphicFrameLocks noChangeAspect="1"/>
            </wp:cNvGraphicFramePr>
            <a:graphic>
              <a:graphicData uri="http://schemas.openxmlformats.org/drawingml/2006/picture">
                <pic:pic>
                  <pic:nvPicPr>
                    <pic:cNvPr id="0" name="03_种子稳定性.png"/>
                    <pic:cNvPicPr/>
                  </pic:nvPicPr>
                  <pic:blipFill>
                    <a:blip r:embed="rId28"/>
                    <a:stretch>
                      <a:fillRect/>
                    </a:stretch>
                  </pic:blipFill>
                  <pic:spPr>
                    <a:xfrm>
                      <a:off x="0" y="0"/>
                      <a:ext cx="5580000" cy="2536364"/>
                    </a:xfrm>
                    <a:prstGeom prst="rect"/>
                  </pic:spPr>
                </pic:pic>
              </a:graphicData>
            </a:graphic>
          </wp:inline>
        </w:drawing>
      </w:r>
    </w:p>
    <w:p>
      <w:pPr>
        <w:pStyle w:val="a"/>
        <w:ind w:firstLine="0" w:firstLineChars="0" w:leftChars="0"/>
        <w:numPr>
          <w:numId w:val="0"/>
        </w:numPr>
      </w:pPr>
      <w:r>
        <w:rPr>
          <w:rFonts w:ascii="Times New Roman" w:hAnsi="Times New Roman" w:eastAsia="宋体"/>
          <w:b/>
          <w:sz w:val="21"/>
        </w:rPr>
        <w:t>图5 四条件选模指标的三种子均值与标准差</w:t>
      </w:r>
    </w:p>
    <w:p>
      <w:pPr>
        <w:pStyle w:val="a0"/>
        <w:ind w:firstLine="0" w:firstLineChars="0" w:leftChars="0"/>
        <w:keepNext/>
        <w:numPr>
          <w:numId w:val="0"/>
        </w:numPr>
      </w:pPr>
      <w:r>
        <w:rPr>
          <w:rFonts w:ascii="Times New Roman" w:hAnsi="Times New Roman" w:eastAsia="宋体"/>
          <w:b/>
          <w:sz w:val="21"/>
        </w:rPr>
        <w:t>表11 补充常数与线性参照（集成指标；不参与本轮四候选重新选择）</w:t>
      </w:r>
    </w:p>
    <w:tbl>
      <w:tblPr>
        <w:tblW w:type="auto" w:w="0"/>
        <w:jc w:val="center"/>
        <w:tblLayout w:type="autofit"/>
        <w:tblLook w:firstColumn="1" w:firstRow="1" w:lastColumn="0" w:lastRow="0" w:noHBand="0" w:noVBand="1" w:val="04A0"/>
        <w:tblBorders>
          <w:top w:val="single" w:sz="10" w:color="000000"/>
          <w:left w:val="nil" w:sz="10" w:color="000000"/>
          <w:bottom w:val="single" w:sz="10" w:color="000000"/>
          <w:right w:val="nil" w:sz="10" w:color="000000"/>
          <w:insideH w:val="nil" w:sz="10" w:color="000000"/>
          <w:insideV w:val="nil" w:sz="10" w:color="000000"/>
        </w:tblBorders>
      </w:tblPr>
      <w:tblGrid>
        <w:gridCol w:w="1880"/>
        <w:gridCol w:w="1880"/>
        <w:gridCol w:w="1880"/>
        <w:gridCol w:w="1880"/>
        <w:gridCol w:w="1880"/>
      </w:tblGrid>
      <w:tr>
        <w:trPr>
          <w:cantSplit/>
          <w:tblHeader/>
        </w:trPr>
        <w:tc>
          <w:tcPr>
            <w:tcW w:type="dxa" w:w="1880"/>
            <w:tcBorders>
              <w:bottom w:val="single" w:sz="6"/>
            </w:tcBorders>
          </w:tcPr>
          <w:p>
            <w:pPr>
              <w:pStyle w:val="a2"/>
              <w:spacing w:before="40" w:after="40" w:line="252" w:lineRule="auto"/>
              <w:ind w:firstLine="0" w:firstLineChars="0" w:leftChars="0" w:left="0"/>
            </w:pPr>
            <w:r>
              <w:rPr>
                <w:rFonts w:ascii="Times New Roman" w:hAnsi="Times New Roman" w:eastAsia="宋体"/>
                <w:b/>
                <w:sz w:val="19"/>
              </w:rPr>
              <w:t>方法</w:t>
            </w:r>
          </w:p>
        </w:tc>
        <w:tc>
          <w:tcPr>
            <w:tcW w:type="dxa" w:w="1880"/>
            <w:tcBorders>
              <w:bottom w:val="single" w:sz="6"/>
            </w:tcBorders>
          </w:tcPr>
          <w:p>
            <w:pPr>
              <w:pStyle w:val="a2"/>
              <w:spacing w:before="40" w:after="40" w:line="252" w:lineRule="auto"/>
              <w:ind w:firstLine="0" w:firstLineChars="0" w:leftChars="0" w:left="0"/>
            </w:pPr>
            <w:r>
              <w:rPr>
                <w:rFonts w:ascii="Times New Roman" w:hAnsi="Times New Roman" w:eastAsia="宋体"/>
                <w:b/>
                <w:sz w:val="19"/>
              </w:rPr>
              <w:t>clean Acc</w:t>
            </w:r>
          </w:p>
        </w:tc>
        <w:tc>
          <w:tcPr>
            <w:tcW w:type="dxa" w:w="1880"/>
            <w:tcBorders>
              <w:bottom w:val="single" w:sz="6"/>
            </w:tcBorders>
          </w:tcPr>
          <w:p>
            <w:pPr>
              <w:pStyle w:val="a2"/>
              <w:spacing w:before="40" w:after="40" w:line="252" w:lineRule="auto"/>
              <w:ind w:firstLine="0" w:firstLineChars="0" w:leftChars="0" w:left="0"/>
            </w:pPr>
            <w:r>
              <w:rPr>
                <w:rFonts w:ascii="Times New Roman" w:hAnsi="Times New Roman" w:eastAsia="宋体"/>
                <w:b/>
                <w:sz w:val="19"/>
              </w:rPr>
              <w:t>clean Macro-F1</w:t>
            </w:r>
          </w:p>
        </w:tc>
        <w:tc>
          <w:tcPr>
            <w:tcW w:type="dxa" w:w="1880"/>
            <w:tcBorders>
              <w:bottom w:val="single" w:sz="6"/>
            </w:tcBorders>
          </w:tcPr>
          <w:p>
            <w:pPr>
              <w:pStyle w:val="a2"/>
              <w:spacing w:before="40" w:after="40" w:line="252" w:lineRule="auto"/>
              <w:ind w:firstLine="0" w:firstLineChars="0" w:leftChars="0" w:left="0"/>
            </w:pPr>
            <w:r>
              <w:rPr>
                <w:rFonts w:ascii="Times New Roman" w:hAnsi="Times New Roman" w:eastAsia="宋体"/>
                <w:b/>
                <w:sz w:val="19"/>
              </w:rPr>
              <w:t>clean MAE</w:t>
            </w:r>
          </w:p>
        </w:tc>
        <w:tc>
          <w:tcPr>
            <w:tcW w:type="dxa" w:w="1880"/>
            <w:tcBorders>
              <w:bottom w:val="single" w:sz="6"/>
            </w:tcBorders>
          </w:tcPr>
          <w:p>
            <w:pPr>
              <w:pStyle w:val="a2"/>
              <w:spacing w:before="40" w:after="40" w:line="252" w:lineRule="auto"/>
              <w:ind w:firstLine="0" w:firstLineChars="0" w:leftChars="0" w:left="0"/>
            </w:pPr>
            <w:r>
              <w:rPr>
                <w:rFonts w:ascii="Times New Roman" w:hAnsi="Times New Roman" w:eastAsia="宋体"/>
                <w:b/>
                <w:sz w:val="19"/>
              </w:rPr>
              <w:t>四条件F1</w:t>
            </w:r>
          </w:p>
        </w:tc>
      </w:tr>
      <w:tr>
        <w:trPr>
          <w:cantSplit/>
        </w:trPr>
        <w:tc>
          <w:tcPr>
            <w:tcW w:type="dxa" w:w="1880"/>
          </w:tcPr>
          <w:p>
            <w:pPr>
              <w:pStyle w:val="a2"/>
              <w:spacing w:before="40" w:after="40" w:line="252" w:lineRule="auto"/>
              <w:ind w:firstLine="0" w:firstLineChars="0" w:leftChars="0" w:left="0"/>
            </w:pPr>
            <w:r>
              <w:rPr>
                <w:rFonts w:ascii="Times New Roman" w:hAnsi="Times New Roman" w:eastAsia="宋体"/>
                <w:b w:val="0"/>
                <w:sz w:val="19"/>
              </w:rPr>
              <w:t>训练先验常数</w:t>
            </w:r>
          </w:p>
        </w:tc>
        <w:tc>
          <w:tcPr>
            <w:tcW w:type="dxa" w:w="1880"/>
          </w:tcPr>
          <w:p>
            <w:pPr>
              <w:pStyle w:val="a2"/>
              <w:spacing w:before="40" w:after="40" w:line="252" w:lineRule="auto"/>
              <w:ind w:firstLine="0" w:firstLineChars="0" w:leftChars="0" w:left="0"/>
            </w:pPr>
            <w:r>
              <w:rPr>
                <w:rFonts w:ascii="Times New Roman" w:hAnsi="Times New Roman" w:eastAsia="宋体"/>
                <w:b w:val="0"/>
                <w:sz w:val="19"/>
              </w:rPr>
              <w:t>0.4643</w:t>
            </w:r>
          </w:p>
        </w:tc>
        <w:tc>
          <w:tcPr>
            <w:tcW w:type="dxa" w:w="1880"/>
          </w:tcPr>
          <w:p>
            <w:pPr>
              <w:pStyle w:val="a2"/>
              <w:spacing w:before="40" w:after="40" w:line="252" w:lineRule="auto"/>
              <w:ind w:firstLine="0" w:firstLineChars="0" w:leftChars="0" w:left="0"/>
            </w:pPr>
            <w:r>
              <w:rPr>
                <w:rFonts w:ascii="Times New Roman" w:hAnsi="Times New Roman" w:eastAsia="宋体"/>
                <w:b w:val="0"/>
                <w:sz w:val="19"/>
              </w:rPr>
              <w:t>0.2114</w:t>
            </w:r>
          </w:p>
        </w:tc>
        <w:tc>
          <w:tcPr>
            <w:tcW w:type="dxa" w:w="1880"/>
          </w:tcPr>
          <w:p>
            <w:pPr>
              <w:pStyle w:val="a2"/>
              <w:spacing w:before="40" w:after="40" w:line="252" w:lineRule="auto"/>
              <w:ind w:firstLine="0" w:firstLineChars="0" w:leftChars="0" w:left="0"/>
            </w:pPr>
            <w:r>
              <w:rPr>
                <w:rFonts w:ascii="Times New Roman" w:hAnsi="Times New Roman" w:eastAsia="宋体"/>
                <w:b w:val="0"/>
                <w:sz w:val="19"/>
              </w:rPr>
              <w:t>0.7690</w:t>
            </w:r>
          </w:p>
        </w:tc>
        <w:tc>
          <w:tcPr>
            <w:tcW w:type="dxa" w:w="1880"/>
          </w:tcPr>
          <w:p>
            <w:pPr>
              <w:pStyle w:val="a2"/>
              <w:spacing w:before="40" w:after="40" w:line="252" w:lineRule="auto"/>
              <w:ind w:firstLine="0" w:firstLineChars="0" w:leftChars="0" w:left="0"/>
            </w:pPr>
            <w:r>
              <w:rPr>
                <w:rFonts w:ascii="Times New Roman" w:hAnsi="Times New Roman" w:eastAsia="宋体"/>
                <w:b w:val="0"/>
                <w:sz w:val="19"/>
              </w:rPr>
              <w:t>同clean</w:t>
            </w:r>
          </w:p>
        </w:tc>
      </w:tr>
      <w:tr>
        <w:trPr>
          <w:cantSplit/>
        </w:trPr>
        <w:tc>
          <w:tcPr>
            <w:tcW w:type="dxa" w:w="1880"/>
          </w:tcPr>
          <w:p>
            <w:pPr>
              <w:pStyle w:val="a2"/>
              <w:spacing w:before="40" w:after="40" w:line="252" w:lineRule="auto"/>
              <w:ind w:firstLine="0" w:firstLineChars="0" w:leftChars="0" w:left="0"/>
            </w:pPr>
            <w:r>
              <w:rPr>
                <w:rFonts w:ascii="Times New Roman" w:hAnsi="Times New Roman" w:eastAsia="宋体"/>
                <w:b w:val="0"/>
                <w:sz w:val="19"/>
              </w:rPr>
              <w:t>统计特征线性模型</w:t>
            </w:r>
          </w:p>
        </w:tc>
        <w:tc>
          <w:tcPr>
            <w:tcW w:type="dxa" w:w="1880"/>
          </w:tcPr>
          <w:p>
            <w:pPr>
              <w:pStyle w:val="a2"/>
              <w:spacing w:before="40" w:after="40" w:line="252" w:lineRule="auto"/>
              <w:ind w:firstLine="0" w:firstLineChars="0" w:leftChars="0" w:left="0"/>
            </w:pPr>
            <w:r>
              <w:rPr>
                <w:rFonts w:ascii="Times New Roman" w:hAnsi="Times New Roman" w:eastAsia="宋体"/>
                <w:b w:val="0"/>
                <w:sz w:val="19"/>
              </w:rPr>
              <w:t>0.5563</w:t>
            </w:r>
          </w:p>
        </w:tc>
        <w:tc>
          <w:tcPr>
            <w:tcW w:type="dxa" w:w="1880"/>
          </w:tcPr>
          <w:p>
            <w:pPr>
              <w:pStyle w:val="a2"/>
              <w:spacing w:before="40" w:after="40" w:line="252" w:lineRule="auto"/>
              <w:ind w:firstLine="0" w:firstLineChars="0" w:leftChars="0" w:left="0"/>
            </w:pPr>
            <w:r>
              <w:rPr>
                <w:rFonts w:ascii="Times New Roman" w:hAnsi="Times New Roman" w:eastAsia="宋体"/>
                <w:b w:val="0"/>
                <w:sz w:val="19"/>
              </w:rPr>
              <w:t>0.5396</w:t>
            </w:r>
          </w:p>
        </w:tc>
        <w:tc>
          <w:tcPr>
            <w:tcW w:type="dxa" w:w="1880"/>
          </w:tcPr>
          <w:p>
            <w:pPr>
              <w:pStyle w:val="a2"/>
              <w:spacing w:before="40" w:after="40" w:line="252" w:lineRule="auto"/>
              <w:ind w:firstLine="0" w:firstLineChars="0" w:leftChars="0" w:left="0"/>
            </w:pPr>
            <w:r>
              <w:rPr>
                <w:rFonts w:ascii="Times New Roman" w:hAnsi="Times New Roman" w:eastAsia="宋体"/>
                <w:b w:val="0"/>
                <w:sz w:val="19"/>
              </w:rPr>
              <w:t>0.6809</w:t>
            </w:r>
          </w:p>
        </w:tc>
        <w:tc>
          <w:tcPr>
            <w:tcW w:type="dxa" w:w="1880"/>
          </w:tcPr>
          <w:p>
            <w:pPr>
              <w:pStyle w:val="a2"/>
              <w:spacing w:before="40" w:after="40" w:line="252" w:lineRule="auto"/>
              <w:ind w:firstLine="0" w:firstLineChars="0" w:leftChars="0" w:left="0"/>
            </w:pPr>
            <w:r>
              <w:rPr>
                <w:rFonts w:ascii="Times New Roman" w:hAnsi="Times New Roman" w:eastAsia="宋体"/>
                <w:b w:val="0"/>
                <w:sz w:val="19"/>
              </w:rPr>
              <w:t>0.5351</w:t>
            </w:r>
          </w:p>
        </w:tc>
      </w:tr>
      <w:tr>
        <w:trPr>
          <w:cantSplit/>
        </w:trPr>
        <w:tc>
          <w:tcPr>
            <w:tcW w:type="dxa" w:w="1880"/>
          </w:tcPr>
          <w:p>
            <w:pPr>
              <w:pStyle w:val="a2"/>
              <w:spacing w:before="40" w:after="40" w:line="252" w:lineRule="auto"/>
              <w:ind w:firstLine="0" w:firstLineChars="0" w:leftChars="0" w:left="0"/>
            </w:pPr>
            <w:r>
              <w:rPr>
                <w:rFonts w:ascii="Times New Roman" w:hAnsi="Times New Roman" w:eastAsia="宋体"/>
                <w:b w:val="0"/>
                <w:sz w:val="19"/>
              </w:rPr>
              <w:t>TF-IDF＋多模态线性</w:t>
            </w:r>
          </w:p>
        </w:tc>
        <w:tc>
          <w:tcPr>
            <w:tcW w:type="dxa" w:w="1880"/>
          </w:tcPr>
          <w:p>
            <w:pPr>
              <w:pStyle w:val="a2"/>
              <w:spacing w:before="40" w:after="40" w:line="252" w:lineRule="auto"/>
              <w:ind w:firstLine="0" w:firstLineChars="0" w:leftChars="0" w:left="0"/>
            </w:pPr>
            <w:r>
              <w:rPr>
                <w:rFonts w:ascii="Times New Roman" w:hAnsi="Times New Roman" w:eastAsia="宋体"/>
                <w:b w:val="0"/>
                <w:sz w:val="19"/>
              </w:rPr>
              <w:t>0.5673</w:t>
            </w:r>
          </w:p>
        </w:tc>
        <w:tc>
          <w:tcPr>
            <w:tcW w:type="dxa" w:w="1880"/>
          </w:tcPr>
          <w:p>
            <w:pPr>
              <w:pStyle w:val="a2"/>
              <w:spacing w:before="40" w:after="40" w:line="252" w:lineRule="auto"/>
              <w:ind w:firstLine="0" w:firstLineChars="0" w:leftChars="0" w:left="0"/>
            </w:pPr>
            <w:r>
              <w:rPr>
                <w:rFonts w:ascii="Times New Roman" w:hAnsi="Times New Roman" w:eastAsia="宋体"/>
                <w:b w:val="0"/>
                <w:sz w:val="19"/>
              </w:rPr>
              <w:t>0.5411</w:t>
            </w:r>
          </w:p>
        </w:tc>
        <w:tc>
          <w:tcPr>
            <w:tcW w:type="dxa" w:w="1880"/>
          </w:tcPr>
          <w:p>
            <w:pPr>
              <w:pStyle w:val="a2"/>
              <w:spacing w:before="40" w:after="40" w:line="252" w:lineRule="auto"/>
              <w:ind w:firstLine="0" w:firstLineChars="0" w:leftChars="0" w:left="0"/>
            </w:pPr>
            <w:r>
              <w:rPr>
                <w:rFonts w:ascii="Times New Roman" w:hAnsi="Times New Roman" w:eastAsia="宋体"/>
                <w:b w:val="0"/>
                <w:sz w:val="19"/>
              </w:rPr>
              <w:t>0.6798</w:t>
            </w:r>
          </w:p>
        </w:tc>
        <w:tc>
          <w:tcPr>
            <w:tcW w:type="dxa" w:w="1880"/>
          </w:tcPr>
          <w:p>
            <w:pPr>
              <w:pStyle w:val="a2"/>
              <w:spacing w:before="40" w:after="40" w:line="252" w:lineRule="auto"/>
              <w:ind w:firstLine="0" w:firstLineChars="0" w:leftChars="0" w:left="0"/>
            </w:pPr>
            <w:r>
              <w:rPr>
                <w:rFonts w:ascii="Times New Roman" w:hAnsi="Times New Roman" w:eastAsia="宋体"/>
                <w:b w:val="0"/>
                <w:sz w:val="19"/>
              </w:rPr>
              <w:t>0.5311</w:t>
            </w:r>
          </w:p>
        </w:tc>
      </w:tr>
    </w:tbl>
    <w:p>
      <w:pPr>
        <w:pStyle w:val="a2"/>
        <w:widowControl/>
      </w:pPr>
      <w:r>
        <w:t>训练先验常数模型的Accuracy为0.4643而Macro-F1仅为0.2114，显示在本标签分布下单看准确率的参照意义有限。两种线性路线均没有超过MLP的四条件F1：统计特征线性与TF-IDF变体分别为0.5351与0.5311，MLP为0.5409；其MAE也更高。因此，已有证据不支持仅将融合头换成线性分类器就能解决当前误差。</w:t>
      </w:r>
    </w:p>
    <w:p>
      <w:pPr>
        <w:pStyle w:val="a2"/>
        <w:widowControl/>
      </w:pPr>
      <w:r>
        <w:t>线性路线进行过预定范围内的超参数选择，神经论文对照本轮未进行同等搜索；它们是补充经验参照，不是严格等预算结构消融。这些负结果也不能证明冻结文本表示已足够，因为所有路线仍共享相同的基础编码器。若后续只微调文本最后一层，应固定融合头和其他实验条件，才能检验这一尚未验证的瓶颈假说。</w:t>
      </w:r>
    </w:p>
    <w:p>
      <w:pPr>
        <w:pStyle w:val="30"/>
        <w:ind w:firstLine="0" w:firstLineChars="0" w:leftChars="0" w:left="142"/>
      </w:pPr>
      <w:r>
        <w:t>6.3.1 Accuracy下降而Macro-F1上升的具体来源</w:t>
      </w:r>
    </w:p>
    <w:p>
      <w:pPr>
        <w:pStyle w:val="a0"/>
        <w:ind w:firstLine="0" w:firstLineChars="0" w:leftChars="0"/>
        <w:keepNext/>
        <w:numPr>
          <w:numId w:val="0"/>
        </w:numPr>
      </w:pPr>
      <w:r>
        <w:rPr>
          <w:rFonts w:ascii="Times New Roman" w:hAnsi="Times New Roman" w:eastAsia="宋体"/>
          <w:b/>
          <w:sz w:val="21"/>
        </w:rPr>
        <w:t>表12 逐类正确数与回归误差（同一728条clean验证）</w:t>
      </w:r>
    </w:p>
    <w:tbl>
      <w:tblPr>
        <w:tblW w:type="auto" w:w="0"/>
        <w:jc w:val="center"/>
        <w:tblLayout w:type="autofit"/>
        <w:tblLook w:firstColumn="1" w:firstRow="1" w:lastColumn="0" w:lastRow="0" w:noHBand="0" w:noVBand="1" w:val="04A0"/>
        <w:tblBorders>
          <w:top w:val="single" w:sz="10" w:color="000000"/>
          <w:left w:val="nil" w:sz="10" w:color="000000"/>
          <w:bottom w:val="single" w:sz="10" w:color="000000"/>
          <w:right w:val="nil" w:sz="10" w:color="000000"/>
          <w:insideH w:val="nil" w:sz="10" w:color="000000"/>
          <w:insideV w:val="nil" w:sz="10" w:color="000000"/>
        </w:tblBorders>
      </w:tblPr>
      <w:tblGrid>
        <w:gridCol w:w="1880"/>
        <w:gridCol w:w="1880"/>
        <w:gridCol w:w="1880"/>
        <w:gridCol w:w="1880"/>
        <w:gridCol w:w="1880"/>
      </w:tblGrid>
      <w:tr>
        <w:trPr>
          <w:cantSplit/>
          <w:tblHeader/>
        </w:trPr>
        <w:tc>
          <w:tcPr>
            <w:tcW w:type="dxa" w:w="1880"/>
            <w:tcBorders>
              <w:bottom w:val="single" w:sz="6"/>
            </w:tcBorders>
          </w:tcPr>
          <w:p>
            <w:pPr>
              <w:pStyle w:val="a2"/>
              <w:spacing w:before="40" w:after="40" w:line="252" w:lineRule="auto"/>
              <w:ind w:firstLine="0" w:firstLineChars="0" w:leftChars="0" w:left="0"/>
            </w:pPr>
            <w:r>
              <w:rPr>
                <w:rFonts w:ascii="Times New Roman" w:hAnsi="Times New Roman" w:eastAsia="宋体"/>
                <w:b/>
                <w:sz w:val="19"/>
              </w:rPr>
              <w:t>类别/样本数</w:t>
            </w:r>
          </w:p>
        </w:tc>
        <w:tc>
          <w:tcPr>
            <w:tcW w:type="dxa" w:w="1880"/>
            <w:tcBorders>
              <w:bottom w:val="single" w:sz="6"/>
            </w:tcBorders>
          </w:tcPr>
          <w:p>
            <w:pPr>
              <w:pStyle w:val="a2"/>
              <w:spacing w:before="40" w:after="40" w:line="252" w:lineRule="auto"/>
              <w:ind w:firstLine="0" w:firstLineChars="0" w:leftChars="0" w:left="0"/>
            </w:pPr>
            <w:r>
              <w:rPr>
                <w:rFonts w:ascii="Times New Roman" w:hAnsi="Times New Roman" w:eastAsia="宋体"/>
                <w:b/>
                <w:sz w:val="19"/>
              </w:rPr>
              <w:t>MLP正确</w:t>
            </w:r>
          </w:p>
        </w:tc>
        <w:tc>
          <w:tcPr>
            <w:tcW w:type="dxa" w:w="1880"/>
            <w:tcBorders>
              <w:bottom w:val="single" w:sz="6"/>
            </w:tcBorders>
          </w:tcPr>
          <w:p>
            <w:pPr>
              <w:pStyle w:val="a2"/>
              <w:spacing w:before="40" w:after="40" w:line="252" w:lineRule="auto"/>
              <w:ind w:firstLine="0" w:firstLineChars="0" w:leftChars="0" w:left="0"/>
            </w:pPr>
            <w:r>
              <w:rPr>
                <w:rFonts w:ascii="Times New Roman" w:hAnsi="Times New Roman" w:eastAsia="宋体"/>
                <w:b/>
                <w:sz w:val="19"/>
              </w:rPr>
              <w:t>EMT正确</w:t>
            </w:r>
          </w:p>
        </w:tc>
        <w:tc>
          <w:tcPr>
            <w:tcW w:type="dxa" w:w="1880"/>
            <w:tcBorders>
              <w:bottom w:val="single" w:sz="6"/>
            </w:tcBorders>
          </w:tcPr>
          <w:p>
            <w:pPr>
              <w:pStyle w:val="a2"/>
              <w:spacing w:before="40" w:after="40" w:line="252" w:lineRule="auto"/>
              <w:ind w:firstLine="0" w:firstLineChars="0" w:leftChars="0" w:left="0"/>
            </w:pPr>
            <w:r>
              <w:rPr>
                <w:rFonts w:ascii="Times New Roman" w:hAnsi="Times New Roman" w:eastAsia="宋体"/>
                <w:b/>
                <w:sz w:val="19"/>
              </w:rPr>
              <w:t>MLP MAE</w:t>
            </w:r>
          </w:p>
        </w:tc>
        <w:tc>
          <w:tcPr>
            <w:tcW w:type="dxa" w:w="1880"/>
            <w:tcBorders>
              <w:bottom w:val="single" w:sz="6"/>
            </w:tcBorders>
          </w:tcPr>
          <w:p>
            <w:pPr>
              <w:pStyle w:val="a2"/>
              <w:spacing w:before="40" w:after="40" w:line="252" w:lineRule="auto"/>
              <w:ind w:firstLine="0" w:firstLineChars="0" w:leftChars="0" w:left="0"/>
            </w:pPr>
            <w:r>
              <w:rPr>
                <w:rFonts w:ascii="Times New Roman" w:hAnsi="Times New Roman" w:eastAsia="宋体"/>
                <w:b/>
                <w:sz w:val="19"/>
              </w:rPr>
              <w:t>EMT MAE</w:t>
            </w:r>
          </w:p>
        </w:tc>
      </w:tr>
      <w:tr>
        <w:trPr>
          <w:cantSplit/>
        </w:trPr>
        <w:tc>
          <w:tcPr>
            <w:tcW w:type="dxa" w:w="1880"/>
          </w:tcPr>
          <w:p>
            <w:pPr>
              <w:pStyle w:val="a2"/>
              <w:spacing w:before="40" w:after="40" w:line="252" w:lineRule="auto"/>
              <w:ind w:firstLine="0" w:firstLineChars="0" w:leftChars="0" w:left="0"/>
            </w:pPr>
            <w:r>
              <w:rPr>
                <w:rFonts w:ascii="Times New Roman" w:hAnsi="Times New Roman" w:eastAsia="宋体"/>
                <w:b w:val="0"/>
                <w:sz w:val="19"/>
              </w:rPr>
              <w:t>负向/206</w:t>
            </w:r>
          </w:p>
        </w:tc>
        <w:tc>
          <w:tcPr>
            <w:tcW w:type="dxa" w:w="1880"/>
          </w:tcPr>
          <w:p>
            <w:pPr>
              <w:pStyle w:val="a2"/>
              <w:spacing w:before="40" w:after="40" w:line="252" w:lineRule="auto"/>
              <w:ind w:firstLine="0" w:firstLineChars="0" w:leftChars="0" w:left="0"/>
            </w:pPr>
            <w:r>
              <w:rPr>
                <w:rFonts w:ascii="Times New Roman" w:hAnsi="Times New Roman" w:eastAsia="宋体"/>
                <w:b w:val="0"/>
                <w:sz w:val="19"/>
              </w:rPr>
              <w:t>125</w:t>
            </w:r>
          </w:p>
        </w:tc>
        <w:tc>
          <w:tcPr>
            <w:tcW w:type="dxa" w:w="1880"/>
          </w:tcPr>
          <w:p>
            <w:pPr>
              <w:pStyle w:val="a2"/>
              <w:spacing w:before="40" w:after="40" w:line="252" w:lineRule="auto"/>
              <w:ind w:firstLine="0" w:firstLineChars="0" w:leftChars="0" w:left="0"/>
            </w:pPr>
            <w:r>
              <w:rPr>
                <w:rFonts w:ascii="Times New Roman" w:hAnsi="Times New Roman" w:eastAsia="宋体"/>
                <w:b w:val="0"/>
                <w:sz w:val="19"/>
              </w:rPr>
              <w:t>115</w:t>
            </w:r>
          </w:p>
        </w:tc>
        <w:tc>
          <w:tcPr>
            <w:tcW w:type="dxa" w:w="1880"/>
          </w:tcPr>
          <w:p>
            <w:pPr>
              <w:pStyle w:val="a2"/>
              <w:spacing w:before="40" w:after="40" w:line="252" w:lineRule="auto"/>
              <w:ind w:firstLine="0" w:firstLineChars="0" w:leftChars="0" w:left="0"/>
            </w:pPr>
            <w:r>
              <w:rPr>
                <w:rFonts w:ascii="Times New Roman" w:hAnsi="Times New Roman" w:eastAsia="宋体"/>
                <w:b w:val="0"/>
                <w:sz w:val="19"/>
              </w:rPr>
              <w:t>0.7978</w:t>
            </w:r>
          </w:p>
        </w:tc>
        <w:tc>
          <w:tcPr>
            <w:tcW w:type="dxa" w:w="1880"/>
          </w:tcPr>
          <w:p>
            <w:pPr>
              <w:pStyle w:val="a2"/>
              <w:spacing w:before="40" w:after="40" w:line="252" w:lineRule="auto"/>
              <w:ind w:firstLine="0" w:firstLineChars="0" w:leftChars="0" w:left="0"/>
            </w:pPr>
            <w:r>
              <w:rPr>
                <w:rFonts w:ascii="Times New Roman" w:hAnsi="Times New Roman" w:eastAsia="宋体"/>
                <w:b w:val="0"/>
                <w:sz w:val="19"/>
              </w:rPr>
              <w:t>0.7836</w:t>
            </w:r>
          </w:p>
        </w:tc>
      </w:tr>
      <w:tr>
        <w:trPr>
          <w:cantSplit/>
        </w:trPr>
        <w:tc>
          <w:tcPr>
            <w:tcW w:type="dxa" w:w="1880"/>
          </w:tcPr>
          <w:p>
            <w:pPr>
              <w:pStyle w:val="a2"/>
              <w:spacing w:before="40" w:after="40" w:line="252" w:lineRule="auto"/>
              <w:ind w:firstLine="0" w:firstLineChars="0" w:leftChars="0" w:left="0"/>
            </w:pPr>
            <w:r>
              <w:rPr>
                <w:rFonts w:ascii="Times New Roman" w:hAnsi="Times New Roman" w:eastAsia="宋体"/>
                <w:b w:val="0"/>
                <w:sz w:val="19"/>
              </w:rPr>
              <w:t>中性/184</w:t>
            </w:r>
          </w:p>
        </w:tc>
        <w:tc>
          <w:tcPr>
            <w:tcW w:type="dxa" w:w="1880"/>
          </w:tcPr>
          <w:p>
            <w:pPr>
              <w:pStyle w:val="a2"/>
              <w:spacing w:before="40" w:after="40" w:line="252" w:lineRule="auto"/>
              <w:ind w:firstLine="0" w:firstLineChars="0" w:leftChars="0" w:left="0"/>
            </w:pPr>
            <w:r>
              <w:rPr>
                <w:rFonts w:ascii="Times New Roman" w:hAnsi="Times New Roman" w:eastAsia="宋体"/>
                <w:b w:val="0"/>
                <w:sz w:val="19"/>
              </w:rPr>
              <w:t>55</w:t>
            </w:r>
          </w:p>
        </w:tc>
        <w:tc>
          <w:tcPr>
            <w:tcW w:type="dxa" w:w="1880"/>
          </w:tcPr>
          <w:p>
            <w:pPr>
              <w:pStyle w:val="a2"/>
              <w:spacing w:before="40" w:after="40" w:line="252" w:lineRule="auto"/>
              <w:ind w:firstLine="0" w:firstLineChars="0" w:leftChars="0" w:left="0"/>
            </w:pPr>
            <w:r>
              <w:rPr>
                <w:rFonts w:ascii="Times New Roman" w:hAnsi="Times New Roman" w:eastAsia="宋体"/>
                <w:b w:val="0"/>
                <w:sz w:val="19"/>
              </w:rPr>
              <w:t>80</w:t>
            </w:r>
          </w:p>
        </w:tc>
        <w:tc>
          <w:tcPr>
            <w:tcW w:type="dxa" w:w="1880"/>
          </w:tcPr>
          <w:p>
            <w:pPr>
              <w:pStyle w:val="a2"/>
              <w:spacing w:before="40" w:after="40" w:line="252" w:lineRule="auto"/>
              <w:ind w:firstLine="0" w:firstLineChars="0" w:leftChars="0" w:left="0"/>
            </w:pPr>
            <w:r>
              <w:rPr>
                <w:rFonts w:ascii="Times New Roman" w:hAnsi="Times New Roman" w:eastAsia="宋体"/>
                <w:b w:val="0"/>
                <w:sz w:val="19"/>
              </w:rPr>
              <w:t>0.3889</w:t>
            </w:r>
          </w:p>
        </w:tc>
        <w:tc>
          <w:tcPr>
            <w:tcW w:type="dxa" w:w="1880"/>
          </w:tcPr>
          <w:p>
            <w:pPr>
              <w:pStyle w:val="a2"/>
              <w:spacing w:before="40" w:after="40" w:line="252" w:lineRule="auto"/>
              <w:ind w:firstLine="0" w:firstLineChars="0" w:leftChars="0" w:left="0"/>
            </w:pPr>
            <w:r>
              <w:rPr>
                <w:rFonts w:ascii="Times New Roman" w:hAnsi="Times New Roman" w:eastAsia="宋体"/>
                <w:b w:val="0"/>
                <w:sz w:val="19"/>
              </w:rPr>
              <w:t>0.3070</w:t>
            </w:r>
          </w:p>
        </w:tc>
      </w:tr>
      <w:tr>
        <w:trPr>
          <w:cantSplit/>
        </w:trPr>
        <w:tc>
          <w:tcPr>
            <w:tcW w:type="dxa" w:w="1880"/>
          </w:tcPr>
          <w:p>
            <w:pPr>
              <w:pStyle w:val="a2"/>
              <w:spacing w:before="40" w:after="40" w:line="252" w:lineRule="auto"/>
              <w:ind w:firstLine="0" w:firstLineChars="0" w:leftChars="0" w:left="0"/>
            </w:pPr>
            <w:r>
              <w:rPr>
                <w:rFonts w:ascii="Times New Roman" w:hAnsi="Times New Roman" w:eastAsia="宋体"/>
                <w:b w:val="0"/>
                <w:sz w:val="19"/>
              </w:rPr>
              <w:t>正向/338</w:t>
            </w:r>
          </w:p>
        </w:tc>
        <w:tc>
          <w:tcPr>
            <w:tcW w:type="dxa" w:w="1880"/>
          </w:tcPr>
          <w:p>
            <w:pPr>
              <w:pStyle w:val="a2"/>
              <w:spacing w:before="40" w:after="40" w:line="252" w:lineRule="auto"/>
              <w:ind w:firstLine="0" w:firstLineChars="0" w:leftChars="0" w:left="0"/>
            </w:pPr>
            <w:r>
              <w:rPr>
                <w:rFonts w:ascii="Times New Roman" w:hAnsi="Times New Roman" w:eastAsia="宋体"/>
                <w:b w:val="0"/>
                <w:sz w:val="19"/>
              </w:rPr>
              <w:t>244</w:t>
            </w:r>
          </w:p>
        </w:tc>
        <w:tc>
          <w:tcPr>
            <w:tcW w:type="dxa" w:w="1880"/>
          </w:tcPr>
          <w:p>
            <w:pPr>
              <w:pStyle w:val="a2"/>
              <w:spacing w:before="40" w:after="40" w:line="252" w:lineRule="auto"/>
              <w:ind w:firstLine="0" w:firstLineChars="0" w:leftChars="0" w:left="0"/>
            </w:pPr>
            <w:r>
              <w:rPr>
                <w:rFonts w:ascii="Times New Roman" w:hAnsi="Times New Roman" w:eastAsia="宋体"/>
                <w:b w:val="0"/>
                <w:sz w:val="19"/>
              </w:rPr>
              <w:t>226</w:t>
            </w:r>
          </w:p>
        </w:tc>
        <w:tc>
          <w:tcPr>
            <w:tcW w:type="dxa" w:w="1880"/>
          </w:tcPr>
          <w:p>
            <w:pPr>
              <w:pStyle w:val="a2"/>
              <w:spacing w:before="40" w:after="40" w:line="252" w:lineRule="auto"/>
              <w:ind w:firstLine="0" w:firstLineChars="0" w:leftChars="0" w:left="0"/>
            </w:pPr>
            <w:r>
              <w:rPr>
                <w:rFonts w:ascii="Times New Roman" w:hAnsi="Times New Roman" w:eastAsia="宋体"/>
                <w:b w:val="0"/>
                <w:sz w:val="19"/>
              </w:rPr>
              <w:t>0.7210</w:t>
            </w:r>
          </w:p>
        </w:tc>
        <w:tc>
          <w:tcPr>
            <w:tcW w:type="dxa" w:w="1880"/>
          </w:tcPr>
          <w:p>
            <w:pPr>
              <w:pStyle w:val="a2"/>
              <w:spacing w:before="40" w:after="40" w:line="252" w:lineRule="auto"/>
              <w:ind w:firstLine="0" w:firstLineChars="0" w:leftChars="0" w:left="0"/>
            </w:pPr>
            <w:r>
              <w:rPr>
                <w:rFonts w:ascii="Times New Roman" w:hAnsi="Times New Roman" w:eastAsia="宋体"/>
                <w:b w:val="0"/>
                <w:sz w:val="19"/>
              </w:rPr>
              <w:t>0.7226</w:t>
            </w:r>
          </w:p>
        </w:tc>
      </w:tr>
    </w:tbl>
    <w:p>
      <w:pPr>
        <w:pStyle w:val="a2"/>
        <w:widowControl/>
      </w:pPr>
      <w:r>
        <w:t>EMT比MLP多判对25条中性样本，但少判对10条负向与18条正向，净减少3条正确样本，正好对应Accuracy从424/728降为421/728。中性召回由29.89%升至43.48%，类别均衡改善与多数类别损失同时存在。这一计数解释比笼统称“EMT全面更准确”更符合观测。Macro-F1还依赖各类精确率，其完整变化由混淆矩阵共同决定。</w:t>
      </w:r>
    </w:p>
    <w:p>
      <w:pPr>
        <w:pStyle w:val="a2"/>
        <w:widowControl/>
      </w:pPr>
      <w:r>
        <w:t>将总MAE差按类别加权分解，中性、负向、正向对MLP减EMT的贡献分别约为0.02071、0.00401和-0.00071，合计0.02401。其中中性约占净改善的86.2%。这是误差差值的算术分解，提示回归收益主要集中在中性样本；它不是证明某个模块专门学会中性情感的因果证据。</w:t>
      </w:r>
    </w:p>
    <w:p>
      <w:pPr>
        <w:pStyle w:val="a2"/>
        <w:widowControl/>
      </w:pPr>
      <w:r>
        <w:t>逐样本配对进一步显示：两模型共同判对366条，仅MLP判对58条，仅EMT判对55条，共同判错249条。总体正确数接近仍可伴随大量不同的错误，因此后续改进应检查错误子集，而不能只比较两个四位小数分数。</w:t>
      </w:r>
    </w:p>
    <w:p>
      <w:pPr>
        <w:pStyle w:val="20"/>
        <w:ind w:firstLine="0" w:firstLineChars="0" w:leftChars="0"/>
      </w:pPr>
      <w:bookmarkStart w:id="38" w:name="_PaperHeading037"/>
      <w:r>
        <w:t>6.4 局部缺失的类型、位置与比例效应</w:t>
      </w:r>
      <w:bookmarkEnd w:id="38"/>
    </w:p>
    <w:p>
      <w:pPr>
        <w:pStyle w:val="30"/>
        <w:ind w:firstLine="0" w:firstLineChars="0" w:leftChars="0" w:left="142"/>
      </w:pPr>
      <w:r>
        <w:t>6.4.1 不同缺失模态类型的影响</w:t>
      </w:r>
    </w:p>
    <w:p>
      <w:pPr>
        <w:pStyle w:val="a0"/>
        <w:ind w:firstLine="0" w:firstLineChars="0" w:leftChars="0"/>
        <w:keepNext/>
        <w:numPr>
          <w:numId w:val="0"/>
        </w:numPr>
      </w:pPr>
      <w:r>
        <w:rPr>
          <w:rFonts w:ascii="Times New Roman" w:hAnsi="Times New Roman" w:eastAsia="宋体"/>
          <w:b/>
          <w:sz w:val="21"/>
        </w:rPr>
        <w:t>表13 EMT-DLFR集成：不同缺失模态与比例（前中后位置平均）</w:t>
      </w:r>
    </w:p>
    <w:tbl>
      <w:tblPr>
        <w:tblW w:type="auto" w:w="0"/>
        <w:jc w:val="center"/>
        <w:tblLayout w:type="autofit"/>
        <w:tblLook w:firstColumn="1" w:firstRow="1" w:lastColumn="0" w:lastRow="0" w:noHBand="0" w:noVBand="1" w:val="04A0"/>
        <w:tblBorders>
          <w:top w:val="single" w:sz="10" w:color="000000"/>
          <w:left w:val="nil" w:sz="10" w:color="000000"/>
          <w:bottom w:val="single" w:sz="10" w:color="000000"/>
          <w:right w:val="nil" w:sz="10" w:color="000000"/>
          <w:insideH w:val="nil" w:sz="10" w:color="000000"/>
          <w:insideV w:val="nil" w:sz="10" w:color="000000"/>
        </w:tblBorders>
      </w:tblPr>
      <w:tblGrid>
        <w:gridCol w:w="2349"/>
        <w:gridCol w:w="2349"/>
        <w:gridCol w:w="2349"/>
        <w:gridCol w:w="2349"/>
      </w:tblGrid>
      <w:tr>
        <w:trPr>
          <w:cantSplit/>
          <w:tblHeader/>
        </w:trPr>
        <w:tc>
          <w:tcPr>
            <w:tcW w:type="dxa" w:w="2349"/>
            <w:tcBorders>
              <w:bottom w:val="single" w:sz="6"/>
            </w:tcBorders>
          </w:tcPr>
          <w:p>
            <w:pPr>
              <w:pStyle w:val="a2"/>
              <w:spacing w:before="40" w:after="40" w:line="252" w:lineRule="auto"/>
              <w:ind w:firstLine="0" w:firstLineChars="0" w:leftChars="0" w:left="0"/>
            </w:pPr>
            <w:r>
              <w:rPr>
                <w:rFonts w:ascii="Times New Roman" w:hAnsi="Times New Roman" w:eastAsia="宋体"/>
                <w:b/>
                <w:sz w:val="21"/>
              </w:rPr>
              <w:t>模态</w:t>
            </w:r>
          </w:p>
        </w:tc>
        <w:tc>
          <w:tcPr>
            <w:tcW w:type="dxa" w:w="2349"/>
            <w:tcBorders>
              <w:bottom w:val="single" w:sz="6"/>
            </w:tcBorders>
          </w:tcPr>
          <w:p>
            <w:pPr>
              <w:pStyle w:val="a2"/>
              <w:spacing w:before="40" w:after="40" w:line="252" w:lineRule="auto"/>
              <w:ind w:firstLine="0" w:firstLineChars="0" w:leftChars="0" w:left="0"/>
            </w:pPr>
            <w:r>
              <w:rPr>
                <w:rFonts w:ascii="Times New Roman" w:hAnsi="Times New Roman" w:eastAsia="宋体"/>
                <w:b/>
                <w:sz w:val="21"/>
              </w:rPr>
              <w:t>目标遮挡比例</w:t>
            </w:r>
          </w:p>
        </w:tc>
        <w:tc>
          <w:tcPr>
            <w:tcW w:type="dxa" w:w="2349"/>
            <w:tcBorders>
              <w:bottom w:val="single" w:sz="6"/>
            </w:tcBorders>
          </w:tcPr>
          <w:p>
            <w:pPr>
              <w:pStyle w:val="a2"/>
              <w:spacing w:before="40" w:after="40" w:line="252" w:lineRule="auto"/>
              <w:ind w:firstLine="0" w:firstLineChars="0" w:leftChars="0" w:left="0"/>
            </w:pPr>
            <w:r>
              <w:rPr>
                <w:rFonts w:ascii="Times New Roman" w:hAnsi="Times New Roman" w:eastAsia="宋体"/>
                <w:b/>
                <w:sz w:val="21"/>
              </w:rPr>
              <w:t>Macro-F1</w:t>
            </w:r>
          </w:p>
        </w:tc>
        <w:tc>
          <w:tcPr>
            <w:tcW w:type="dxa" w:w="2349"/>
            <w:tcBorders>
              <w:bottom w:val="single" w:sz="6"/>
            </w:tcBorders>
          </w:tcPr>
          <w:p>
            <w:pPr>
              <w:pStyle w:val="a2"/>
              <w:spacing w:before="40" w:after="40" w:line="252" w:lineRule="auto"/>
              <w:ind w:firstLine="0" w:firstLineChars="0" w:leftChars="0" w:left="0"/>
            </w:pPr>
            <w:r>
              <w:rPr>
                <w:rFonts w:ascii="Times New Roman" w:hAnsi="Times New Roman" w:eastAsia="宋体"/>
                <w:b/>
                <w:sz w:val="21"/>
              </w:rPr>
              <w:t>MAE</w:t>
            </w:r>
          </w:p>
        </w:tc>
      </w:tr>
      <w:tr>
        <w:trPr>
          <w:cantSplit/>
        </w:trPr>
        <w:tc>
          <w:tcPr>
            <w:tcW w:type="dxa" w:w="2349"/>
          </w:tcPr>
          <w:p>
            <w:pPr>
              <w:pStyle w:val="a2"/>
              <w:spacing w:before="40" w:after="40" w:line="252" w:lineRule="auto"/>
              <w:ind w:firstLine="0" w:firstLineChars="0" w:leftChars="0" w:left="0"/>
            </w:pPr>
            <w:r>
              <w:rPr>
                <w:rFonts w:ascii="Times New Roman" w:hAnsi="Times New Roman" w:eastAsia="宋体"/>
                <w:b w:val="0"/>
                <w:sz w:val="21"/>
              </w:rPr>
              <w:t>文本</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10%</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0.5482</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0.6418</w:t>
            </w:r>
          </w:p>
        </w:tc>
      </w:tr>
      <w:tr>
        <w:trPr>
          <w:cantSplit/>
        </w:trPr>
        <w:tc>
          <w:tcPr>
            <w:tcW w:type="dxa" w:w="2349"/>
          </w:tcPr>
          <w:p>
            <w:pPr>
              <w:pStyle w:val="a2"/>
              <w:spacing w:before="40" w:after="40" w:line="252" w:lineRule="auto"/>
              <w:ind w:firstLine="0" w:firstLineChars="0" w:leftChars="0" w:left="0"/>
            </w:pPr>
            <w:r>
              <w:rPr>
                <w:rFonts w:ascii="Times New Roman" w:hAnsi="Times New Roman" w:eastAsia="宋体"/>
                <w:b w:val="0"/>
                <w:sz w:val="21"/>
              </w:rPr>
              <w:t>文本</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30%</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0.5330</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0.6602</w:t>
            </w:r>
          </w:p>
        </w:tc>
      </w:tr>
      <w:tr>
        <w:trPr>
          <w:cantSplit/>
        </w:trPr>
        <w:tc>
          <w:tcPr>
            <w:tcW w:type="dxa" w:w="2349"/>
          </w:tcPr>
          <w:p>
            <w:pPr>
              <w:pStyle w:val="a2"/>
              <w:spacing w:before="40" w:after="40" w:line="252" w:lineRule="auto"/>
              <w:ind w:firstLine="0" w:firstLineChars="0" w:leftChars="0" w:left="0"/>
            </w:pPr>
            <w:r>
              <w:rPr>
                <w:rFonts w:ascii="Times New Roman" w:hAnsi="Times New Roman" w:eastAsia="宋体"/>
                <w:b w:val="0"/>
                <w:sz w:val="21"/>
              </w:rPr>
              <w:t>文本</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50%</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0.5140</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0.6803</w:t>
            </w:r>
          </w:p>
        </w:tc>
      </w:tr>
      <w:tr>
        <w:trPr>
          <w:cantSplit/>
        </w:trPr>
        <w:tc>
          <w:tcPr>
            <w:tcW w:type="dxa" w:w="2349"/>
          </w:tcPr>
          <w:p>
            <w:pPr>
              <w:pStyle w:val="a2"/>
              <w:spacing w:before="40" w:after="40" w:line="252" w:lineRule="auto"/>
              <w:ind w:firstLine="0" w:firstLineChars="0" w:leftChars="0" w:left="0"/>
            </w:pPr>
            <w:r>
              <w:rPr>
                <w:rFonts w:ascii="Times New Roman" w:hAnsi="Times New Roman" w:eastAsia="宋体"/>
                <w:b w:val="0"/>
                <w:sz w:val="21"/>
              </w:rPr>
              <w:t>音频</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10%</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0.5577</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0.6340</w:t>
            </w:r>
          </w:p>
        </w:tc>
      </w:tr>
      <w:tr>
        <w:trPr>
          <w:cantSplit/>
        </w:trPr>
        <w:tc>
          <w:tcPr>
            <w:tcW w:type="dxa" w:w="2349"/>
          </w:tcPr>
          <w:p>
            <w:pPr>
              <w:pStyle w:val="a2"/>
              <w:spacing w:before="40" w:after="40" w:line="252" w:lineRule="auto"/>
              <w:ind w:firstLine="0" w:firstLineChars="0" w:leftChars="0" w:left="0"/>
            </w:pPr>
            <w:r>
              <w:rPr>
                <w:rFonts w:ascii="Times New Roman" w:hAnsi="Times New Roman" w:eastAsia="宋体"/>
                <w:b w:val="0"/>
                <w:sz w:val="21"/>
              </w:rPr>
              <w:t>音频</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30%</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0.5587</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0.6335</w:t>
            </w:r>
          </w:p>
        </w:tc>
      </w:tr>
      <w:tr>
        <w:trPr>
          <w:cantSplit/>
        </w:trPr>
        <w:tc>
          <w:tcPr>
            <w:tcW w:type="dxa" w:w="2349"/>
          </w:tcPr>
          <w:p>
            <w:pPr>
              <w:pStyle w:val="a2"/>
              <w:spacing w:before="40" w:after="40" w:line="252" w:lineRule="auto"/>
              <w:ind w:firstLine="0" w:firstLineChars="0" w:leftChars="0" w:left="0"/>
            </w:pPr>
            <w:r>
              <w:rPr>
                <w:rFonts w:ascii="Times New Roman" w:hAnsi="Times New Roman" w:eastAsia="宋体"/>
                <w:b w:val="0"/>
                <w:sz w:val="21"/>
              </w:rPr>
              <w:t>音频</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50%</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0.5584</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0.6332</w:t>
            </w:r>
          </w:p>
        </w:tc>
      </w:tr>
      <w:tr>
        <w:trPr>
          <w:cantSplit/>
        </w:trPr>
        <w:tc>
          <w:tcPr>
            <w:tcW w:type="dxa" w:w="2349"/>
          </w:tcPr>
          <w:p>
            <w:pPr>
              <w:pStyle w:val="a2"/>
              <w:spacing w:before="40" w:after="40" w:line="252" w:lineRule="auto"/>
              <w:ind w:firstLine="0" w:firstLineChars="0" w:leftChars="0" w:left="0"/>
            </w:pPr>
            <w:r>
              <w:rPr>
                <w:rFonts w:ascii="Times New Roman" w:hAnsi="Times New Roman" w:eastAsia="宋体"/>
                <w:b w:val="0"/>
                <w:sz w:val="21"/>
              </w:rPr>
              <w:t>视觉</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10%</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0.5517</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0.6329</w:t>
            </w:r>
          </w:p>
        </w:tc>
      </w:tr>
      <w:tr>
        <w:trPr>
          <w:cantSplit/>
        </w:trPr>
        <w:tc>
          <w:tcPr>
            <w:tcW w:type="dxa" w:w="2349"/>
          </w:tcPr>
          <w:p>
            <w:pPr>
              <w:pStyle w:val="a2"/>
              <w:spacing w:before="40" w:after="40" w:line="252" w:lineRule="auto"/>
              <w:ind w:firstLine="0" w:firstLineChars="0" w:leftChars="0" w:left="0"/>
            </w:pPr>
            <w:r>
              <w:rPr>
                <w:rFonts w:ascii="Times New Roman" w:hAnsi="Times New Roman" w:eastAsia="宋体"/>
                <w:b w:val="0"/>
                <w:sz w:val="21"/>
              </w:rPr>
              <w:t>视觉</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30%</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0.5480</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0.6342</w:t>
            </w:r>
          </w:p>
        </w:tc>
      </w:tr>
      <w:tr>
        <w:trPr>
          <w:cantSplit/>
        </w:trPr>
        <w:tc>
          <w:tcPr>
            <w:tcW w:type="dxa" w:w="2349"/>
          </w:tcPr>
          <w:p>
            <w:pPr>
              <w:pStyle w:val="a2"/>
              <w:spacing w:before="40" w:after="40" w:line="252" w:lineRule="auto"/>
              <w:ind w:firstLine="0" w:firstLineChars="0" w:leftChars="0" w:left="0"/>
            </w:pPr>
            <w:r>
              <w:rPr>
                <w:rFonts w:ascii="Times New Roman" w:hAnsi="Times New Roman" w:eastAsia="宋体"/>
                <w:b w:val="0"/>
                <w:sz w:val="21"/>
              </w:rPr>
              <w:t>视觉</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50%</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0.5414</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0.6355</w:t>
            </w:r>
          </w:p>
        </w:tc>
      </w:tr>
    </w:tbl>
    <w:p>
      <w:pPr>
        <w:pStyle w:val="a2"/>
        <w:widowControl/>
      </w:pPr>
      <w:r>
        <w:t>文本缺失对预测影响最明显：目标比例从10%增至50%时，平均Macro-F1由0.5482降至0.5140，MAE由0.6418升至0.6803。视觉缺失的Macro-F1也随比例增加而下降，但变化幅度较小。音频遮挡后本轮指标没有出现单调恶化，甚至略好于完整输入；这不能解释为音频无效或遮挡必然有益，可能涉及冗余信息、噪声和有限样本波动。</w:t>
      </w:r>
    </w:p>
    <w:p>
      <w:pPr>
        <w:pStyle w:val="30"/>
        <w:ind w:firstLine="0" w:firstLineChars="0" w:leftChars="0" w:left="142"/>
      </w:pPr>
      <w:r>
        <w:t>6.4.2 不同缺失位置的影响</w:t>
      </w:r>
    </w:p>
    <w:p>
      <w:pPr>
        <w:pStyle w:val="a0"/>
        <w:ind w:firstLine="0" w:firstLineChars="0" w:leftChars="0"/>
        <w:keepNext/>
        <w:numPr>
          <w:numId w:val="0"/>
        </w:numPr>
      </w:pPr>
      <w:r>
        <w:rPr>
          <w:rFonts w:ascii="Times New Roman" w:hAnsi="Times New Roman" w:eastAsia="宋体"/>
          <w:b/>
          <w:sz w:val="21"/>
        </w:rPr>
        <w:t>表14 EMT-DLFR集成：30%遮挡下的位置效应</w:t>
      </w:r>
    </w:p>
    <w:tbl>
      <w:tblPr>
        <w:tblW w:type="auto" w:w="0"/>
        <w:jc w:val="center"/>
        <w:tblLayout w:type="autofit"/>
        <w:tblLook w:firstColumn="1" w:firstRow="1" w:lastColumn="0" w:lastRow="0" w:noHBand="0" w:noVBand="1" w:val="04A0"/>
        <w:tblBorders>
          <w:top w:val="single" w:sz="10" w:color="000000"/>
          <w:left w:val="nil" w:sz="10" w:color="000000"/>
          <w:bottom w:val="single" w:sz="10" w:color="000000"/>
          <w:right w:val="nil" w:sz="10" w:color="000000"/>
          <w:insideH w:val="nil" w:sz="10" w:color="000000"/>
          <w:insideV w:val="nil" w:sz="10" w:color="000000"/>
        </w:tblBorders>
      </w:tblPr>
      <w:tblGrid>
        <w:gridCol w:w="2349"/>
        <w:gridCol w:w="2349"/>
        <w:gridCol w:w="2349"/>
        <w:gridCol w:w="2349"/>
      </w:tblGrid>
      <w:tr>
        <w:trPr>
          <w:cantSplit/>
          <w:tblHeader/>
        </w:trPr>
        <w:tc>
          <w:tcPr>
            <w:tcW w:type="dxa" w:w="2349"/>
            <w:tcBorders>
              <w:bottom w:val="single" w:sz="6"/>
            </w:tcBorders>
          </w:tcPr>
          <w:p>
            <w:pPr>
              <w:pStyle w:val="a2"/>
              <w:spacing w:before="40" w:after="40" w:line="252" w:lineRule="auto"/>
              <w:ind w:firstLine="0" w:firstLineChars="0" w:leftChars="0" w:left="0"/>
            </w:pPr>
            <w:r>
              <w:rPr>
                <w:rFonts w:ascii="Times New Roman" w:hAnsi="Times New Roman" w:eastAsia="宋体"/>
                <w:b/>
                <w:sz w:val="21"/>
              </w:rPr>
              <w:t>模态</w:t>
            </w:r>
          </w:p>
        </w:tc>
        <w:tc>
          <w:tcPr>
            <w:tcW w:type="dxa" w:w="2349"/>
            <w:tcBorders>
              <w:bottom w:val="single" w:sz="6"/>
            </w:tcBorders>
          </w:tcPr>
          <w:p>
            <w:pPr>
              <w:pStyle w:val="a2"/>
              <w:spacing w:before="40" w:after="40" w:line="252" w:lineRule="auto"/>
              <w:ind w:firstLine="0" w:firstLineChars="0" w:leftChars="0" w:left="0"/>
            </w:pPr>
            <w:r>
              <w:rPr>
                <w:rFonts w:ascii="Times New Roman" w:hAnsi="Times New Roman" w:eastAsia="宋体"/>
                <w:b/>
                <w:sz w:val="21"/>
              </w:rPr>
              <w:t>位置</w:t>
            </w:r>
          </w:p>
        </w:tc>
        <w:tc>
          <w:tcPr>
            <w:tcW w:type="dxa" w:w="2349"/>
            <w:tcBorders>
              <w:bottom w:val="single" w:sz="6"/>
            </w:tcBorders>
          </w:tcPr>
          <w:p>
            <w:pPr>
              <w:pStyle w:val="a2"/>
              <w:spacing w:before="40" w:after="40" w:line="252" w:lineRule="auto"/>
              <w:ind w:firstLine="0" w:firstLineChars="0" w:leftChars="0" w:left="0"/>
            </w:pPr>
            <w:r>
              <w:rPr>
                <w:rFonts w:ascii="Times New Roman" w:hAnsi="Times New Roman" w:eastAsia="宋体"/>
                <w:b/>
                <w:sz w:val="21"/>
              </w:rPr>
              <w:t>Macro-F1</w:t>
            </w:r>
          </w:p>
        </w:tc>
        <w:tc>
          <w:tcPr>
            <w:tcW w:type="dxa" w:w="2349"/>
            <w:tcBorders>
              <w:bottom w:val="single" w:sz="6"/>
            </w:tcBorders>
          </w:tcPr>
          <w:p>
            <w:pPr>
              <w:pStyle w:val="a2"/>
              <w:spacing w:before="40" w:after="40" w:line="252" w:lineRule="auto"/>
              <w:ind w:firstLine="0" w:firstLineChars="0" w:leftChars="0" w:left="0"/>
            </w:pPr>
            <w:r>
              <w:rPr>
                <w:rFonts w:ascii="Times New Roman" w:hAnsi="Times New Roman" w:eastAsia="宋体"/>
                <w:b/>
                <w:sz w:val="21"/>
              </w:rPr>
              <w:t>MAE</w:t>
            </w:r>
          </w:p>
        </w:tc>
      </w:tr>
      <w:tr>
        <w:trPr>
          <w:cantSplit/>
        </w:trPr>
        <w:tc>
          <w:tcPr>
            <w:tcW w:type="dxa" w:w="2349"/>
          </w:tcPr>
          <w:p>
            <w:pPr>
              <w:pStyle w:val="a2"/>
              <w:spacing w:before="40" w:after="40" w:line="252" w:lineRule="auto"/>
              <w:ind w:firstLine="0" w:firstLineChars="0" w:leftChars="0" w:left="0"/>
            </w:pPr>
            <w:r>
              <w:rPr>
                <w:rFonts w:ascii="Times New Roman" w:hAnsi="Times New Roman" w:eastAsia="宋体"/>
                <w:b w:val="0"/>
                <w:sz w:val="21"/>
              </w:rPr>
              <w:t>文本</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前部</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0.5335</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0.6642</w:t>
            </w:r>
          </w:p>
        </w:tc>
      </w:tr>
      <w:tr>
        <w:trPr>
          <w:cantSplit/>
        </w:trPr>
        <w:tc>
          <w:tcPr>
            <w:tcW w:type="dxa" w:w="2349"/>
          </w:tcPr>
          <w:p>
            <w:pPr>
              <w:pStyle w:val="a2"/>
              <w:spacing w:before="40" w:after="40" w:line="252" w:lineRule="auto"/>
              <w:ind w:firstLine="0" w:firstLineChars="0" w:leftChars="0" w:left="0"/>
            </w:pPr>
            <w:r>
              <w:rPr>
                <w:rFonts w:ascii="Times New Roman" w:hAnsi="Times New Roman" w:eastAsia="宋体"/>
                <w:b w:val="0"/>
                <w:sz w:val="21"/>
              </w:rPr>
              <w:t>文本</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中部</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0.5372</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0.6606</w:t>
            </w:r>
          </w:p>
        </w:tc>
      </w:tr>
      <w:tr>
        <w:trPr>
          <w:cantSplit/>
        </w:trPr>
        <w:tc>
          <w:tcPr>
            <w:tcW w:type="dxa" w:w="2349"/>
          </w:tcPr>
          <w:p>
            <w:pPr>
              <w:pStyle w:val="a2"/>
              <w:spacing w:before="40" w:after="40" w:line="252" w:lineRule="auto"/>
              <w:ind w:firstLine="0" w:firstLineChars="0" w:leftChars="0" w:left="0"/>
            </w:pPr>
            <w:r>
              <w:rPr>
                <w:rFonts w:ascii="Times New Roman" w:hAnsi="Times New Roman" w:eastAsia="宋体"/>
                <w:b w:val="0"/>
                <w:sz w:val="21"/>
              </w:rPr>
              <w:t>文本</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后部</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0.5283</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0.6558</w:t>
            </w:r>
          </w:p>
        </w:tc>
      </w:tr>
      <w:tr>
        <w:trPr>
          <w:cantSplit/>
        </w:trPr>
        <w:tc>
          <w:tcPr>
            <w:tcW w:type="dxa" w:w="2349"/>
          </w:tcPr>
          <w:p>
            <w:pPr>
              <w:pStyle w:val="a2"/>
              <w:spacing w:before="40" w:after="40" w:line="252" w:lineRule="auto"/>
              <w:ind w:firstLine="0" w:firstLineChars="0" w:leftChars="0" w:left="0"/>
            </w:pPr>
            <w:r>
              <w:rPr>
                <w:rFonts w:ascii="Times New Roman" w:hAnsi="Times New Roman" w:eastAsia="宋体"/>
                <w:b w:val="0"/>
                <w:sz w:val="21"/>
              </w:rPr>
              <w:t>音频</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前部</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0.5518</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0.6351</w:t>
            </w:r>
          </w:p>
        </w:tc>
      </w:tr>
      <w:tr>
        <w:trPr>
          <w:cantSplit/>
        </w:trPr>
        <w:tc>
          <w:tcPr>
            <w:tcW w:type="dxa" w:w="2349"/>
          </w:tcPr>
          <w:p>
            <w:pPr>
              <w:pStyle w:val="a2"/>
              <w:spacing w:before="40" w:after="40" w:line="252" w:lineRule="auto"/>
              <w:ind w:firstLine="0" w:firstLineChars="0" w:leftChars="0" w:left="0"/>
            </w:pPr>
            <w:r>
              <w:rPr>
                <w:rFonts w:ascii="Times New Roman" w:hAnsi="Times New Roman" w:eastAsia="宋体"/>
                <w:b w:val="0"/>
                <w:sz w:val="21"/>
              </w:rPr>
              <w:t>音频</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中部</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0.5532</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0.6349</w:t>
            </w:r>
          </w:p>
        </w:tc>
      </w:tr>
      <w:tr>
        <w:trPr>
          <w:cantSplit/>
        </w:trPr>
        <w:tc>
          <w:tcPr>
            <w:tcW w:type="dxa" w:w="2349"/>
          </w:tcPr>
          <w:p>
            <w:pPr>
              <w:pStyle w:val="a2"/>
              <w:spacing w:before="40" w:after="40" w:line="252" w:lineRule="auto"/>
              <w:ind w:firstLine="0" w:firstLineChars="0" w:leftChars="0" w:left="0"/>
            </w:pPr>
            <w:r>
              <w:rPr>
                <w:rFonts w:ascii="Times New Roman" w:hAnsi="Times New Roman" w:eastAsia="宋体"/>
                <w:b w:val="0"/>
                <w:sz w:val="21"/>
              </w:rPr>
              <w:t>音频</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后部</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0.5711</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0.6304</w:t>
            </w:r>
          </w:p>
        </w:tc>
      </w:tr>
      <w:tr>
        <w:trPr>
          <w:cantSplit/>
        </w:trPr>
        <w:tc>
          <w:tcPr>
            <w:tcW w:type="dxa" w:w="2349"/>
          </w:tcPr>
          <w:p>
            <w:pPr>
              <w:pStyle w:val="a2"/>
              <w:spacing w:before="40" w:after="40" w:line="252" w:lineRule="auto"/>
              <w:ind w:firstLine="0" w:firstLineChars="0" w:leftChars="0" w:left="0"/>
            </w:pPr>
            <w:r>
              <w:rPr>
                <w:rFonts w:ascii="Times New Roman" w:hAnsi="Times New Roman" w:eastAsia="宋体"/>
                <w:b w:val="0"/>
                <w:sz w:val="21"/>
              </w:rPr>
              <w:t>视觉</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前部</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0.5495</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0.6350</w:t>
            </w:r>
          </w:p>
        </w:tc>
      </w:tr>
      <w:tr>
        <w:trPr>
          <w:cantSplit/>
        </w:trPr>
        <w:tc>
          <w:tcPr>
            <w:tcW w:type="dxa" w:w="2349"/>
          </w:tcPr>
          <w:p>
            <w:pPr>
              <w:pStyle w:val="a2"/>
              <w:spacing w:before="40" w:after="40" w:line="252" w:lineRule="auto"/>
              <w:ind w:firstLine="0" w:firstLineChars="0" w:leftChars="0" w:left="0"/>
            </w:pPr>
            <w:r>
              <w:rPr>
                <w:rFonts w:ascii="Times New Roman" w:hAnsi="Times New Roman" w:eastAsia="宋体"/>
                <w:b w:val="0"/>
                <w:sz w:val="21"/>
              </w:rPr>
              <w:t>视觉</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中部</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0.5480</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0.6353</w:t>
            </w:r>
          </w:p>
        </w:tc>
      </w:tr>
      <w:tr>
        <w:trPr>
          <w:cantSplit/>
        </w:trPr>
        <w:tc>
          <w:tcPr>
            <w:tcW w:type="dxa" w:w="2349"/>
          </w:tcPr>
          <w:p>
            <w:pPr>
              <w:pStyle w:val="a2"/>
              <w:spacing w:before="40" w:after="40" w:line="252" w:lineRule="auto"/>
              <w:ind w:firstLine="0" w:firstLineChars="0" w:leftChars="0" w:left="0"/>
            </w:pPr>
            <w:r>
              <w:rPr>
                <w:rFonts w:ascii="Times New Roman" w:hAnsi="Times New Roman" w:eastAsia="宋体"/>
                <w:b w:val="0"/>
                <w:sz w:val="21"/>
              </w:rPr>
              <w:t>视觉</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后部</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0.5466</w:t>
            </w:r>
          </w:p>
        </w:tc>
        <w:tc>
          <w:tcPr>
            <w:tcW w:type="dxa" w:w="2349"/>
          </w:tcPr>
          <w:p>
            <w:pPr>
              <w:pStyle w:val="a2"/>
              <w:spacing w:before="40" w:after="40" w:line="252" w:lineRule="auto"/>
              <w:ind w:firstLine="0" w:firstLineChars="0" w:leftChars="0" w:left="0"/>
            </w:pPr>
            <w:r>
              <w:rPr>
                <w:rFonts w:ascii="Times New Roman" w:hAnsi="Times New Roman" w:eastAsia="宋体"/>
                <w:b w:val="0"/>
                <w:sz w:val="21"/>
              </w:rPr>
              <w:t>0.6323</w:t>
            </w:r>
          </w:p>
        </w:tc>
      </w:tr>
    </w:tbl>
    <w:p>
      <w:pPr>
        <w:pStyle w:val="a2"/>
        <w:widowControl/>
      </w:pPr>
      <w:r>
        <w:t>文本后部30%遮挡的Macro-F1为0.5283，低于前部0.5335和中部0.5372，但其MAE并非最大。视觉三种位置差异也较小。由此不能给出“中部一定最重要”或“后部一定最危险”的普遍规律；应分别报告分类、回归和样本层面的变化。当前位置实验以存储内容序列定位，不代表等长秒级区间。</w:t>
      </w:r>
    </w:p>
    <w:p>
      <w:pPr>
        <w:pStyle w:val="30"/>
        <w:ind w:firstLine="0" w:firstLineChars="0" w:leftChars="0" w:left="142"/>
      </w:pPr>
      <w:r>
        <w:t>6.4.3 不同缺失时长与缺失率的影响</w:t>
      </w:r>
    </w:p>
    <w:p>
      <w:pPr>
        <w:pStyle w:val="a2"/>
        <w:widowControl/>
      </w:pPr>
      <w:r>
        <w:t>比例实验在10%、30%、50%三个水平进行，区间宽度由式（3-2）计算。由于样本长度不同，相同比例对应不同的绝对位置数；原始不可用位置也会使实际移除观测数不同。结果材料另存每样本的目标预算、实际删除数及原可用数，避免将同一比例视为相同信息损失。</w:t>
      </w:r>
    </w:p>
    <w:p>
      <w:pPr>
        <w:pStyle w:val="a2"/>
        <w:keepNext/>
        <w:widowControl/>
        <w:ind w:firstLine="0" w:firstLineChars="0" w:leftChars="0"/>
        <w:jc w:val="center"/>
      </w:pPr>
      <w:r>
        <w:drawing>
          <wp:inline xmlns:a="http://schemas.openxmlformats.org/drawingml/2006/main" xmlns:pic="http://schemas.openxmlformats.org/drawingml/2006/picture">
            <wp:extent cx="5580000" cy="1992857"/>
            <wp:docPr id="1324739093" name="Picture 1324739093"/>
            <wp:cNvGraphicFramePr>
              <a:graphicFrameLocks noChangeAspect="1"/>
            </wp:cNvGraphicFramePr>
            <a:graphic>
              <a:graphicData uri="http://schemas.openxmlformats.org/drawingml/2006/picture">
                <pic:pic>
                  <pic:nvPicPr>
                    <pic:cNvPr id="0" name="04_缺失曲线.png"/>
                    <pic:cNvPicPr/>
                  </pic:nvPicPr>
                  <pic:blipFill>
                    <a:blip r:embed="rId29"/>
                    <a:stretch>
                      <a:fillRect/>
                    </a:stretch>
                  </pic:blipFill>
                  <pic:spPr>
                    <a:xfrm>
                      <a:off x="0" y="0"/>
                      <a:ext cx="5580000" cy="1992857"/>
                    </a:xfrm>
                    <a:prstGeom prst="rect"/>
                  </pic:spPr>
                </pic:pic>
              </a:graphicData>
            </a:graphic>
          </wp:inline>
        </w:drawing>
      </w:r>
    </w:p>
    <w:p>
      <w:pPr>
        <w:pStyle w:val="a"/>
        <w:ind w:firstLine="0" w:firstLineChars="0" w:leftChars="0"/>
        <w:numPr>
          <w:numId w:val="0"/>
        </w:numPr>
      </w:pPr>
      <w:r>
        <w:rPr>
          <w:rFonts w:ascii="Times New Roman" w:hAnsi="Times New Roman" w:eastAsia="宋体"/>
          <w:b/>
          <w:sz w:val="21"/>
        </w:rPr>
        <w:t>图6 连续缺失比例与分类表现：三种子均值及标准差</w:t>
      </w:r>
    </w:p>
    <w:p>
      <w:pPr>
        <w:pStyle w:val="a2"/>
        <w:keepNext/>
        <w:widowControl/>
        <w:ind w:firstLine="0" w:firstLineChars="0" w:leftChars="0"/>
        <w:jc w:val="center"/>
      </w:pPr>
      <w:r>
        <w:drawing>
          <wp:inline xmlns:a="http://schemas.openxmlformats.org/drawingml/2006/main" xmlns:pic="http://schemas.openxmlformats.org/drawingml/2006/picture">
            <wp:extent cx="5580000" cy="1992857"/>
            <wp:docPr id="1324739094" name="Picture 1324739094"/>
            <wp:cNvGraphicFramePr>
              <a:graphicFrameLocks noChangeAspect="1"/>
            </wp:cNvGraphicFramePr>
            <a:graphic>
              <a:graphicData uri="http://schemas.openxmlformats.org/drawingml/2006/picture">
                <pic:pic>
                  <pic:nvPicPr>
                    <pic:cNvPr id="0" name="05_缺失曲线.png"/>
                    <pic:cNvPicPr/>
                  </pic:nvPicPr>
                  <pic:blipFill>
                    <a:blip r:embed="rId30"/>
                    <a:stretch>
                      <a:fillRect/>
                    </a:stretch>
                  </pic:blipFill>
                  <pic:spPr>
                    <a:xfrm>
                      <a:off x="0" y="0"/>
                      <a:ext cx="5580000" cy="1992857"/>
                    </a:xfrm>
                    <a:prstGeom prst="rect"/>
                  </pic:spPr>
                </pic:pic>
              </a:graphicData>
            </a:graphic>
          </wp:inline>
        </w:drawing>
      </w:r>
    </w:p>
    <w:p>
      <w:pPr>
        <w:pStyle w:val="a"/>
        <w:ind w:firstLine="0" w:firstLineChars="0" w:leftChars="0"/>
        <w:numPr>
          <w:numId w:val="0"/>
        </w:numPr>
      </w:pPr>
      <w:r>
        <w:rPr>
          <w:rFonts w:ascii="Times New Roman" w:hAnsi="Times New Roman" w:eastAsia="宋体"/>
          <w:b/>
          <w:sz w:val="21"/>
        </w:rPr>
        <w:t>图7 连续缺失比例与回归误差：三种子均值及标准差</w:t>
      </w:r>
    </w:p>
    <w:p>
      <w:pPr>
        <w:pStyle w:val="a0"/>
        <w:ind w:firstLine="0" w:firstLineChars="0" w:leftChars="0"/>
        <w:keepNext/>
        <w:numPr>
          <w:numId w:val="0"/>
        </w:numPr>
      </w:pPr>
      <w:r>
        <w:rPr>
          <w:rFonts w:ascii="Times New Roman" w:hAnsi="Times New Roman" w:eastAsia="宋体"/>
          <w:b/>
          <w:sz w:val="21"/>
        </w:rPr>
        <w:t>表15 EMT-DLFR集成：补充复杂缺失条件</w:t>
      </w:r>
    </w:p>
    <w:tbl>
      <w:tblPr>
        <w:tblW w:type="auto" w:w="0"/>
        <w:jc w:val="center"/>
        <w:tblLayout w:type="autofit"/>
        <w:tblLook w:firstColumn="1" w:firstRow="1" w:lastColumn="0" w:lastRow="0" w:noHBand="0" w:noVBand="1" w:val="04A0"/>
        <w:tblBorders>
          <w:top w:val="single" w:sz="10" w:color="000000"/>
          <w:left w:val="nil" w:sz="10" w:color="000000"/>
          <w:bottom w:val="single" w:sz="10" w:color="000000"/>
          <w:right w:val="nil" w:sz="10" w:color="000000"/>
          <w:insideH w:val="nil" w:sz="10" w:color="000000"/>
          <w:insideV w:val="nil" w:sz="10" w:color="000000"/>
        </w:tblBorders>
      </w:tblPr>
      <w:tblGrid>
        <w:gridCol w:w="3133"/>
        <w:gridCol w:w="3133"/>
        <w:gridCol w:w="3133"/>
      </w:tblGrid>
      <w:tr>
        <w:trPr>
          <w:cantSplit/>
          <w:tblHeader/>
        </w:trPr>
        <w:tc>
          <w:tcPr>
            <w:tcW w:type="dxa" w:w="3133"/>
            <w:tcBorders>
              <w:bottom w:val="single" w:sz="6"/>
            </w:tcBorders>
          </w:tcPr>
          <w:p>
            <w:pPr>
              <w:pStyle w:val="a2"/>
              <w:spacing w:before="40" w:after="40" w:line="252" w:lineRule="auto"/>
              <w:ind w:firstLine="0" w:firstLineChars="0" w:leftChars="0" w:left="0"/>
            </w:pPr>
            <w:r>
              <w:rPr>
                <w:rFonts w:ascii="Times New Roman" w:hAnsi="Times New Roman" w:eastAsia="宋体"/>
                <w:b/>
                <w:sz w:val="21"/>
              </w:rPr>
              <w:t>条件</w:t>
            </w:r>
          </w:p>
        </w:tc>
        <w:tc>
          <w:tcPr>
            <w:tcW w:type="dxa" w:w="3133"/>
            <w:tcBorders>
              <w:bottom w:val="single" w:sz="6"/>
            </w:tcBorders>
          </w:tcPr>
          <w:p>
            <w:pPr>
              <w:pStyle w:val="a2"/>
              <w:spacing w:before="40" w:after="40" w:line="252" w:lineRule="auto"/>
              <w:ind w:firstLine="0" w:firstLineChars="0" w:leftChars="0" w:left="0"/>
            </w:pPr>
            <w:r>
              <w:rPr>
                <w:rFonts w:ascii="Times New Roman" w:hAnsi="Times New Roman" w:eastAsia="宋体"/>
                <w:b/>
                <w:sz w:val="21"/>
              </w:rPr>
              <w:t>Macro-F1</w:t>
            </w:r>
          </w:p>
        </w:tc>
        <w:tc>
          <w:tcPr>
            <w:tcW w:type="dxa" w:w="3133"/>
            <w:tcBorders>
              <w:bottom w:val="single" w:sz="6"/>
            </w:tcBorders>
          </w:tcPr>
          <w:p>
            <w:pPr>
              <w:pStyle w:val="a2"/>
              <w:spacing w:before="40" w:after="40" w:line="252" w:lineRule="auto"/>
              <w:ind w:firstLine="0" w:firstLineChars="0" w:leftChars="0" w:left="0"/>
            </w:pPr>
            <w:r>
              <w:rPr>
                <w:rFonts w:ascii="Times New Roman" w:hAnsi="Times New Roman" w:eastAsia="宋体"/>
                <w:b/>
                <w:sz w:val="21"/>
              </w:rPr>
              <w:t>MAE</w:t>
            </w:r>
          </w:p>
        </w:tc>
      </w:tr>
      <w:tr>
        <w:trPr>
          <w:cantSplit/>
        </w:trPr>
        <w:tc>
          <w:tcPr>
            <w:tcW w:type="dxa" w:w="3133"/>
          </w:tcPr>
          <w:p>
            <w:pPr>
              <w:pStyle w:val="a2"/>
              <w:spacing w:before="40" w:after="40" w:line="252" w:lineRule="auto"/>
              <w:ind w:firstLine="0" w:firstLineChars="0" w:leftChars="0" w:left="0"/>
            </w:pPr>
            <w:r>
              <w:rPr>
                <w:rFonts w:ascii="Times New Roman" w:hAnsi="Times New Roman" w:eastAsia="宋体"/>
                <w:b w:val="0"/>
                <w:sz w:val="21"/>
              </w:rPr>
              <w:t>audio_vision_30_sync</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0.5494</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0.6356</w:t>
            </w:r>
          </w:p>
        </w:tc>
      </w:tr>
      <w:tr>
        <w:trPr>
          <w:cantSplit/>
        </w:trPr>
        <w:tc>
          <w:tcPr>
            <w:tcW w:type="dxa" w:w="3133"/>
          </w:tcPr>
          <w:p>
            <w:pPr>
              <w:pStyle w:val="a2"/>
              <w:spacing w:before="40" w:after="40" w:line="252" w:lineRule="auto"/>
              <w:ind w:firstLine="0" w:firstLineChars="0" w:leftChars="0" w:left="0"/>
            </w:pPr>
            <w:r>
              <w:rPr>
                <w:rFonts w:ascii="Times New Roman" w:hAnsi="Times New Roman" w:eastAsia="宋体"/>
                <w:b w:val="0"/>
                <w:sz w:val="21"/>
              </w:rPr>
              <w:t>text_audio_30_sync</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0.5336</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0.6604</w:t>
            </w:r>
          </w:p>
        </w:tc>
      </w:tr>
      <w:tr>
        <w:trPr>
          <w:cantSplit/>
        </w:trPr>
        <w:tc>
          <w:tcPr>
            <w:tcW w:type="dxa" w:w="3133"/>
          </w:tcPr>
          <w:p>
            <w:pPr>
              <w:pStyle w:val="a2"/>
              <w:spacing w:before="40" w:after="40" w:line="252" w:lineRule="auto"/>
              <w:ind w:firstLine="0" w:firstLineChars="0" w:leftChars="0" w:left="0"/>
            </w:pPr>
            <w:r>
              <w:rPr>
                <w:rFonts w:ascii="Times New Roman" w:hAnsi="Times New Roman" w:eastAsia="宋体"/>
                <w:b w:val="0"/>
                <w:sz w:val="21"/>
              </w:rPr>
              <w:t>audio_vision_30_offset</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0.5441</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0.6324</w:t>
            </w:r>
          </w:p>
        </w:tc>
      </w:tr>
      <w:tr>
        <w:trPr>
          <w:cantSplit/>
        </w:trPr>
        <w:tc>
          <w:tcPr>
            <w:tcW w:type="dxa" w:w="3133"/>
          </w:tcPr>
          <w:p>
            <w:pPr>
              <w:pStyle w:val="a2"/>
              <w:spacing w:before="40" w:after="40" w:line="252" w:lineRule="auto"/>
              <w:ind w:firstLine="0" w:firstLineChars="0" w:leftChars="0" w:left="0"/>
            </w:pPr>
            <w:r>
              <w:rPr>
                <w:rFonts w:ascii="Times New Roman" w:hAnsi="Times New Roman" w:eastAsia="宋体"/>
                <w:b w:val="0"/>
                <w:sz w:val="21"/>
              </w:rPr>
              <w:t>audio_30_two_blocks</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0.5651</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0.6307</w:t>
            </w:r>
          </w:p>
        </w:tc>
      </w:tr>
    </w:tbl>
    <w:p>
      <w:pPr>
        <w:pStyle w:val="a2"/>
        <w:widowControl/>
      </w:pPr>
      <w:r>
        <w:t>补充条件包括音视频同步、文本音频同步、音视频错位及音频双块遮挡。双块与单块的内容位置总预算保持一致，用以区分遮挡总量和分布形态。当前条件覆盖仍有限，不外推为对所有三模态联合缺失模式均已验证鲁棒。</w:t>
      </w:r>
    </w:p>
    <w:p>
      <w:pPr>
        <w:pStyle w:val="30"/>
        <w:ind w:firstLine="0" w:firstLineChars="0" w:leftChars="0" w:left="142"/>
      </w:pPr>
      <w:r>
        <w:t>6.4.4 绝对性能与相对退化应分别比较</w:t>
      </w:r>
    </w:p>
    <w:p>
      <w:pPr>
        <w:pStyle w:val="a0"/>
        <w:ind w:firstLine="0" w:firstLineChars="0" w:leftChars="0"/>
        <w:keepNext/>
        <w:numPr>
          <w:numId w:val="0"/>
        </w:numPr>
      </w:pPr>
      <w:r>
        <w:rPr>
          <w:rFonts w:ascii="Times New Roman" w:hAnsi="Times New Roman" w:eastAsia="宋体"/>
          <w:b/>
          <w:sz w:val="21"/>
        </w:rPr>
        <w:t>表16 文本50%连续遮挡的绝对结果与相对clean变化（前中后平均）</w:t>
      </w:r>
    </w:p>
    <w:tbl>
      <w:tblPr>
        <w:tblW w:type="auto" w:w="0"/>
        <w:jc w:val="center"/>
        <w:tblLayout w:type="autofit"/>
        <w:tblLook w:firstColumn="1" w:firstRow="1" w:lastColumn="0" w:lastRow="0" w:noHBand="0" w:noVBand="1" w:val="04A0"/>
        <w:tblBorders>
          <w:top w:val="single" w:sz="10" w:color="000000"/>
          <w:left w:val="nil" w:sz="10" w:color="000000"/>
          <w:bottom w:val="single" w:sz="10" w:color="000000"/>
          <w:right w:val="nil" w:sz="10" w:color="000000"/>
          <w:insideH w:val="nil" w:sz="10" w:color="000000"/>
          <w:insideV w:val="nil" w:sz="10" w:color="000000"/>
        </w:tblBorders>
      </w:tblPr>
      <w:tblGrid>
        <w:gridCol w:w="1566"/>
        <w:gridCol w:w="1566"/>
        <w:gridCol w:w="1566"/>
        <w:gridCol w:w="1566"/>
        <w:gridCol w:w="1566"/>
        <w:gridCol w:w="1566"/>
      </w:tblGrid>
      <w:tr>
        <w:trPr>
          <w:cantSplit/>
          <w:tblHeader/>
        </w:trPr>
        <w:tc>
          <w:tcPr>
            <w:tcW w:type="dxa" w:w="1566"/>
            <w:tcBorders>
              <w:bottom w:val="single" w:sz="6"/>
            </w:tcBorders>
          </w:tcPr>
          <w:p>
            <w:pPr>
              <w:pStyle w:val="a2"/>
              <w:spacing w:before="40" w:after="40" w:line="252" w:lineRule="auto"/>
              <w:ind w:firstLine="0" w:firstLineChars="0" w:leftChars="0" w:left="0"/>
            </w:pPr>
            <w:r>
              <w:rPr>
                <w:rFonts w:ascii="Times New Roman" w:hAnsi="Times New Roman" w:eastAsia="宋体"/>
                <w:b/>
                <w:sz w:val="19"/>
              </w:rPr>
              <w:t>模型</w:t>
            </w:r>
          </w:p>
        </w:tc>
        <w:tc>
          <w:tcPr>
            <w:tcW w:type="dxa" w:w="1566"/>
            <w:tcBorders>
              <w:bottom w:val="single" w:sz="6"/>
            </w:tcBorders>
          </w:tcPr>
          <w:p>
            <w:pPr>
              <w:pStyle w:val="a2"/>
              <w:spacing w:before="40" w:after="40" w:line="252" w:lineRule="auto"/>
              <w:ind w:firstLine="0" w:firstLineChars="0" w:leftChars="0" w:left="0"/>
            </w:pPr>
            <w:r>
              <w:rPr>
                <w:rFonts w:ascii="Times New Roman" w:hAnsi="Times New Roman" w:eastAsia="宋体"/>
                <w:b/>
                <w:sz w:val="19"/>
              </w:rPr>
              <w:t>clean F1</w:t>
            </w:r>
          </w:p>
        </w:tc>
        <w:tc>
          <w:tcPr>
            <w:tcW w:type="dxa" w:w="1566"/>
            <w:tcBorders>
              <w:bottom w:val="single" w:sz="6"/>
            </w:tcBorders>
          </w:tcPr>
          <w:p>
            <w:pPr>
              <w:pStyle w:val="a2"/>
              <w:spacing w:before="40" w:after="40" w:line="252" w:lineRule="auto"/>
              <w:ind w:firstLine="0" w:firstLineChars="0" w:leftChars="0" w:left="0"/>
            </w:pPr>
            <w:r>
              <w:rPr>
                <w:rFonts w:ascii="Times New Roman" w:hAnsi="Times New Roman" w:eastAsia="宋体"/>
                <w:b/>
                <w:sz w:val="19"/>
              </w:rPr>
              <w:t>遮挡F1</w:t>
            </w:r>
          </w:p>
        </w:tc>
        <w:tc>
          <w:tcPr>
            <w:tcW w:type="dxa" w:w="1566"/>
            <w:tcBorders>
              <w:bottom w:val="single" w:sz="6"/>
            </w:tcBorders>
          </w:tcPr>
          <w:p>
            <w:pPr>
              <w:pStyle w:val="a2"/>
              <w:spacing w:before="40" w:after="40" w:line="252" w:lineRule="auto"/>
              <w:ind w:firstLine="0" w:firstLineChars="0" w:leftChars="0" w:left="0"/>
            </w:pPr>
            <w:r>
              <w:rPr>
                <w:rFonts w:ascii="Times New Roman" w:hAnsi="Times New Roman" w:eastAsia="宋体"/>
                <w:b/>
                <w:sz w:val="19"/>
              </w:rPr>
              <w:t>ΔF1</w:t>
            </w:r>
          </w:p>
        </w:tc>
        <w:tc>
          <w:tcPr>
            <w:tcW w:type="dxa" w:w="1566"/>
            <w:tcBorders>
              <w:bottom w:val="single" w:sz="6"/>
            </w:tcBorders>
          </w:tcPr>
          <w:p>
            <w:pPr>
              <w:pStyle w:val="a2"/>
              <w:spacing w:before="40" w:after="40" w:line="252" w:lineRule="auto"/>
              <w:ind w:firstLine="0" w:firstLineChars="0" w:leftChars="0" w:left="0"/>
            </w:pPr>
            <w:r>
              <w:rPr>
                <w:rFonts w:ascii="Times New Roman" w:hAnsi="Times New Roman" w:eastAsia="宋体"/>
                <w:b/>
                <w:sz w:val="19"/>
              </w:rPr>
              <w:t>遮挡MAE</w:t>
            </w:r>
          </w:p>
        </w:tc>
        <w:tc>
          <w:tcPr>
            <w:tcW w:type="dxa" w:w="1566"/>
            <w:tcBorders>
              <w:bottom w:val="single" w:sz="6"/>
            </w:tcBorders>
          </w:tcPr>
          <w:p>
            <w:pPr>
              <w:pStyle w:val="a2"/>
              <w:spacing w:before="40" w:after="40" w:line="252" w:lineRule="auto"/>
              <w:ind w:firstLine="0" w:firstLineChars="0" w:leftChars="0" w:left="0"/>
            </w:pPr>
            <w:r>
              <w:rPr>
                <w:rFonts w:ascii="Times New Roman" w:hAnsi="Times New Roman" w:eastAsia="宋体"/>
                <w:b/>
                <w:sz w:val="19"/>
              </w:rPr>
              <w:t>ΔMAE</w:t>
            </w:r>
          </w:p>
        </w:tc>
      </w:tr>
      <w:tr>
        <w:trPr>
          <w:cantSplit/>
        </w:trPr>
        <w:tc>
          <w:tcPr>
            <w:tcW w:type="dxa" w:w="1566"/>
          </w:tcPr>
          <w:p>
            <w:pPr>
              <w:pStyle w:val="a2"/>
              <w:spacing w:before="40" w:after="40" w:line="252" w:lineRule="auto"/>
              <w:ind w:firstLine="0" w:firstLineChars="0" w:leftChars="0" w:left="0"/>
            </w:pPr>
            <w:r>
              <w:rPr>
                <w:rFonts w:ascii="Times New Roman" w:hAnsi="Times New Roman" w:eastAsia="宋体"/>
                <w:b w:val="0"/>
                <w:sz w:val="19"/>
              </w:rPr>
              <w:t>MLP融合</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0.5403</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0.5171</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-0.0232</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0.7003</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+0.0415</w:t>
            </w:r>
          </w:p>
        </w:tc>
      </w:tr>
      <w:tr>
        <w:trPr>
          <w:cantSplit/>
        </w:trPr>
        <w:tc>
          <w:tcPr>
            <w:tcW w:type="dxa" w:w="1566"/>
          </w:tcPr>
          <w:p>
            <w:pPr>
              <w:pStyle w:val="a2"/>
              <w:spacing w:before="40" w:after="40" w:line="252" w:lineRule="auto"/>
              <w:ind w:firstLine="0" w:firstLineChars="0" w:leftChars="0" w:left="0"/>
            </w:pPr>
            <w:r>
              <w:rPr>
                <w:rFonts w:ascii="Times New Roman" w:hAnsi="Times New Roman" w:eastAsia="宋体"/>
                <w:b w:val="0"/>
                <w:sz w:val="19"/>
              </w:rPr>
              <w:t>观测状态递推</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0.5305</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0.4967</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-0.0338</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0.7228</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+0.0688</w:t>
            </w:r>
          </w:p>
        </w:tc>
      </w:tr>
      <w:tr>
        <w:trPr>
          <w:cantSplit/>
        </w:trPr>
        <w:tc>
          <w:tcPr>
            <w:tcW w:type="dxa" w:w="1566"/>
          </w:tcPr>
          <w:p>
            <w:pPr>
              <w:pStyle w:val="a2"/>
              <w:spacing w:before="40" w:after="40" w:line="252" w:lineRule="auto"/>
              <w:ind w:firstLine="0" w:firstLineChars="0" w:leftChars="0" w:left="0"/>
            </w:pPr>
            <w:r>
              <w:rPr>
                <w:rFonts w:ascii="Times New Roman" w:hAnsi="Times New Roman" w:eastAsia="宋体"/>
                <w:b w:val="0"/>
                <w:sz w:val="19"/>
              </w:rPr>
              <w:t>MulT适配版</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0.5375</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0.5107</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-0.0269</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0.6929</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+0.0276</w:t>
            </w:r>
          </w:p>
        </w:tc>
      </w:tr>
      <w:tr>
        <w:trPr>
          <w:cantSplit/>
        </w:trPr>
        <w:tc>
          <w:tcPr>
            <w:tcW w:type="dxa" w:w="1566"/>
          </w:tcPr>
          <w:p>
            <w:pPr>
              <w:pStyle w:val="a2"/>
              <w:spacing w:before="40" w:after="40" w:line="252" w:lineRule="auto"/>
              <w:ind w:firstLine="0" w:firstLineChars="0" w:leftChars="0" w:left="0"/>
            </w:pPr>
            <w:r>
              <w:rPr>
                <w:rFonts w:ascii="Times New Roman" w:hAnsi="Times New Roman" w:eastAsia="宋体"/>
                <w:b w:val="0"/>
                <w:sz w:val="19"/>
              </w:rPr>
              <w:t>EMT-DLFR适配版</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0.5548</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0.5140</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-0.0408</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0.6803</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+0.0455</w:t>
            </w:r>
          </w:p>
        </w:tc>
      </w:tr>
      <w:tr>
        <w:trPr>
          <w:cantSplit/>
        </w:trPr>
        <w:tc>
          <w:tcPr>
            <w:tcW w:type="dxa" w:w="1566"/>
          </w:tcPr>
          <w:p>
            <w:pPr>
              <w:pStyle w:val="a2"/>
              <w:spacing w:before="40" w:after="40" w:line="252" w:lineRule="auto"/>
              <w:ind w:firstLine="0" w:firstLineChars="0" w:leftChars="0" w:left="0"/>
            </w:pPr>
            <w:r>
              <w:rPr>
                <w:rFonts w:ascii="Times New Roman" w:hAnsi="Times New Roman" w:eastAsia="宋体"/>
                <w:b w:val="0"/>
                <w:sz w:val="19"/>
              </w:rPr>
              <w:t>EMT去恢复约束</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0.5628</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0.4852</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-0.0776</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0.6850</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+0.0532</w:t>
            </w:r>
          </w:p>
        </w:tc>
      </w:tr>
    </w:tbl>
    <w:p>
      <w:pPr>
        <w:pStyle w:val="a2"/>
        <w:widowControl/>
      </w:pPr>
      <w:r>
        <w:t>EMT在clean上的F1高于MLP，但文本50%遮挡时，其F1为0.5140，略低于MLP的0.5171；相对自身clean的下降为0.0408，也大于MLP的0.0232。另一方面，EMT在该条件下MAE为0.6803，仍低于MLP的0.7003。这说明“鲁棒”必须指明任务与口径：当前数据支持较低的强度误差，不支持在强文本缺失下分类结果与相对退化都最优。</w:t>
      </w:r>
    </w:p>
    <w:p>
      <w:pPr>
        <w:pStyle w:val="a2"/>
        <w:widowControl/>
      </w:pPr>
      <w:r>
        <w:t>去恢复EMT的clean F1最高，但文本50%遮挡平均F1降到0.4852，完整EMT为0.5140，差0.0288。这个事后分条件分析提示恢复约束可能更有利于较强文本缺失，与其在clean和四条件集成上未占优并不矛盾。但没有为该差值单独计算配对区间，也没有独立重复数据，因此它属于有条件的探索性证据，不能推翻前述总体不稳定结论。</w:t>
      </w:r>
    </w:p>
    <w:p>
      <w:pPr>
        <w:pStyle w:val="a2"/>
        <w:keepNext/>
        <w:widowControl/>
        <w:ind w:firstLine="0" w:firstLineChars="0" w:leftChars="0"/>
        <w:jc w:val="center"/>
      </w:pPr>
      <w:r>
        <w:drawing>
          <wp:inline xmlns:a="http://schemas.openxmlformats.org/drawingml/2006/main" xmlns:pic="http://schemas.openxmlformats.org/drawingml/2006/picture">
            <wp:extent cx="5580000" cy="2078824"/>
            <wp:docPr id="1324739095" name="Picture 1324739095"/>
            <wp:cNvGraphicFramePr>
              <a:graphicFrameLocks noChangeAspect="1"/>
            </wp:cNvGraphicFramePr>
            <a:graphic>
              <a:graphicData uri="http://schemas.openxmlformats.org/drawingml/2006/picture">
                <pic:pic>
                  <pic:nvPicPr>
                    <pic:cNvPr id="0" name="文本缺失_绝对表现与退化.png"/>
                    <pic:cNvPicPr/>
                  </pic:nvPicPr>
                  <pic:blipFill>
                    <a:blip r:embed="rId31"/>
                    <a:stretch>
                      <a:fillRect/>
                    </a:stretch>
                  </pic:blipFill>
                  <pic:spPr>
                    <a:xfrm>
                      <a:off x="0" y="0"/>
                      <a:ext cx="5580000" cy="2078824"/>
                    </a:xfrm>
                    <a:prstGeom prst="rect"/>
                  </pic:spPr>
                </pic:pic>
              </a:graphicData>
            </a:graphic>
          </wp:inline>
        </w:drawing>
      </w:r>
    </w:p>
    <w:p>
      <w:pPr>
        <w:pStyle w:val="a"/>
        <w:ind w:firstLine="0" w:firstLineChars="0" w:leftChars="0"/>
        <w:numPr>
          <w:numId w:val="0"/>
        </w:numPr>
      </w:pPr>
      <w:r>
        <w:rPr>
          <w:rFonts w:ascii="Times New Roman" w:hAnsi="Times New Roman" w:eastAsia="宋体"/>
          <w:b/>
          <w:sz w:val="21"/>
        </w:rPr>
        <w:t>图8 新增文本缺失下的绝对表现与相对clean退化（冻结三种子集成；位置平均）</w:t>
      </w:r>
    </w:p>
    <w:p>
      <w:pPr>
        <w:pStyle w:val="a2"/>
        <w:widowControl/>
      </w:pPr>
      <w:r>
        <w:t>27个单模态条件的等权集成F1均值为：MLP 0.5394、状态递推0.5288、MulT 0.5313、EMT 0.5457、去恢复EMT 0.5444。这是本轮固定实验网格的描述平均，并不是对未知故障分布的期望性能；若实际文本与视觉故障概率不同，综合排序可能变化。该统计没有用于事后替换四条件选模规则。</w:t>
      </w:r>
    </w:p>
    <w:p>
      <w:pPr>
        <w:pStyle w:val="20"/>
        <w:ind w:firstLine="0" w:firstLineChars="0" w:leftChars="0"/>
      </w:pPr>
      <w:bookmarkStart w:id="39" w:name="_PaperHeading038"/>
      <w:r>
        <w:t>6.5 消融实验能够支持什么机制结论</w:t>
      </w:r>
      <w:bookmarkEnd w:id="39"/>
    </w:p>
    <w:p>
      <w:pPr>
        <w:pStyle w:val="a0"/>
        <w:ind w:firstLine="0" w:firstLineChars="0" w:leftChars="0"/>
        <w:keepNext/>
        <w:numPr>
          <w:numId w:val="0"/>
        </w:numPr>
      </w:pPr>
      <w:r>
        <w:rPr>
          <w:rFonts w:ascii="Times New Roman" w:hAnsi="Times New Roman" w:eastAsia="宋体"/>
          <w:b/>
          <w:sz w:val="21"/>
        </w:rPr>
        <w:t>表17 状态模型消融：固定种子17、同一四条件指标</w:t>
      </w:r>
    </w:p>
    <w:tbl>
      <w:tblPr>
        <w:tblW w:type="auto" w:w="0"/>
        <w:jc w:val="center"/>
        <w:tblLayout w:type="autofit"/>
        <w:tblLook w:firstColumn="1" w:firstRow="1" w:lastColumn="0" w:lastRow="0" w:noHBand="0" w:noVBand="1" w:val="04A0"/>
        <w:tblBorders>
          <w:top w:val="single" w:sz="10" w:color="000000"/>
          <w:left w:val="nil" w:sz="10" w:color="000000"/>
          <w:bottom w:val="single" w:sz="10" w:color="000000"/>
          <w:right w:val="nil" w:sz="10" w:color="000000"/>
          <w:insideH w:val="nil" w:sz="10" w:color="000000"/>
          <w:insideV w:val="nil" w:sz="10" w:color="000000"/>
        </w:tblBorders>
      </w:tblPr>
      <w:tblGrid>
        <w:gridCol w:w="3133"/>
        <w:gridCol w:w="3133"/>
        <w:gridCol w:w="3133"/>
      </w:tblGrid>
      <w:tr>
        <w:trPr>
          <w:cantSplit/>
          <w:tblHeader/>
        </w:trPr>
        <w:tc>
          <w:tcPr>
            <w:tcW w:type="dxa" w:w="3133"/>
            <w:tcBorders>
              <w:bottom w:val="single" w:sz="6"/>
            </w:tcBorders>
          </w:tcPr>
          <w:p>
            <w:pPr>
              <w:pStyle w:val="a2"/>
              <w:spacing w:before="40" w:after="40" w:line="252" w:lineRule="auto"/>
              <w:ind w:firstLine="0" w:firstLineChars="0" w:leftChars="0" w:left="0"/>
            </w:pPr>
            <w:r>
              <w:rPr>
                <w:rFonts w:ascii="Times New Roman" w:hAnsi="Times New Roman" w:eastAsia="宋体"/>
                <w:b/>
                <w:sz w:val="21"/>
              </w:rPr>
              <w:t>变体</w:t>
            </w:r>
          </w:p>
        </w:tc>
        <w:tc>
          <w:tcPr>
            <w:tcW w:type="dxa" w:w="3133"/>
            <w:tcBorders>
              <w:bottom w:val="single" w:sz="6"/>
            </w:tcBorders>
          </w:tcPr>
          <w:p>
            <w:pPr>
              <w:pStyle w:val="a2"/>
              <w:spacing w:before="40" w:after="40" w:line="252" w:lineRule="auto"/>
              <w:ind w:firstLine="0" w:firstLineChars="0" w:leftChars="0" w:left="0"/>
            </w:pPr>
            <w:r>
              <w:rPr>
                <w:rFonts w:ascii="Times New Roman" w:hAnsi="Times New Roman" w:eastAsia="宋体"/>
                <w:b/>
                <w:sz w:val="21"/>
              </w:rPr>
              <w:t>Macro-F1</w:t>
            </w:r>
          </w:p>
        </w:tc>
        <w:tc>
          <w:tcPr>
            <w:tcW w:type="dxa" w:w="3133"/>
            <w:tcBorders>
              <w:bottom w:val="single" w:sz="6"/>
            </w:tcBorders>
          </w:tcPr>
          <w:p>
            <w:pPr>
              <w:pStyle w:val="a2"/>
              <w:spacing w:before="40" w:after="40" w:line="252" w:lineRule="auto"/>
              <w:ind w:firstLine="0" w:firstLineChars="0" w:leftChars="0" w:left="0"/>
            </w:pPr>
            <w:r>
              <w:rPr>
                <w:rFonts w:ascii="Times New Roman" w:hAnsi="Times New Roman" w:eastAsia="宋体"/>
                <w:b/>
                <w:sz w:val="21"/>
              </w:rPr>
              <w:t>MAE</w:t>
            </w:r>
          </w:p>
        </w:tc>
      </w:tr>
      <w:tr>
        <w:trPr>
          <w:cantSplit/>
        </w:trPr>
        <w:tc>
          <w:tcPr>
            <w:tcW w:type="dxa" w:w="3133"/>
          </w:tcPr>
          <w:p>
            <w:pPr>
              <w:pStyle w:val="a2"/>
              <w:spacing w:before="40" w:after="40" w:line="252" w:lineRule="auto"/>
              <w:ind w:firstLine="0" w:firstLineChars="0" w:leftChars="0" w:left="0"/>
            </w:pPr>
            <w:r>
              <w:rPr>
                <w:rFonts w:ascii="Times New Roman" w:hAnsi="Times New Roman" w:eastAsia="宋体"/>
                <w:b w:val="0"/>
                <w:sz w:val="21"/>
              </w:rPr>
              <w:t>完整状态模型</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0.5352</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0.6651</w:t>
            </w:r>
          </w:p>
        </w:tc>
      </w:tr>
      <w:tr>
        <w:trPr>
          <w:cantSplit/>
        </w:trPr>
        <w:tc>
          <w:tcPr>
            <w:tcW w:type="dxa" w:w="3133"/>
          </w:tcPr>
          <w:p>
            <w:pPr>
              <w:pStyle w:val="a2"/>
              <w:spacing w:before="40" w:after="40" w:line="252" w:lineRule="auto"/>
              <w:ind w:firstLine="0" w:firstLineChars="0" w:leftChars="0" w:left="0"/>
            </w:pPr>
            <w:r>
              <w:rPr>
                <w:rFonts w:ascii="Times New Roman" w:hAnsi="Times New Roman" w:eastAsia="宋体"/>
                <w:b w:val="0"/>
                <w:sz w:val="21"/>
              </w:rPr>
              <w:t>去缺失增强</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0.5286</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0.6717</w:t>
            </w:r>
          </w:p>
        </w:tc>
      </w:tr>
      <w:tr>
        <w:trPr>
          <w:cantSplit/>
        </w:trPr>
        <w:tc>
          <w:tcPr>
            <w:tcW w:type="dxa" w:w="3133"/>
          </w:tcPr>
          <w:p>
            <w:pPr>
              <w:pStyle w:val="a2"/>
              <w:spacing w:before="40" w:after="40" w:line="252" w:lineRule="auto"/>
              <w:ind w:firstLine="0" w:firstLineChars="0" w:leftChars="0" w:left="0"/>
            </w:pPr>
            <w:r>
              <w:rPr>
                <w:rFonts w:ascii="Times New Roman" w:hAnsi="Times New Roman" w:eastAsia="宋体"/>
                <w:b w:val="0"/>
                <w:sz w:val="21"/>
              </w:rPr>
              <w:t>去间隔提示</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0.5329</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0.6654</w:t>
            </w:r>
          </w:p>
        </w:tc>
      </w:tr>
      <w:tr>
        <w:trPr>
          <w:cantSplit/>
        </w:trPr>
        <w:tc>
          <w:tcPr>
            <w:tcW w:type="dxa" w:w="3133"/>
          </w:tcPr>
          <w:p>
            <w:pPr>
              <w:pStyle w:val="a2"/>
              <w:spacing w:before="40" w:after="40" w:line="252" w:lineRule="auto"/>
              <w:ind w:firstLine="0" w:firstLineChars="0" w:leftChars="0" w:left="0"/>
            </w:pPr>
            <w:r>
              <w:rPr>
                <w:rFonts w:ascii="Times New Roman" w:hAnsi="Times New Roman" w:eastAsia="宋体"/>
                <w:b w:val="0"/>
                <w:sz w:val="21"/>
              </w:rPr>
              <w:t>去历史递推</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0.5373</w:t>
            </w:r>
          </w:p>
        </w:tc>
        <w:tc>
          <w:tcPr>
            <w:tcW w:type="dxa" w:w="3133"/>
          </w:tcPr>
          <w:p>
            <w:pPr>
              <w:pStyle w:val="a2"/>
              <w:spacing w:before="40" w:after="40" w:line="252" w:lineRule="auto"/>
              <w:ind w:firstLine="0" w:firstLineChars="0" w:leftChars="0" w:left="0"/>
            </w:pPr>
            <w:r>
              <w:rPr>
                <w:rFonts w:ascii="Times New Roman" w:hAnsi="Times New Roman" w:eastAsia="宋体"/>
                <w:b w:val="0"/>
                <w:sz w:val="21"/>
              </w:rPr>
              <w:t>0.6769</w:t>
            </w:r>
          </w:p>
        </w:tc>
      </w:tr>
    </w:tbl>
    <w:p>
      <w:pPr>
        <w:pStyle w:val="30"/>
        <w:ind w:firstLine="0" w:firstLineChars="0" w:leftChars="0" w:left="142"/>
      </w:pPr>
      <w:r>
        <w:t>6.5.1 连续缺失增强的作用</w:t>
      </w:r>
    </w:p>
    <w:p>
      <w:pPr>
        <w:pStyle w:val="a2"/>
        <w:widowControl/>
      </w:pPr>
      <w:r>
        <w:t>固定种子17时，状态模型加入缺失增强后四条件Macro-F1从0.5286升至0.5352，MAE从0.6717降至0.6651，提供了该候选上的正向初步证据。但三种子GRU对照中，增强版Macro-F1均值0.5285略低于无增强版0.5306，MAE则由0.6762降至0.6651。因此，增强收益依赖模型与指标，不能写成所有模型全面提升。</w:t>
      </w:r>
    </w:p>
    <w:p>
      <w:pPr>
        <w:pStyle w:val="30"/>
        <w:ind w:firstLine="0" w:firstLineChars="0" w:leftChars="0" w:left="142"/>
      </w:pPr>
      <w:r>
        <w:t>6.5.2 缺失状态信息的作用</w:t>
      </w:r>
    </w:p>
    <w:p>
      <w:pPr>
        <w:pStyle w:val="a2"/>
        <w:widowControl/>
      </w:pPr>
      <w:r>
        <w:t>去间隔提示变体仍保留可用性掩码，只移除log间隔特征。种子17下其Macro-F1为0.5329，完整状态模型为0.5352，差值较小；MAE分别为0.6654与0.6651。故该消融只检验连续间隔提示的附加作用，不能宣称已证明全部观测掩码的价值，也不能凭一个种子断言稳定提升。</w:t>
      </w:r>
    </w:p>
    <w:p>
      <w:pPr>
        <w:pStyle w:val="30"/>
        <w:ind w:firstLine="0" w:firstLineChars="0" w:leftChars="0" w:left="142"/>
      </w:pPr>
      <w:r>
        <w:t>6.5.3 时序状态递推的作用</w:t>
      </w:r>
    </w:p>
    <w:p>
      <w:pPr>
        <w:pStyle w:val="a2"/>
        <w:widowControl/>
      </w:pPr>
      <w:r>
        <w:t>去历史递推后Macro-F1为0.5373，略高于完整状态模型0.5352，但MAE升至0.6769。该结果提示历史状态对连续强度估计可能更有帮助，而分类提升并不成立。不同预测目标的最优结构可能不同，本文据此保留状态递推作为有解释的候选方案，而不将机制直觉当作实验证明。</w:t>
      </w:r>
    </w:p>
    <w:p>
      <w:pPr>
        <w:pStyle w:val="30"/>
        <w:ind w:firstLine="0" w:firstLineChars="0" w:leftChars="0" w:left="142"/>
      </w:pPr>
      <w:r>
        <w:t>6.5.4 论文模型两级恢复约束的补充消融</w:t>
      </w:r>
    </w:p>
    <w:p>
      <w:pPr>
        <w:pStyle w:val="a2"/>
        <w:widowControl/>
      </w:pPr>
      <w:r>
        <w:t>EMT-DLFR与去恢复变体均完成三个种子，后者仍保留完整/缺失视图两支预测监督。四条件单次训练Macro-F1均值分别为0.5412和0.5382，MAE分别为0.6584和0.6586；但先集成预测后的四条件Macro-F1分别为0.5483和0.5529。恢复机制在不同统计口径下没有稳定占优，因此本轮不能把相对MLP的全部收益归因于低层重建和高层吸引。</w:t>
      </w:r>
    </w:p>
    <w:p>
      <w:pPr>
        <w:pStyle w:val="a2"/>
        <w:keepNext/>
        <w:widowControl/>
        <w:ind w:firstLine="0" w:firstLineChars="0" w:leftChars="0"/>
        <w:jc w:val="center"/>
      </w:pPr>
      <w:r>
        <w:drawing>
          <wp:inline xmlns:a="http://schemas.openxmlformats.org/drawingml/2006/main" xmlns:pic="http://schemas.openxmlformats.org/drawingml/2006/picture">
            <wp:extent cx="5580000" cy="2536364"/>
            <wp:docPr id="1324739096" name="Picture 1324739096"/>
            <wp:cNvGraphicFramePr>
              <a:graphicFrameLocks noChangeAspect="1"/>
            </wp:cNvGraphicFramePr>
            <a:graphic>
              <a:graphicData uri="http://schemas.openxmlformats.org/drawingml/2006/picture">
                <pic:pic>
                  <pic:nvPicPr>
                    <pic:cNvPr id="0" name="10_恢复消融.png"/>
                    <pic:cNvPicPr/>
                  </pic:nvPicPr>
                  <pic:blipFill>
                    <a:blip r:embed="rId32"/>
                    <a:stretch>
                      <a:fillRect/>
                    </a:stretch>
                  </pic:blipFill>
                  <pic:spPr>
                    <a:xfrm>
                      <a:off x="0" y="0"/>
                      <a:ext cx="5580000" cy="2536364"/>
                    </a:xfrm>
                    <a:prstGeom prst="rect"/>
                  </pic:spPr>
                </pic:pic>
              </a:graphicData>
            </a:graphic>
          </wp:inline>
        </w:drawing>
      </w:r>
    </w:p>
    <w:p>
      <w:pPr>
        <w:pStyle w:val="a"/>
        <w:ind w:firstLine="0" w:firstLineChars="0" w:leftChars="0"/>
        <w:numPr>
          <w:numId w:val="0"/>
        </w:numPr>
      </w:pPr>
      <w:r>
        <w:rPr>
          <w:rFonts w:ascii="Times New Roman" w:hAnsi="Times New Roman" w:eastAsia="宋体"/>
          <w:b/>
          <w:sz w:val="21"/>
        </w:rPr>
        <w:t>图9 两级恢复约束消融：保持相同的完整/缺失视图监督</w:t>
      </w:r>
    </w:p>
    <w:p>
      <w:pPr>
        <w:pStyle w:val="a2"/>
        <w:widowControl/>
      </w:pPr>
      <w:r>
        <w:t>“去历史”变体将递推状态池化改成当前融合表示池化，改变了历史依赖及相应门控参数；它检验的是这一组时序机制，而非严格等参数量的单条连接。状态消融仅一个种子，差异较小，故现阶段适合报告方向与局限，不宜使用“显著提升”“证明必要”等措辞。</w:t>
      </w:r>
    </w:p>
    <w:p>
      <w:pPr>
        <w:pStyle w:val="a2"/>
        <w:widowControl/>
      </w:pPr>
      <w:r>
        <w:t>EMT消融的可信比较单位是保持完整/缺失双视图监督后去掉两级恢复项。其结果说明该约束在本次设置下具有条件依赖，而不是单向增强：clean及四条件集成不占优，强文本遮挡出现正向迹象。机制解释应保留这些相互补充的结果，再由独立扩展实验验证，不能只保留最有利的一列。</w:t>
      </w:r>
    </w:p>
    <w:p>
      <w:pPr>
        <w:pStyle w:val="20"/>
        <w:ind w:firstLine="0" w:firstLineChars="0" w:leftChars="0"/>
      </w:pPr>
      <w:bookmarkStart w:id="40" w:name="_PaperHeading039"/>
      <w:r>
        <w:t>6.6 错误分析：输入证据、标签边界与模型分歧</w:t>
      </w:r>
      <w:bookmarkEnd w:id="40"/>
    </w:p>
    <w:p>
      <w:pPr>
        <w:pStyle w:val="a0"/>
        <w:ind w:firstLine="0" w:firstLineChars="0" w:leftChars="0"/>
        <w:keepNext/>
        <w:numPr>
          <w:numId w:val="0"/>
        </w:numPr>
      </w:pPr>
      <w:r>
        <w:rPr>
          <w:rFonts w:ascii="Times New Roman" w:hAnsi="Times New Roman" w:eastAsia="宋体"/>
          <w:b/>
          <w:sz w:val="21"/>
        </w:rPr>
        <w:t>表18 EMT-DLFR未追加人工遮挡混淆矩阵（行真实，列预测）</w:t>
      </w:r>
    </w:p>
    <w:tbl>
      <w:tblPr>
        <w:tblW w:type="auto" w:w="0"/>
        <w:jc w:val="center"/>
        <w:tblLayout w:type="autofit"/>
        <w:tblLook w:firstColumn="1" w:firstRow="1" w:lastColumn="0" w:lastRow="0" w:noHBand="0" w:noVBand="1" w:val="04A0"/>
        <w:tblBorders>
          <w:top w:val="single" w:sz="10" w:color="000000"/>
          <w:left w:val="nil" w:sz="10" w:color="000000"/>
          <w:bottom w:val="single" w:sz="10" w:color="000000"/>
          <w:right w:val="nil" w:sz="10" w:color="000000"/>
          <w:insideH w:val="nil" w:sz="10" w:color="000000"/>
          <w:insideV w:val="nil" w:sz="10" w:color="000000"/>
        </w:tblBorders>
      </w:tblPr>
      <w:tblGrid>
        <w:gridCol w:w="1880"/>
        <w:gridCol w:w="1880"/>
        <w:gridCol w:w="1880"/>
        <w:gridCol w:w="1880"/>
        <w:gridCol w:w="1880"/>
      </w:tblGrid>
      <w:tr>
        <w:trPr>
          <w:cantSplit/>
          <w:tblHeader/>
        </w:trPr>
        <w:tc>
          <w:tcPr>
            <w:tcW w:type="dxa" w:w="1880"/>
            <w:tcBorders>
              <w:bottom w:val="single" w:sz="6"/>
            </w:tcBorders>
          </w:tcPr>
          <w:p>
            <w:pPr>
              <w:pStyle w:val="a2"/>
              <w:spacing w:before="40" w:after="40" w:line="252" w:lineRule="auto"/>
              <w:ind w:firstLine="0" w:firstLineChars="0" w:leftChars="0" w:left="0"/>
            </w:pPr>
            <w:r>
              <w:rPr>
                <w:rFonts w:ascii="Times New Roman" w:hAnsi="Times New Roman" w:eastAsia="宋体"/>
                <w:b/>
                <w:sz w:val="19"/>
              </w:rPr>
              <w:t>真实类别</w:t>
            </w:r>
          </w:p>
        </w:tc>
        <w:tc>
          <w:tcPr>
            <w:tcW w:type="dxa" w:w="1880"/>
            <w:tcBorders>
              <w:bottom w:val="single" w:sz="6"/>
            </w:tcBorders>
          </w:tcPr>
          <w:p>
            <w:pPr>
              <w:pStyle w:val="a2"/>
              <w:spacing w:before="40" w:after="40" w:line="252" w:lineRule="auto"/>
              <w:ind w:firstLine="0" w:firstLineChars="0" w:leftChars="0" w:left="0"/>
            </w:pPr>
            <w:r>
              <w:rPr>
                <w:rFonts w:ascii="Times New Roman" w:hAnsi="Times New Roman" w:eastAsia="宋体"/>
                <w:b/>
                <w:sz w:val="19"/>
              </w:rPr>
              <w:t>预测负向</w:t>
            </w:r>
          </w:p>
        </w:tc>
        <w:tc>
          <w:tcPr>
            <w:tcW w:type="dxa" w:w="1880"/>
            <w:tcBorders>
              <w:bottom w:val="single" w:sz="6"/>
            </w:tcBorders>
          </w:tcPr>
          <w:p>
            <w:pPr>
              <w:pStyle w:val="a2"/>
              <w:spacing w:before="40" w:after="40" w:line="252" w:lineRule="auto"/>
              <w:ind w:firstLine="0" w:firstLineChars="0" w:leftChars="0" w:left="0"/>
            </w:pPr>
            <w:r>
              <w:rPr>
                <w:rFonts w:ascii="Times New Roman" w:hAnsi="Times New Roman" w:eastAsia="宋体"/>
                <w:b/>
                <w:sz w:val="19"/>
              </w:rPr>
              <w:t>预测中性</w:t>
            </w:r>
          </w:p>
        </w:tc>
        <w:tc>
          <w:tcPr>
            <w:tcW w:type="dxa" w:w="1880"/>
            <w:tcBorders>
              <w:bottom w:val="single" w:sz="6"/>
            </w:tcBorders>
          </w:tcPr>
          <w:p>
            <w:pPr>
              <w:pStyle w:val="a2"/>
              <w:spacing w:before="40" w:after="40" w:line="252" w:lineRule="auto"/>
              <w:ind w:firstLine="0" w:firstLineChars="0" w:leftChars="0" w:left="0"/>
            </w:pPr>
            <w:r>
              <w:rPr>
                <w:rFonts w:ascii="Times New Roman" w:hAnsi="Times New Roman" w:eastAsia="宋体"/>
                <w:b/>
                <w:sz w:val="19"/>
              </w:rPr>
              <w:t>预测正向</w:t>
            </w:r>
          </w:p>
        </w:tc>
        <w:tc>
          <w:tcPr>
            <w:tcW w:type="dxa" w:w="1880"/>
            <w:tcBorders>
              <w:bottom w:val="single" w:sz="6"/>
            </w:tcBorders>
          </w:tcPr>
          <w:p>
            <w:pPr>
              <w:pStyle w:val="a2"/>
              <w:spacing w:before="40" w:after="40" w:line="252" w:lineRule="auto"/>
              <w:ind w:firstLine="0" w:firstLineChars="0" w:leftChars="0" w:left="0"/>
            </w:pPr>
            <w:r>
              <w:rPr>
                <w:rFonts w:ascii="Times New Roman" w:hAnsi="Times New Roman" w:eastAsia="宋体"/>
                <w:b/>
                <w:sz w:val="19"/>
              </w:rPr>
              <w:t>召回率</w:t>
            </w:r>
          </w:p>
        </w:tc>
      </w:tr>
      <w:tr>
        <w:trPr>
          <w:cantSplit/>
        </w:trPr>
        <w:tc>
          <w:tcPr>
            <w:tcW w:type="dxa" w:w="1880"/>
          </w:tcPr>
          <w:p>
            <w:pPr>
              <w:pStyle w:val="a2"/>
              <w:spacing w:before="40" w:after="40" w:line="252" w:lineRule="auto"/>
              <w:ind w:firstLine="0" w:firstLineChars="0" w:leftChars="0" w:left="0"/>
            </w:pPr>
            <w:r>
              <w:rPr>
                <w:rFonts w:ascii="Times New Roman" w:hAnsi="Times New Roman" w:eastAsia="宋体"/>
                <w:b w:val="0"/>
                <w:sz w:val="19"/>
              </w:rPr>
              <w:t>负向</w:t>
            </w:r>
          </w:p>
        </w:tc>
        <w:tc>
          <w:tcPr>
            <w:tcW w:type="dxa" w:w="1880"/>
          </w:tcPr>
          <w:p>
            <w:pPr>
              <w:pStyle w:val="a2"/>
              <w:spacing w:before="40" w:after="40" w:line="252" w:lineRule="auto"/>
              <w:ind w:firstLine="0" w:firstLineChars="0" w:leftChars="0" w:left="0"/>
            </w:pPr>
            <w:r>
              <w:rPr>
                <w:rFonts w:ascii="Times New Roman" w:hAnsi="Times New Roman" w:eastAsia="宋体"/>
                <w:b w:val="0"/>
                <w:sz w:val="19"/>
              </w:rPr>
              <w:t>115</w:t>
            </w:r>
          </w:p>
        </w:tc>
        <w:tc>
          <w:tcPr>
            <w:tcW w:type="dxa" w:w="1880"/>
          </w:tcPr>
          <w:p>
            <w:pPr>
              <w:pStyle w:val="a2"/>
              <w:spacing w:before="40" w:after="40" w:line="252" w:lineRule="auto"/>
              <w:ind w:firstLine="0" w:firstLineChars="0" w:leftChars="0" w:left="0"/>
            </w:pPr>
            <w:r>
              <w:rPr>
                <w:rFonts w:ascii="Times New Roman" w:hAnsi="Times New Roman" w:eastAsia="宋体"/>
                <w:b w:val="0"/>
                <w:sz w:val="19"/>
              </w:rPr>
              <w:t>42</w:t>
            </w:r>
          </w:p>
        </w:tc>
        <w:tc>
          <w:tcPr>
            <w:tcW w:type="dxa" w:w="1880"/>
          </w:tcPr>
          <w:p>
            <w:pPr>
              <w:pStyle w:val="a2"/>
              <w:spacing w:before="40" w:after="40" w:line="252" w:lineRule="auto"/>
              <w:ind w:firstLine="0" w:firstLineChars="0" w:leftChars="0" w:left="0"/>
            </w:pPr>
            <w:r>
              <w:rPr>
                <w:rFonts w:ascii="Times New Roman" w:hAnsi="Times New Roman" w:eastAsia="宋体"/>
                <w:b w:val="0"/>
                <w:sz w:val="19"/>
              </w:rPr>
              <w:t>49</w:t>
            </w:r>
          </w:p>
        </w:tc>
        <w:tc>
          <w:tcPr>
            <w:tcW w:type="dxa" w:w="1880"/>
          </w:tcPr>
          <w:p>
            <w:pPr>
              <w:pStyle w:val="a2"/>
              <w:spacing w:before="40" w:after="40" w:line="252" w:lineRule="auto"/>
              <w:ind w:firstLine="0" w:firstLineChars="0" w:leftChars="0" w:left="0"/>
            </w:pPr>
            <w:r>
              <w:rPr>
                <w:rFonts w:ascii="Times New Roman" w:hAnsi="Times New Roman" w:eastAsia="宋体"/>
                <w:b w:val="0"/>
                <w:sz w:val="19"/>
              </w:rPr>
              <w:t>55.83%</w:t>
            </w:r>
          </w:p>
        </w:tc>
      </w:tr>
      <w:tr>
        <w:trPr>
          <w:cantSplit/>
        </w:trPr>
        <w:tc>
          <w:tcPr>
            <w:tcW w:type="dxa" w:w="1880"/>
          </w:tcPr>
          <w:p>
            <w:pPr>
              <w:pStyle w:val="a2"/>
              <w:spacing w:before="40" w:after="40" w:line="252" w:lineRule="auto"/>
              <w:ind w:firstLine="0" w:firstLineChars="0" w:leftChars="0" w:left="0"/>
            </w:pPr>
            <w:r>
              <w:rPr>
                <w:rFonts w:ascii="Times New Roman" w:hAnsi="Times New Roman" w:eastAsia="宋体"/>
                <w:b w:val="0"/>
                <w:sz w:val="19"/>
              </w:rPr>
              <w:t>中性</w:t>
            </w:r>
          </w:p>
        </w:tc>
        <w:tc>
          <w:tcPr>
            <w:tcW w:type="dxa" w:w="1880"/>
          </w:tcPr>
          <w:p>
            <w:pPr>
              <w:pStyle w:val="a2"/>
              <w:spacing w:before="40" w:after="40" w:line="252" w:lineRule="auto"/>
              <w:ind w:firstLine="0" w:firstLineChars="0" w:leftChars="0" w:left="0"/>
            </w:pPr>
            <w:r>
              <w:rPr>
                <w:rFonts w:ascii="Times New Roman" w:hAnsi="Times New Roman" w:eastAsia="宋体"/>
                <w:b w:val="0"/>
                <w:sz w:val="19"/>
              </w:rPr>
              <w:t>34</w:t>
            </w:r>
          </w:p>
        </w:tc>
        <w:tc>
          <w:tcPr>
            <w:tcW w:type="dxa" w:w="1880"/>
          </w:tcPr>
          <w:p>
            <w:pPr>
              <w:pStyle w:val="a2"/>
              <w:spacing w:before="40" w:after="40" w:line="252" w:lineRule="auto"/>
              <w:ind w:firstLine="0" w:firstLineChars="0" w:leftChars="0" w:left="0"/>
            </w:pPr>
            <w:r>
              <w:rPr>
                <w:rFonts w:ascii="Times New Roman" w:hAnsi="Times New Roman" w:eastAsia="宋体"/>
                <w:b w:val="0"/>
                <w:sz w:val="19"/>
              </w:rPr>
              <w:t>80</w:t>
            </w:r>
          </w:p>
        </w:tc>
        <w:tc>
          <w:tcPr>
            <w:tcW w:type="dxa" w:w="1880"/>
          </w:tcPr>
          <w:p>
            <w:pPr>
              <w:pStyle w:val="a2"/>
              <w:spacing w:before="40" w:after="40" w:line="252" w:lineRule="auto"/>
              <w:ind w:firstLine="0" w:firstLineChars="0" w:leftChars="0" w:left="0"/>
            </w:pPr>
            <w:r>
              <w:rPr>
                <w:rFonts w:ascii="Times New Roman" w:hAnsi="Times New Roman" w:eastAsia="宋体"/>
                <w:b w:val="0"/>
                <w:sz w:val="19"/>
              </w:rPr>
              <w:t>70</w:t>
            </w:r>
          </w:p>
        </w:tc>
        <w:tc>
          <w:tcPr>
            <w:tcW w:type="dxa" w:w="1880"/>
          </w:tcPr>
          <w:p>
            <w:pPr>
              <w:pStyle w:val="a2"/>
              <w:spacing w:before="40" w:after="40" w:line="252" w:lineRule="auto"/>
              <w:ind w:firstLine="0" w:firstLineChars="0" w:leftChars="0" w:left="0"/>
            </w:pPr>
            <w:r>
              <w:rPr>
                <w:rFonts w:ascii="Times New Roman" w:hAnsi="Times New Roman" w:eastAsia="宋体"/>
                <w:b w:val="0"/>
                <w:sz w:val="19"/>
              </w:rPr>
              <w:t>43.48%</w:t>
            </w:r>
          </w:p>
        </w:tc>
      </w:tr>
      <w:tr>
        <w:trPr>
          <w:cantSplit/>
        </w:trPr>
        <w:tc>
          <w:tcPr>
            <w:tcW w:type="dxa" w:w="1880"/>
          </w:tcPr>
          <w:p>
            <w:pPr>
              <w:pStyle w:val="a2"/>
              <w:spacing w:before="40" w:after="40" w:line="252" w:lineRule="auto"/>
              <w:ind w:firstLine="0" w:firstLineChars="0" w:leftChars="0" w:left="0"/>
            </w:pPr>
            <w:r>
              <w:rPr>
                <w:rFonts w:ascii="Times New Roman" w:hAnsi="Times New Roman" w:eastAsia="宋体"/>
                <w:b w:val="0"/>
                <w:sz w:val="19"/>
              </w:rPr>
              <w:t>正向</w:t>
            </w:r>
          </w:p>
        </w:tc>
        <w:tc>
          <w:tcPr>
            <w:tcW w:type="dxa" w:w="1880"/>
          </w:tcPr>
          <w:p>
            <w:pPr>
              <w:pStyle w:val="a2"/>
              <w:spacing w:before="40" w:after="40" w:line="252" w:lineRule="auto"/>
              <w:ind w:firstLine="0" w:firstLineChars="0" w:leftChars="0" w:left="0"/>
            </w:pPr>
            <w:r>
              <w:rPr>
                <w:rFonts w:ascii="Times New Roman" w:hAnsi="Times New Roman" w:eastAsia="宋体"/>
                <w:b w:val="0"/>
                <w:sz w:val="19"/>
              </w:rPr>
              <w:t>51</w:t>
            </w:r>
          </w:p>
        </w:tc>
        <w:tc>
          <w:tcPr>
            <w:tcW w:type="dxa" w:w="1880"/>
          </w:tcPr>
          <w:p>
            <w:pPr>
              <w:pStyle w:val="a2"/>
              <w:spacing w:before="40" w:after="40" w:line="252" w:lineRule="auto"/>
              <w:ind w:firstLine="0" w:firstLineChars="0" w:leftChars="0" w:left="0"/>
            </w:pPr>
            <w:r>
              <w:rPr>
                <w:rFonts w:ascii="Times New Roman" w:hAnsi="Times New Roman" w:eastAsia="宋体"/>
                <w:b w:val="0"/>
                <w:sz w:val="19"/>
              </w:rPr>
              <w:t>61</w:t>
            </w:r>
          </w:p>
        </w:tc>
        <w:tc>
          <w:tcPr>
            <w:tcW w:type="dxa" w:w="1880"/>
          </w:tcPr>
          <w:p>
            <w:pPr>
              <w:pStyle w:val="a2"/>
              <w:spacing w:before="40" w:after="40" w:line="252" w:lineRule="auto"/>
              <w:ind w:firstLine="0" w:firstLineChars="0" w:leftChars="0" w:left="0"/>
            </w:pPr>
            <w:r>
              <w:rPr>
                <w:rFonts w:ascii="Times New Roman" w:hAnsi="Times New Roman" w:eastAsia="宋体"/>
                <w:b w:val="0"/>
                <w:sz w:val="19"/>
              </w:rPr>
              <w:t>226</w:t>
            </w:r>
          </w:p>
        </w:tc>
        <w:tc>
          <w:tcPr>
            <w:tcW w:type="dxa" w:w="1880"/>
          </w:tcPr>
          <w:p>
            <w:pPr>
              <w:pStyle w:val="a2"/>
              <w:spacing w:before="40" w:after="40" w:line="252" w:lineRule="auto"/>
              <w:ind w:firstLine="0" w:firstLineChars="0" w:leftChars="0" w:left="0"/>
            </w:pPr>
            <w:r>
              <w:rPr>
                <w:rFonts w:ascii="Times New Roman" w:hAnsi="Times New Roman" w:eastAsia="宋体"/>
                <w:b w:val="0"/>
                <w:sz w:val="19"/>
              </w:rPr>
              <w:t>66.86%</w:t>
            </w:r>
          </w:p>
        </w:tc>
      </w:tr>
    </w:tbl>
    <w:p>
      <w:pPr>
        <w:pStyle w:val="a2"/>
        <w:widowControl/>
      </w:pPr>
      <w:r>
        <w:t>EMT-DLFR的中性召回率为43.48%，高于MLP的29.89%，这有助于解释Macro-F1提高而Accuracy略降的现象。弱情感、中性附近边界和长文本上下文仍容易出现错误。类别头与强度头共享表示但没有强制符号一致性，相关冲突应作为诊断结果单独统计。</w:t>
      </w:r>
    </w:p>
    <w:p>
      <w:pPr>
        <w:pStyle w:val="a2"/>
        <w:keepNext/>
        <w:widowControl/>
        <w:ind w:firstLine="0" w:firstLineChars="0" w:leftChars="0"/>
        <w:jc w:val="center"/>
      </w:pPr>
      <w:r>
        <w:drawing>
          <wp:inline xmlns:a="http://schemas.openxmlformats.org/drawingml/2006/main" xmlns:pic="http://schemas.openxmlformats.org/drawingml/2006/picture">
            <wp:extent cx="5580000" cy="2146154"/>
            <wp:docPr id="1324739097" name="Picture 1324739097"/>
            <wp:cNvGraphicFramePr>
              <a:graphicFrameLocks noChangeAspect="1"/>
            </wp:cNvGraphicFramePr>
            <a:graphic>
              <a:graphicData uri="http://schemas.openxmlformats.org/drawingml/2006/picture">
                <pic:pic>
                  <pic:nvPicPr>
                    <pic:cNvPr id="0" name="07_混淆矩阵.png"/>
                    <pic:cNvPicPr/>
                  </pic:nvPicPr>
                  <pic:blipFill>
                    <a:blip r:embed="rId33"/>
                    <a:stretch>
                      <a:fillRect/>
                    </a:stretch>
                  </pic:blipFill>
                  <pic:spPr>
                    <a:xfrm>
                      <a:off x="0" y="0"/>
                      <a:ext cx="5580000" cy="2146154"/>
                    </a:xfrm>
                    <a:prstGeom prst="rect"/>
                  </pic:spPr>
                </pic:pic>
              </a:graphicData>
            </a:graphic>
          </wp:inline>
        </w:drawing>
      </w:r>
    </w:p>
    <w:p>
      <w:pPr>
        <w:pStyle w:val="a"/>
        <w:ind w:firstLine="0" w:firstLineChars="0" w:leftChars="0"/>
        <w:numPr>
          <w:numId w:val="0"/>
        </w:numPr>
      </w:pPr>
      <w:r>
        <w:rPr>
          <w:rFonts w:ascii="Times New Roman" w:hAnsi="Times New Roman" w:eastAsia="宋体"/>
          <w:b/>
          <w:sz w:val="21"/>
        </w:rPr>
        <w:t>图10 MLP、MulT与EMT-DLFR的逐类识别表现</w:t>
      </w:r>
    </w:p>
    <w:p>
      <w:pPr>
        <w:pStyle w:val="a2"/>
        <w:keepNext/>
        <w:widowControl/>
        <w:ind w:firstLine="0" w:firstLineChars="0" w:leftChars="0"/>
        <w:jc w:val="center"/>
      </w:pPr>
      <w:r>
        <w:drawing>
          <wp:inline xmlns:a="http://schemas.openxmlformats.org/drawingml/2006/main" xmlns:pic="http://schemas.openxmlformats.org/drawingml/2006/picture">
            <wp:extent cx="5580000" cy="2146154"/>
            <wp:docPr id="1324739098" name="Picture 1324739098"/>
            <wp:cNvGraphicFramePr>
              <a:graphicFrameLocks noChangeAspect="1"/>
            </wp:cNvGraphicFramePr>
            <a:graphic>
              <a:graphicData uri="http://schemas.openxmlformats.org/drawingml/2006/picture">
                <pic:pic>
                  <pic:nvPicPr>
                    <pic:cNvPr id="0" name="08_强度散点.png"/>
                    <pic:cNvPicPr/>
                  </pic:nvPicPr>
                  <pic:blipFill>
                    <a:blip r:embed="rId34"/>
                    <a:stretch>
                      <a:fillRect/>
                    </a:stretch>
                  </pic:blipFill>
                  <pic:spPr>
                    <a:xfrm>
                      <a:off x="0" y="0"/>
                      <a:ext cx="5580000" cy="2146154"/>
                    </a:xfrm>
                    <a:prstGeom prst="rect"/>
                  </pic:spPr>
                </pic:pic>
              </a:graphicData>
            </a:graphic>
          </wp:inline>
        </w:drawing>
      </w:r>
    </w:p>
    <w:p>
      <w:pPr>
        <w:pStyle w:val="a"/>
        <w:ind w:firstLine="0" w:firstLineChars="0" w:leftChars="0"/>
        <w:numPr>
          <w:numId w:val="0"/>
        </w:numPr>
      </w:pPr>
      <w:r>
        <w:rPr>
          <w:rFonts w:ascii="Times New Roman" w:hAnsi="Times New Roman" w:eastAsia="宋体"/>
          <w:b/>
          <w:sz w:val="21"/>
        </w:rPr>
        <w:t>图11 三种方法预测强度与真实强度的对应关系</w:t>
      </w:r>
    </w:p>
    <w:p>
      <w:pPr>
        <w:pStyle w:val="a2"/>
        <w:widowControl/>
      </w:pPr>
      <w:r>
        <w:t>对验证错误清单进行文本层面的初步检查，可区分“能由现有证据确认的输入限制”与“需要原音视频进一步核验的解释假说”。例如，样本102858$_$4的原转写很长，预测将强正向判为负向，可能涉及固定词元预算未覆盖后部评价；最终应核对实际token保留范围。样本f_ZJ7L14oYQ$_$27包含“I don’t have to worry about it anymore”，否定作用于担忧而表达正向含义，不能仅因出现否定词就判负向。</w:t>
      </w:r>
    </w:p>
    <w:p>
      <w:pPr>
        <w:pStyle w:val="a2"/>
        <w:widowControl/>
      </w:pPr>
      <w:r>
        <w:t>另一个样本TWszOxkOV0w$_$1含“outrage”并讨论CEO报酬与绩效，被预测为正向，体现了复杂议题中的情感对象和立场识别困难。这些是结合真实文本提出的错误分析线索，尚未通过归因干预证明模型具体使用了哪些词；没有原视频核验时，不编造“表情与声音冲突”等原因。</w:t>
      </w:r>
    </w:p>
    <w:p>
      <w:pPr>
        <w:pStyle w:val="a2"/>
        <w:keepNext/>
        <w:widowControl/>
        <w:ind w:firstLine="0" w:firstLineChars="0" w:leftChars="0"/>
        <w:jc w:val="center"/>
      </w:pPr>
      <w:r>
        <w:drawing>
          <wp:inline xmlns:a="http://schemas.openxmlformats.org/drawingml/2006/main" xmlns:pic="http://schemas.openxmlformats.org/drawingml/2006/picture">
            <wp:extent cx="5580000" cy="2536364"/>
            <wp:docPr id="1324739099" name="Picture 1324739099"/>
            <wp:cNvGraphicFramePr>
              <a:graphicFrameLocks noChangeAspect="1"/>
            </wp:cNvGraphicFramePr>
            <a:graphic>
              <a:graphicData uri="http://schemas.openxmlformats.org/drawingml/2006/picture">
                <pic:pic>
                  <pic:nvPicPr>
                    <pic:cNvPr id="0" name="11_配对区间.png"/>
                    <pic:cNvPicPr/>
                  </pic:nvPicPr>
                  <pic:blipFill>
                    <a:blip r:embed="rId35"/>
                    <a:stretch>
                      <a:fillRect/>
                    </a:stretch>
                  </pic:blipFill>
                  <pic:spPr>
                    <a:xfrm>
                      <a:off x="0" y="0"/>
                      <a:ext cx="5580000" cy="2536364"/>
                    </a:xfrm>
                    <a:prstGeom prst="rect"/>
                  </pic:spPr>
                </pic:pic>
              </a:graphicData>
            </a:graphic>
          </wp:inline>
        </w:drawing>
      </w:r>
    </w:p>
    <w:p>
      <w:pPr>
        <w:pStyle w:val="a"/>
        <w:ind w:firstLine="0" w:firstLineChars="0" w:leftChars="0"/>
        <w:numPr>
          <w:numId w:val="0"/>
        </w:numPr>
      </w:pPr>
      <w:r>
        <w:rPr>
          <w:rFonts w:ascii="Times New Roman" w:hAnsi="Times New Roman" w:eastAsia="宋体"/>
          <w:b/>
          <w:sz w:val="21"/>
        </w:rPr>
        <w:t>图12 EMT-DLFR相对MLP的配对差值及95%分组Bootstrap区间</w:t>
      </w:r>
    </w:p>
    <w:p>
      <w:pPr>
        <w:pStyle w:val="a0"/>
        <w:ind w:firstLine="0" w:firstLineChars="0" w:leftChars="0"/>
        <w:keepNext/>
        <w:numPr>
          <w:numId w:val="0"/>
        </w:numPr>
      </w:pPr>
      <w:r>
        <w:rPr>
          <w:rFonts w:ascii="Times New Roman" w:hAnsi="Times New Roman" w:eastAsia="宋体"/>
          <w:b/>
          <w:sz w:val="21"/>
        </w:rPr>
        <w:t>表19 中性与弱非零情感子集诊断（clean；分组仅用于事后分析）</w:t>
      </w:r>
    </w:p>
    <w:tbl>
      <w:tblPr>
        <w:tblW w:type="auto" w:w="0"/>
        <w:jc w:val="center"/>
        <w:tblLayout w:type="autofit"/>
        <w:tblLook w:firstColumn="1" w:firstRow="1" w:lastColumn="0" w:lastRow="0" w:noHBand="0" w:noVBand="1" w:val="04A0"/>
        <w:tblBorders>
          <w:top w:val="single" w:sz="10" w:color="000000"/>
          <w:left w:val="nil" w:sz="10" w:color="000000"/>
          <w:bottom w:val="single" w:sz="10" w:color="000000"/>
          <w:right w:val="nil" w:sz="10" w:color="000000"/>
          <w:insideH w:val="nil" w:sz="10" w:color="000000"/>
          <w:insideV w:val="nil" w:sz="10" w:color="000000"/>
        </w:tblBorders>
      </w:tblPr>
      <w:tblGrid>
        <w:gridCol w:w="1566"/>
        <w:gridCol w:w="1566"/>
        <w:gridCol w:w="1566"/>
        <w:gridCol w:w="1566"/>
        <w:gridCol w:w="1566"/>
        <w:gridCol w:w="1566"/>
      </w:tblGrid>
      <w:tr>
        <w:trPr>
          <w:cantSplit/>
          <w:tblHeader/>
        </w:trPr>
        <w:tc>
          <w:tcPr>
            <w:tcW w:type="dxa" w:w="1566"/>
            <w:tcBorders>
              <w:bottom w:val="single" w:sz="6"/>
            </w:tcBorders>
          </w:tcPr>
          <w:p>
            <w:pPr>
              <w:pStyle w:val="a2"/>
              <w:spacing w:before="40" w:after="40" w:line="252" w:lineRule="auto"/>
              <w:ind w:firstLine="0" w:firstLineChars="0" w:leftChars="0" w:left="0"/>
            </w:pPr>
            <w:r>
              <w:rPr>
                <w:rFonts w:ascii="Times New Roman" w:hAnsi="Times New Roman" w:eastAsia="宋体"/>
                <w:b/>
                <w:sz w:val="19"/>
              </w:rPr>
              <w:t>子集</w:t>
            </w:r>
          </w:p>
        </w:tc>
        <w:tc>
          <w:tcPr>
            <w:tcW w:type="dxa" w:w="1566"/>
            <w:tcBorders>
              <w:bottom w:val="single" w:sz="6"/>
            </w:tcBorders>
          </w:tcPr>
          <w:p>
            <w:pPr>
              <w:pStyle w:val="a2"/>
              <w:spacing w:before="40" w:after="40" w:line="252" w:lineRule="auto"/>
              <w:ind w:firstLine="0" w:firstLineChars="0" w:leftChars="0" w:left="0"/>
            </w:pPr>
            <w:r>
              <w:rPr>
                <w:rFonts w:ascii="Times New Roman" w:hAnsi="Times New Roman" w:eastAsia="宋体"/>
                <w:b/>
                <w:sz w:val="19"/>
              </w:rPr>
              <w:t>样本数</w:t>
            </w:r>
          </w:p>
        </w:tc>
        <w:tc>
          <w:tcPr>
            <w:tcW w:type="dxa" w:w="1566"/>
            <w:tcBorders>
              <w:bottom w:val="single" w:sz="6"/>
            </w:tcBorders>
          </w:tcPr>
          <w:p>
            <w:pPr>
              <w:pStyle w:val="a2"/>
              <w:spacing w:before="40" w:after="40" w:line="252" w:lineRule="auto"/>
              <w:ind w:firstLine="0" w:firstLineChars="0" w:leftChars="0" w:left="0"/>
            </w:pPr>
            <w:r>
              <w:rPr>
                <w:rFonts w:ascii="Times New Roman" w:hAnsi="Times New Roman" w:eastAsia="宋体"/>
                <w:b/>
                <w:sz w:val="19"/>
              </w:rPr>
              <w:t>MLP Acc</w:t>
            </w:r>
          </w:p>
        </w:tc>
        <w:tc>
          <w:tcPr>
            <w:tcW w:type="dxa" w:w="1566"/>
            <w:tcBorders>
              <w:bottom w:val="single" w:sz="6"/>
            </w:tcBorders>
          </w:tcPr>
          <w:p>
            <w:pPr>
              <w:pStyle w:val="a2"/>
              <w:spacing w:before="40" w:after="40" w:line="252" w:lineRule="auto"/>
              <w:ind w:firstLine="0" w:firstLineChars="0" w:leftChars="0" w:left="0"/>
            </w:pPr>
            <w:r>
              <w:rPr>
                <w:rFonts w:ascii="Times New Roman" w:hAnsi="Times New Roman" w:eastAsia="宋体"/>
                <w:b/>
                <w:sz w:val="19"/>
              </w:rPr>
              <w:t>EMT Acc</w:t>
            </w:r>
          </w:p>
        </w:tc>
        <w:tc>
          <w:tcPr>
            <w:tcW w:type="dxa" w:w="1566"/>
            <w:tcBorders>
              <w:bottom w:val="single" w:sz="6"/>
            </w:tcBorders>
          </w:tcPr>
          <w:p>
            <w:pPr>
              <w:pStyle w:val="a2"/>
              <w:spacing w:before="40" w:after="40" w:line="252" w:lineRule="auto"/>
              <w:ind w:firstLine="0" w:firstLineChars="0" w:leftChars="0" w:left="0"/>
            </w:pPr>
            <w:r>
              <w:rPr>
                <w:rFonts w:ascii="Times New Roman" w:hAnsi="Times New Roman" w:eastAsia="宋体"/>
                <w:b/>
                <w:sz w:val="19"/>
              </w:rPr>
              <w:t>MLP MAE</w:t>
            </w:r>
          </w:p>
        </w:tc>
        <w:tc>
          <w:tcPr>
            <w:tcW w:type="dxa" w:w="1566"/>
            <w:tcBorders>
              <w:bottom w:val="single" w:sz="6"/>
            </w:tcBorders>
          </w:tcPr>
          <w:p>
            <w:pPr>
              <w:pStyle w:val="a2"/>
              <w:spacing w:before="40" w:after="40" w:line="252" w:lineRule="auto"/>
              <w:ind w:firstLine="0" w:firstLineChars="0" w:leftChars="0" w:left="0"/>
            </w:pPr>
            <w:r>
              <w:rPr>
                <w:rFonts w:ascii="Times New Roman" w:hAnsi="Times New Roman" w:eastAsia="宋体"/>
                <w:b/>
                <w:sz w:val="19"/>
              </w:rPr>
              <w:t>EMT MAE</w:t>
            </w:r>
          </w:p>
        </w:tc>
      </w:tr>
      <w:tr>
        <w:trPr>
          <w:cantSplit/>
        </w:trPr>
        <w:tc>
          <w:tcPr>
            <w:tcW w:type="dxa" w:w="1566"/>
          </w:tcPr>
          <w:p>
            <w:pPr>
              <w:pStyle w:val="a2"/>
              <w:spacing w:before="40" w:after="40" w:line="252" w:lineRule="auto"/>
              <w:ind w:firstLine="0" w:firstLineChars="0" w:leftChars="0" w:left="0"/>
            </w:pPr>
            <w:r>
              <w:rPr>
                <w:rFonts w:ascii="Times New Roman" w:hAnsi="Times New Roman" w:eastAsia="宋体"/>
                <w:b w:val="0"/>
                <w:sz w:val="19"/>
              </w:rPr>
              <w:t>y=0</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184</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0.2989</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0.4348</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0.3889</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0.3070</w:t>
            </w:r>
          </w:p>
        </w:tc>
      </w:tr>
      <w:tr>
        <w:trPr>
          <w:cantSplit/>
        </w:trPr>
        <w:tc>
          <w:tcPr>
            <w:tcW w:type="dxa" w:w="1566"/>
          </w:tcPr>
          <w:p>
            <w:pPr>
              <w:pStyle w:val="a2"/>
              <w:spacing w:before="40" w:after="40" w:line="252" w:lineRule="auto"/>
              <w:ind w:firstLine="0" w:firstLineChars="0" w:leftChars="0" w:left="0"/>
            </w:pPr>
            <w:r>
              <w:rPr>
                <w:rFonts w:ascii="Times New Roman" w:hAnsi="Times New Roman" w:eastAsia="宋体"/>
                <w:b w:val="0"/>
                <w:sz w:val="19"/>
              </w:rPr>
              <w:t>0&lt;|y|≤0.5</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147</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0.4558</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0.3946</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0.4039</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0.4044</w:t>
            </w:r>
          </w:p>
        </w:tc>
      </w:tr>
      <w:tr>
        <w:trPr>
          <w:cantSplit/>
        </w:trPr>
        <w:tc>
          <w:tcPr>
            <w:tcW w:type="dxa" w:w="1566"/>
          </w:tcPr>
          <w:p>
            <w:pPr>
              <w:pStyle w:val="a2"/>
              <w:spacing w:before="40" w:after="40" w:line="252" w:lineRule="auto"/>
              <w:ind w:firstLine="0" w:firstLineChars="0" w:leftChars="0" w:left="0"/>
            </w:pPr>
            <w:r>
              <w:rPr>
                <w:rFonts w:ascii="Times New Roman" w:hAnsi="Times New Roman" w:eastAsia="宋体"/>
                <w:b w:val="0"/>
                <w:sz w:val="19"/>
              </w:rPr>
              <w:t>|y|&gt;0.5</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397</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0.7607</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0.7128</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0.8783</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0.8720</w:t>
            </w:r>
          </w:p>
        </w:tc>
      </w:tr>
    </w:tbl>
    <w:p>
      <w:pPr>
        <w:pStyle w:val="a2"/>
        <w:widowControl/>
      </w:pPr>
      <w:r>
        <w:t>EMT提高中性识别并不意味着它更善于区分所有接近0的样本。在147条0&lt;|y|≤0.5的弱非零样本中，Accuracy由MLP的0.4558降至0.3946，而MAE基本接近。这与对零附近更保守的分类行为相容，但尚不能确定是决策边界、表示能力还是标注歧义造成；需要查看类别概率和受控干预才能进一步区分。</w:t>
      </w:r>
    </w:p>
    <w:p>
      <w:pPr>
        <w:pStyle w:val="a2"/>
        <w:widowControl/>
      </w:pPr>
      <w:r>
        <w:t>将“预测正向但回归为负”或“预测负向但回归为正”定义为相反符号，MLP出现18/728条，EMT出现8/728条。中性预测配合小幅非零回归不计入该定义，因为连续估计通常不会恰为0。极性最大概率与连续损失最优解本来是不同决策，故相反符号属于需检查的输出一致性现象，不能仅凭它认定代码错误。当前没有在专项数据上强行调阈值统一二者。</w:t>
      </w:r>
    </w:p>
    <w:p>
      <w:pPr>
        <w:pStyle w:val="a2"/>
        <w:widowControl/>
      </w:pPr>
      <w:r>
        <w:t>例文能够支持“存在否定范围、评价对象或长文本覆盖困难”的分析线索，但不能证明模型的实际关注位置。可靠的错误归因应继续核对可见词元、比较移除候选证据前后的预测，并在有原素材时回看音视频。没有这些干预与对应记录时，不能把阅读者对文本的理解当作模型已经采用的因果解释。</w:t>
      </w:r>
    </w:p>
    <w:p>
      <w:pPr>
        <w:pStyle w:val="20"/>
        <w:ind w:firstLine="0" w:firstLineChars="0" w:leftChars="0"/>
      </w:pPr>
      <w:bookmarkStart w:id="41" w:name="_PaperHeading040"/>
      <w:r>
        <w:t>6.7 附件3推理、全量结果与可复现性</w:t>
      </w:r>
      <w:bookmarkEnd w:id="41"/>
    </w:p>
    <w:p>
      <w:pPr>
        <w:pStyle w:val="a2"/>
        <w:widowControl/>
      </w:pPr>
      <w:r>
        <w:t>按既定规则冻结EMT-DLFR三个检查点后，对附件3对齐版全部30条样本推理。类别概率与强度分别在三个种子间取均值，类别由平均概率最大项确定。输入继续使用官方附件专用UNK策略、训练统计量和同一文本编码器，没有跨版本补全、标签查表或专项阈值调整。</w:t>
      </w:r>
    </w:p>
    <w:p>
      <w:pPr>
        <w:pStyle w:val="a0"/>
        <w:ind w:firstLine="0" w:firstLineChars="0" w:leftChars="0"/>
        <w:keepNext/>
        <w:numPr>
          <w:numId w:val="0"/>
        </w:numPr>
      </w:pPr>
      <w:r>
        <w:rPr>
          <w:rFonts w:ascii="Times New Roman" w:hAnsi="Times New Roman" w:eastAsia="宋体"/>
          <w:b/>
          <w:sz w:val="21"/>
        </w:rPr>
        <w:t>表20 附件3全部30条预测（无真实标签）</w:t>
      </w:r>
    </w:p>
    <w:tbl>
      <w:tblPr>
        <w:tblW w:type="auto" w:w="0"/>
        <w:jc w:val="center"/>
        <w:tblLayout w:type="autofit"/>
        <w:tblLook w:firstColumn="1" w:firstRow="1" w:lastColumn="0" w:lastRow="0" w:noHBand="0" w:noVBand="1" w:val="04A0"/>
        <w:tblBorders>
          <w:top w:val="single" w:sz="10" w:color="000000"/>
          <w:left w:val="nil" w:sz="10" w:color="000000"/>
          <w:bottom w:val="single" w:sz="10" w:color="000000"/>
          <w:right w:val="nil" w:sz="10" w:color="000000"/>
          <w:insideH w:val="nil" w:sz="10" w:color="000000"/>
          <w:insideV w:val="nil" w:sz="10" w:color="000000"/>
        </w:tblBorders>
      </w:tblPr>
      <w:tblGrid>
        <w:gridCol w:w="1566"/>
        <w:gridCol w:w="1566"/>
        <w:gridCol w:w="1566"/>
        <w:gridCol w:w="1566"/>
        <w:gridCol w:w="1566"/>
        <w:gridCol w:w="1566"/>
      </w:tblGrid>
      <w:tr>
        <w:trPr>
          <w:cantSplit/>
          <w:tblHeader/>
        </w:trPr>
        <w:tc>
          <w:tcPr>
            <w:tcW w:type="dxa" w:w="1566"/>
            <w:tcBorders>
              <w:bottom w:val="single" w:sz="6"/>
            </w:tcBorders>
          </w:tcPr>
          <w:p>
            <w:pPr>
              <w:pStyle w:val="a2"/>
              <w:spacing w:before="40" w:after="40" w:line="252" w:lineRule="auto"/>
              <w:ind w:firstLine="0" w:firstLineChars="0" w:leftChars="0" w:left="0"/>
            </w:pPr>
            <w:r>
              <w:rPr>
                <w:rFonts w:ascii="Times New Roman" w:hAnsi="Times New Roman" w:eastAsia="宋体"/>
                <w:b/>
                <w:sz w:val="19"/>
              </w:rPr>
              <w:t>原文件编号</w:t>
            </w:r>
          </w:p>
        </w:tc>
        <w:tc>
          <w:tcPr>
            <w:tcW w:type="dxa" w:w="1566"/>
            <w:tcBorders>
              <w:bottom w:val="single" w:sz="6"/>
            </w:tcBorders>
          </w:tcPr>
          <w:p>
            <w:pPr>
              <w:pStyle w:val="a2"/>
              <w:spacing w:before="40" w:after="40" w:line="252" w:lineRule="auto"/>
              <w:ind w:firstLine="0" w:firstLineChars="0" w:leftChars="0" w:left="0"/>
            </w:pPr>
            <w:r>
              <w:rPr>
                <w:rFonts w:ascii="Times New Roman" w:hAnsi="Times New Roman" w:eastAsia="宋体"/>
                <w:b/>
                <w:sz w:val="19"/>
              </w:rPr>
              <w:t>极性</w:t>
            </w:r>
          </w:p>
        </w:tc>
        <w:tc>
          <w:tcPr>
            <w:tcW w:type="dxa" w:w="1566"/>
            <w:tcBorders>
              <w:bottom w:val="single" w:sz="6"/>
            </w:tcBorders>
          </w:tcPr>
          <w:p>
            <w:pPr>
              <w:pStyle w:val="a2"/>
              <w:spacing w:before="40" w:after="40" w:line="252" w:lineRule="auto"/>
              <w:ind w:firstLine="0" w:firstLineChars="0" w:leftChars="0" w:left="0"/>
            </w:pPr>
            <w:r>
              <w:rPr>
                <w:rFonts w:ascii="Times New Roman" w:hAnsi="Times New Roman" w:eastAsia="宋体"/>
                <w:b/>
                <w:sz w:val="19"/>
              </w:rPr>
              <w:t>强度</w:t>
            </w:r>
          </w:p>
        </w:tc>
        <w:tc>
          <w:tcPr>
            <w:tcW w:type="dxa" w:w="1566"/>
            <w:tcBorders>
              <w:bottom w:val="single" w:sz="6"/>
            </w:tcBorders>
          </w:tcPr>
          <w:p>
            <w:pPr>
              <w:pStyle w:val="a2"/>
              <w:spacing w:before="40" w:after="40" w:line="252" w:lineRule="auto"/>
              <w:ind w:firstLine="0" w:firstLineChars="0" w:leftChars="0" w:left="0"/>
            </w:pPr>
            <w:r>
              <w:rPr>
                <w:rFonts w:ascii="Times New Roman" w:hAnsi="Times New Roman" w:eastAsia="宋体"/>
                <w:b/>
                <w:sz w:val="19"/>
              </w:rPr>
              <w:t>P(负向)</w:t>
            </w:r>
          </w:p>
        </w:tc>
        <w:tc>
          <w:tcPr>
            <w:tcW w:type="dxa" w:w="1566"/>
            <w:tcBorders>
              <w:bottom w:val="single" w:sz="6"/>
            </w:tcBorders>
          </w:tcPr>
          <w:p>
            <w:pPr>
              <w:pStyle w:val="a2"/>
              <w:spacing w:before="40" w:after="40" w:line="252" w:lineRule="auto"/>
              <w:ind w:firstLine="0" w:firstLineChars="0" w:leftChars="0" w:left="0"/>
            </w:pPr>
            <w:r>
              <w:rPr>
                <w:rFonts w:ascii="Times New Roman" w:hAnsi="Times New Roman" w:eastAsia="宋体"/>
                <w:b/>
                <w:sz w:val="19"/>
              </w:rPr>
              <w:t>P(中性)</w:t>
            </w:r>
          </w:p>
        </w:tc>
        <w:tc>
          <w:tcPr>
            <w:tcW w:type="dxa" w:w="1566"/>
            <w:tcBorders>
              <w:bottom w:val="single" w:sz="6"/>
            </w:tcBorders>
          </w:tcPr>
          <w:p>
            <w:pPr>
              <w:pStyle w:val="a2"/>
              <w:spacing w:before="40" w:after="40" w:line="252" w:lineRule="auto"/>
              <w:ind w:firstLine="0" w:firstLineChars="0" w:leftChars="0" w:left="0"/>
            </w:pPr>
            <w:r>
              <w:rPr>
                <w:rFonts w:ascii="Times New Roman" w:hAnsi="Times New Roman" w:eastAsia="宋体"/>
                <w:b/>
                <w:sz w:val="19"/>
              </w:rPr>
              <w:t>P(正向)</w:t>
            </w:r>
          </w:p>
        </w:tc>
      </w:tr>
      <w:tr>
        <w:trPr>
          <w:cantSplit/>
        </w:trPr>
        <w:tc>
          <w:tcPr>
            <w:tcW w:type="dxa" w:w="1566"/>
          </w:tcPr>
          <w:p>
            <w:pPr>
              <w:pStyle w:val="a2"/>
              <w:spacing w:before="40" w:after="40" w:line="252" w:lineRule="auto"/>
              <w:ind w:firstLine="0" w:firstLineChars="0" w:leftChars="0" w:left="0"/>
            </w:pPr>
            <w:r>
              <w:rPr>
                <w:rFonts w:ascii="Times New Roman" w:hAnsi="Times New Roman" w:eastAsia="宋体"/>
                <w:b w:val="0"/>
                <w:sz w:val="19"/>
              </w:rPr>
              <w:t>附件3_01</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中性</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-0.4036</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0.4230</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0.4553</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0.1217</w:t>
            </w:r>
          </w:p>
        </w:tc>
      </w:tr>
      <w:tr>
        <w:trPr>
          <w:cantSplit/>
        </w:trPr>
        <w:tc>
          <w:tcPr>
            <w:tcW w:type="dxa" w:w="1566"/>
          </w:tcPr>
          <w:p>
            <w:pPr>
              <w:pStyle w:val="a2"/>
              <w:spacing w:before="40" w:after="40" w:line="252" w:lineRule="auto"/>
              <w:ind w:firstLine="0" w:firstLineChars="0" w:leftChars="0" w:left="0"/>
            </w:pPr>
            <w:r>
              <w:rPr>
                <w:rFonts w:ascii="Times New Roman" w:hAnsi="Times New Roman" w:eastAsia="宋体"/>
                <w:b w:val="0"/>
                <w:sz w:val="19"/>
              </w:rPr>
              <w:t>附件3_02</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中性</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-0.0026</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0.1811</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0.6224</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0.1965</w:t>
            </w:r>
          </w:p>
        </w:tc>
      </w:tr>
      <w:tr>
        <w:trPr>
          <w:cantSplit/>
        </w:trPr>
        <w:tc>
          <w:tcPr>
            <w:tcW w:type="dxa" w:w="1566"/>
          </w:tcPr>
          <w:p>
            <w:pPr>
              <w:pStyle w:val="a2"/>
              <w:spacing w:before="40" w:after="40" w:line="252" w:lineRule="auto"/>
              <w:ind w:firstLine="0" w:firstLineChars="0" w:leftChars="0" w:left="0"/>
            </w:pPr>
            <w:r>
              <w:rPr>
                <w:rFonts w:ascii="Times New Roman" w:hAnsi="Times New Roman" w:eastAsia="宋体"/>
                <w:b w:val="0"/>
                <w:sz w:val="19"/>
              </w:rPr>
              <w:t>附件3_03</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中性</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-0.0854</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0.2877</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0.4159</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0.2964</w:t>
            </w:r>
          </w:p>
        </w:tc>
      </w:tr>
      <w:tr>
        <w:trPr>
          <w:cantSplit/>
        </w:trPr>
        <w:tc>
          <w:tcPr>
            <w:tcW w:type="dxa" w:w="1566"/>
          </w:tcPr>
          <w:p>
            <w:pPr>
              <w:pStyle w:val="a2"/>
              <w:spacing w:before="40" w:after="40" w:line="252" w:lineRule="auto"/>
              <w:ind w:firstLine="0" w:firstLineChars="0" w:leftChars="0" w:left="0"/>
            </w:pPr>
            <w:r>
              <w:rPr>
                <w:rFonts w:ascii="Times New Roman" w:hAnsi="Times New Roman" w:eastAsia="宋体"/>
                <w:b w:val="0"/>
                <w:sz w:val="19"/>
              </w:rPr>
              <w:t>附件3_04</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正向</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0.3607</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0.0967</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0.2856</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0.6177</w:t>
            </w:r>
          </w:p>
        </w:tc>
      </w:tr>
      <w:tr>
        <w:trPr>
          <w:cantSplit/>
        </w:trPr>
        <w:tc>
          <w:tcPr>
            <w:tcW w:type="dxa" w:w="1566"/>
          </w:tcPr>
          <w:p>
            <w:pPr>
              <w:pStyle w:val="a2"/>
              <w:spacing w:before="40" w:after="40" w:line="252" w:lineRule="auto"/>
              <w:ind w:firstLine="0" w:firstLineChars="0" w:leftChars="0" w:left="0"/>
            </w:pPr>
            <w:r>
              <w:rPr>
                <w:rFonts w:ascii="Times New Roman" w:hAnsi="Times New Roman" w:eastAsia="宋体"/>
                <w:b w:val="0"/>
                <w:sz w:val="19"/>
              </w:rPr>
              <w:t>附件3_05</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负向</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-1.5315</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0.9119</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0.0538</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0.0343</w:t>
            </w:r>
          </w:p>
        </w:tc>
      </w:tr>
      <w:tr>
        <w:trPr>
          <w:cantSplit/>
        </w:trPr>
        <w:tc>
          <w:tcPr>
            <w:tcW w:type="dxa" w:w="1566"/>
          </w:tcPr>
          <w:p>
            <w:pPr>
              <w:pStyle w:val="a2"/>
              <w:spacing w:before="40" w:after="40" w:line="252" w:lineRule="auto"/>
              <w:ind w:firstLine="0" w:firstLineChars="0" w:leftChars="0" w:left="0"/>
            </w:pPr>
            <w:r>
              <w:rPr>
                <w:rFonts w:ascii="Times New Roman" w:hAnsi="Times New Roman" w:eastAsia="宋体"/>
                <w:b w:val="0"/>
                <w:sz w:val="19"/>
              </w:rPr>
              <w:t>附件3_06</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正向</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0.7625</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0.0181</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0.1688</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0.8131</w:t>
            </w:r>
          </w:p>
        </w:tc>
      </w:tr>
      <w:tr>
        <w:trPr>
          <w:cantSplit/>
        </w:trPr>
        <w:tc>
          <w:tcPr>
            <w:tcW w:type="dxa" w:w="1566"/>
          </w:tcPr>
          <w:p>
            <w:pPr>
              <w:pStyle w:val="a2"/>
              <w:spacing w:before="40" w:after="40" w:line="252" w:lineRule="auto"/>
              <w:ind w:firstLine="0" w:firstLineChars="0" w:leftChars="0" w:left="0"/>
            </w:pPr>
            <w:r>
              <w:rPr>
                <w:rFonts w:ascii="Times New Roman" w:hAnsi="Times New Roman" w:eastAsia="宋体"/>
                <w:b w:val="0"/>
                <w:sz w:val="19"/>
              </w:rPr>
              <w:t>附件3_07</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中性</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-0.0506</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0.2175</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0.6035</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0.1790</w:t>
            </w:r>
          </w:p>
        </w:tc>
      </w:tr>
      <w:tr>
        <w:trPr>
          <w:cantSplit/>
        </w:trPr>
        <w:tc>
          <w:tcPr>
            <w:tcW w:type="dxa" w:w="1566"/>
          </w:tcPr>
          <w:p>
            <w:pPr>
              <w:pStyle w:val="a2"/>
              <w:spacing w:before="40" w:after="40" w:line="252" w:lineRule="auto"/>
              <w:ind w:firstLine="0" w:firstLineChars="0" w:leftChars="0" w:left="0"/>
            </w:pPr>
            <w:r>
              <w:rPr>
                <w:rFonts w:ascii="Times New Roman" w:hAnsi="Times New Roman" w:eastAsia="宋体"/>
                <w:b w:val="0"/>
                <w:sz w:val="19"/>
              </w:rPr>
              <w:t>附件3_08</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负向</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-0.0655</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0.4614</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0.0895</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0.4491</w:t>
            </w:r>
          </w:p>
        </w:tc>
      </w:tr>
      <w:tr>
        <w:trPr>
          <w:cantSplit/>
        </w:trPr>
        <w:tc>
          <w:tcPr>
            <w:tcW w:type="dxa" w:w="1566"/>
          </w:tcPr>
          <w:p>
            <w:pPr>
              <w:pStyle w:val="a2"/>
              <w:spacing w:before="40" w:after="40" w:line="252" w:lineRule="auto"/>
              <w:ind w:firstLine="0" w:firstLineChars="0" w:leftChars="0" w:left="0"/>
            </w:pPr>
            <w:r>
              <w:rPr>
                <w:rFonts w:ascii="Times New Roman" w:hAnsi="Times New Roman" w:eastAsia="宋体"/>
                <w:b w:val="0"/>
                <w:sz w:val="19"/>
              </w:rPr>
              <w:t>附件3_09</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正向</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0.8491</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0.0378</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0.1069</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0.8553</w:t>
            </w:r>
          </w:p>
        </w:tc>
      </w:tr>
      <w:tr>
        <w:trPr>
          <w:cantSplit/>
        </w:trPr>
        <w:tc>
          <w:tcPr>
            <w:tcW w:type="dxa" w:w="1566"/>
          </w:tcPr>
          <w:p>
            <w:pPr>
              <w:pStyle w:val="a2"/>
              <w:spacing w:before="40" w:after="40" w:line="252" w:lineRule="auto"/>
              <w:ind w:firstLine="0" w:firstLineChars="0" w:leftChars="0" w:left="0"/>
            </w:pPr>
            <w:r>
              <w:rPr>
                <w:rFonts w:ascii="Times New Roman" w:hAnsi="Times New Roman" w:eastAsia="宋体"/>
                <w:b w:val="0"/>
                <w:sz w:val="19"/>
              </w:rPr>
              <w:t>附件3_10</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中性</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-0.1877</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0.1628</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0.7271</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0.1101</w:t>
            </w:r>
          </w:p>
        </w:tc>
      </w:tr>
      <w:tr>
        <w:trPr>
          <w:cantSplit/>
        </w:trPr>
        <w:tc>
          <w:tcPr>
            <w:tcW w:type="dxa" w:w="1566"/>
          </w:tcPr>
          <w:p>
            <w:pPr>
              <w:pStyle w:val="a2"/>
              <w:spacing w:before="40" w:after="40" w:line="252" w:lineRule="auto"/>
              <w:ind w:firstLine="0" w:firstLineChars="0" w:leftChars="0" w:left="0"/>
            </w:pPr>
            <w:r>
              <w:rPr>
                <w:rFonts w:ascii="Times New Roman" w:hAnsi="Times New Roman" w:eastAsia="宋体"/>
                <w:b w:val="0"/>
                <w:sz w:val="19"/>
              </w:rPr>
              <w:t>附件3_11</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正向</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0.4063</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0.0219</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0.3216</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0.6565</w:t>
            </w:r>
          </w:p>
        </w:tc>
      </w:tr>
      <w:tr>
        <w:trPr>
          <w:cantSplit/>
        </w:trPr>
        <w:tc>
          <w:tcPr>
            <w:tcW w:type="dxa" w:w="1566"/>
          </w:tcPr>
          <w:p>
            <w:pPr>
              <w:pStyle w:val="a2"/>
              <w:spacing w:before="40" w:after="40" w:line="252" w:lineRule="auto"/>
              <w:ind w:firstLine="0" w:firstLineChars="0" w:leftChars="0" w:left="0"/>
            </w:pPr>
            <w:r>
              <w:rPr>
                <w:rFonts w:ascii="Times New Roman" w:hAnsi="Times New Roman" w:eastAsia="宋体"/>
                <w:b w:val="0"/>
                <w:sz w:val="19"/>
              </w:rPr>
              <w:t>附件3_12</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正向</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0.2791</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0.1664</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0.2819</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0.5517</w:t>
            </w:r>
          </w:p>
        </w:tc>
      </w:tr>
      <w:tr>
        <w:trPr>
          <w:cantSplit/>
        </w:trPr>
        <w:tc>
          <w:tcPr>
            <w:tcW w:type="dxa" w:w="1566"/>
          </w:tcPr>
          <w:p>
            <w:pPr>
              <w:pStyle w:val="a2"/>
              <w:spacing w:before="40" w:after="40" w:line="252" w:lineRule="auto"/>
              <w:ind w:firstLine="0" w:firstLineChars="0" w:leftChars="0" w:left="0"/>
            </w:pPr>
            <w:r>
              <w:rPr>
                <w:rFonts w:ascii="Times New Roman" w:hAnsi="Times New Roman" w:eastAsia="宋体"/>
                <w:b w:val="0"/>
                <w:sz w:val="19"/>
              </w:rPr>
              <w:t>附件3_13</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正向</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0.0908</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0.3764</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0.1976</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0.4261</w:t>
            </w:r>
          </w:p>
        </w:tc>
      </w:tr>
      <w:tr>
        <w:trPr>
          <w:cantSplit/>
        </w:trPr>
        <w:tc>
          <w:tcPr>
            <w:tcW w:type="dxa" w:w="1566"/>
          </w:tcPr>
          <w:p>
            <w:pPr>
              <w:pStyle w:val="a2"/>
              <w:spacing w:before="40" w:after="40" w:line="252" w:lineRule="auto"/>
              <w:ind w:firstLine="0" w:firstLineChars="0" w:leftChars="0" w:left="0"/>
            </w:pPr>
            <w:r>
              <w:rPr>
                <w:rFonts w:ascii="Times New Roman" w:hAnsi="Times New Roman" w:eastAsia="宋体"/>
                <w:b w:val="0"/>
                <w:sz w:val="19"/>
              </w:rPr>
              <w:t>附件3_14</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负向</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-0.1013</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0.4399</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0.2562</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0.3039</w:t>
            </w:r>
          </w:p>
        </w:tc>
      </w:tr>
      <w:tr>
        <w:trPr>
          <w:cantSplit/>
        </w:trPr>
        <w:tc>
          <w:tcPr>
            <w:tcW w:type="dxa" w:w="1566"/>
          </w:tcPr>
          <w:p>
            <w:pPr>
              <w:pStyle w:val="a2"/>
              <w:spacing w:before="40" w:after="40" w:line="252" w:lineRule="auto"/>
              <w:ind w:firstLine="0" w:firstLineChars="0" w:leftChars="0" w:left="0"/>
            </w:pPr>
            <w:r>
              <w:rPr>
                <w:rFonts w:ascii="Times New Roman" w:hAnsi="Times New Roman" w:eastAsia="宋体"/>
                <w:b w:val="0"/>
                <w:sz w:val="19"/>
              </w:rPr>
              <w:t>附件3_15</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正向</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0.5153</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0.0290</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0.2385</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0.7325</w:t>
            </w:r>
          </w:p>
        </w:tc>
      </w:tr>
      <w:tr>
        <w:trPr>
          <w:cantSplit/>
        </w:trPr>
        <w:tc>
          <w:tcPr>
            <w:tcW w:type="dxa" w:w="1566"/>
          </w:tcPr>
          <w:p>
            <w:pPr>
              <w:pStyle w:val="a2"/>
              <w:spacing w:before="40" w:after="40" w:line="252" w:lineRule="auto"/>
              <w:ind w:firstLine="0" w:firstLineChars="0" w:leftChars="0" w:left="0"/>
            </w:pPr>
            <w:r>
              <w:rPr>
                <w:rFonts w:ascii="Times New Roman" w:hAnsi="Times New Roman" w:eastAsia="宋体"/>
                <w:b w:val="0"/>
                <w:sz w:val="19"/>
              </w:rPr>
              <w:t>附件3_16</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正向</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1.6099</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0.0122</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0.0233</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0.9645</w:t>
            </w:r>
          </w:p>
        </w:tc>
      </w:tr>
      <w:tr>
        <w:trPr>
          <w:cantSplit/>
        </w:trPr>
        <w:tc>
          <w:tcPr>
            <w:tcW w:type="dxa" w:w="1566"/>
          </w:tcPr>
          <w:p>
            <w:pPr>
              <w:pStyle w:val="a2"/>
              <w:spacing w:before="40" w:after="40" w:line="252" w:lineRule="auto"/>
              <w:ind w:firstLine="0" w:firstLineChars="0" w:leftChars="0" w:left="0"/>
            </w:pPr>
            <w:r>
              <w:rPr>
                <w:rFonts w:ascii="Times New Roman" w:hAnsi="Times New Roman" w:eastAsia="宋体"/>
                <w:b w:val="0"/>
                <w:sz w:val="19"/>
              </w:rPr>
              <w:t>附件3_17</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中性</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-0.1591</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0.3803</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0.4246</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0.1952</w:t>
            </w:r>
          </w:p>
        </w:tc>
      </w:tr>
      <w:tr>
        <w:trPr>
          <w:cantSplit/>
        </w:trPr>
        <w:tc>
          <w:tcPr>
            <w:tcW w:type="dxa" w:w="1566"/>
          </w:tcPr>
          <w:p>
            <w:pPr>
              <w:pStyle w:val="a2"/>
              <w:spacing w:before="40" w:after="40" w:line="252" w:lineRule="auto"/>
              <w:ind w:firstLine="0" w:firstLineChars="0" w:leftChars="0" w:left="0"/>
            </w:pPr>
            <w:r>
              <w:rPr>
                <w:rFonts w:ascii="Times New Roman" w:hAnsi="Times New Roman" w:eastAsia="宋体"/>
                <w:b w:val="0"/>
                <w:sz w:val="19"/>
              </w:rPr>
              <w:t>附件3_18</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正向</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-0.0236</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0.3367</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0.2793</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0.3841</w:t>
            </w:r>
          </w:p>
        </w:tc>
      </w:tr>
      <w:tr>
        <w:trPr>
          <w:cantSplit/>
        </w:trPr>
        <w:tc>
          <w:tcPr>
            <w:tcW w:type="dxa" w:w="1566"/>
          </w:tcPr>
          <w:p>
            <w:pPr>
              <w:pStyle w:val="a2"/>
              <w:spacing w:before="40" w:after="40" w:line="252" w:lineRule="auto"/>
              <w:ind w:firstLine="0" w:firstLineChars="0" w:leftChars="0" w:left="0"/>
            </w:pPr>
            <w:r>
              <w:rPr>
                <w:rFonts w:ascii="Times New Roman" w:hAnsi="Times New Roman" w:eastAsia="宋体"/>
                <w:b w:val="0"/>
                <w:sz w:val="19"/>
              </w:rPr>
              <w:t>附件3_19</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中性</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0.0180</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0.2784</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0.4163</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0.3053</w:t>
            </w:r>
          </w:p>
        </w:tc>
      </w:tr>
      <w:tr>
        <w:trPr>
          <w:cantSplit/>
        </w:trPr>
        <w:tc>
          <w:tcPr>
            <w:tcW w:type="dxa" w:w="1566"/>
          </w:tcPr>
          <w:p>
            <w:pPr>
              <w:pStyle w:val="a2"/>
              <w:spacing w:before="40" w:after="40" w:line="252" w:lineRule="auto"/>
              <w:ind w:firstLine="0" w:firstLineChars="0" w:leftChars="0" w:left="0"/>
            </w:pPr>
            <w:r>
              <w:rPr>
                <w:rFonts w:ascii="Times New Roman" w:hAnsi="Times New Roman" w:eastAsia="宋体"/>
                <w:b w:val="0"/>
                <w:sz w:val="19"/>
              </w:rPr>
              <w:t>附件3_20</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正向</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0.3558</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0.1227</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0.3393</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0.5380</w:t>
            </w:r>
          </w:p>
        </w:tc>
      </w:tr>
      <w:tr>
        <w:trPr>
          <w:cantSplit/>
        </w:trPr>
        <w:tc>
          <w:tcPr>
            <w:tcW w:type="dxa" w:w="1566"/>
          </w:tcPr>
          <w:p>
            <w:pPr>
              <w:pStyle w:val="a2"/>
              <w:spacing w:before="40" w:after="40" w:line="252" w:lineRule="auto"/>
              <w:ind w:firstLine="0" w:firstLineChars="0" w:leftChars="0" w:left="0"/>
            </w:pPr>
            <w:r>
              <w:rPr>
                <w:rFonts w:ascii="Times New Roman" w:hAnsi="Times New Roman" w:eastAsia="宋体"/>
                <w:b w:val="0"/>
                <w:sz w:val="19"/>
              </w:rPr>
              <w:t>附件3_21</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正向</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0.3855</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0.0583</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0.2463</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0.6955</w:t>
            </w:r>
          </w:p>
        </w:tc>
      </w:tr>
      <w:tr>
        <w:trPr>
          <w:cantSplit/>
        </w:trPr>
        <w:tc>
          <w:tcPr>
            <w:tcW w:type="dxa" w:w="1566"/>
          </w:tcPr>
          <w:p>
            <w:pPr>
              <w:pStyle w:val="a2"/>
              <w:spacing w:before="40" w:after="40" w:line="252" w:lineRule="auto"/>
              <w:ind w:firstLine="0" w:firstLineChars="0" w:leftChars="0" w:left="0"/>
            </w:pPr>
            <w:r>
              <w:rPr>
                <w:rFonts w:ascii="Times New Roman" w:hAnsi="Times New Roman" w:eastAsia="宋体"/>
                <w:b w:val="0"/>
                <w:sz w:val="19"/>
              </w:rPr>
              <w:t>附件3_22</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负向</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-0.1411</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0.4888</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0.1895</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0.3217</w:t>
            </w:r>
          </w:p>
        </w:tc>
      </w:tr>
      <w:tr>
        <w:trPr>
          <w:cantSplit/>
        </w:trPr>
        <w:tc>
          <w:tcPr>
            <w:tcW w:type="dxa" w:w="1566"/>
          </w:tcPr>
          <w:p>
            <w:pPr>
              <w:pStyle w:val="a2"/>
              <w:spacing w:before="40" w:after="40" w:line="252" w:lineRule="auto"/>
              <w:ind w:firstLine="0" w:firstLineChars="0" w:leftChars="0" w:left="0"/>
            </w:pPr>
            <w:r>
              <w:rPr>
                <w:rFonts w:ascii="Times New Roman" w:hAnsi="Times New Roman" w:eastAsia="宋体"/>
                <w:b w:val="0"/>
                <w:sz w:val="19"/>
              </w:rPr>
              <w:t>附件3_23</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正向</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0.5584</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0.0296</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0.2044</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0.7660</w:t>
            </w:r>
          </w:p>
        </w:tc>
      </w:tr>
      <w:tr>
        <w:trPr>
          <w:cantSplit/>
        </w:trPr>
        <w:tc>
          <w:tcPr>
            <w:tcW w:type="dxa" w:w="1566"/>
          </w:tcPr>
          <w:p>
            <w:pPr>
              <w:pStyle w:val="a2"/>
              <w:spacing w:before="40" w:after="40" w:line="252" w:lineRule="auto"/>
              <w:ind w:firstLine="0" w:firstLineChars="0" w:leftChars="0" w:left="0"/>
            </w:pPr>
            <w:r>
              <w:rPr>
                <w:rFonts w:ascii="Times New Roman" w:hAnsi="Times New Roman" w:eastAsia="宋体"/>
                <w:b w:val="0"/>
                <w:sz w:val="19"/>
              </w:rPr>
              <w:t>附件3_24</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负向</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-0.9661</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0.8006</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0.0795</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0.1199</w:t>
            </w:r>
          </w:p>
        </w:tc>
      </w:tr>
      <w:tr>
        <w:trPr>
          <w:cantSplit/>
        </w:trPr>
        <w:tc>
          <w:tcPr>
            <w:tcW w:type="dxa" w:w="1566"/>
          </w:tcPr>
          <w:p>
            <w:pPr>
              <w:pStyle w:val="a2"/>
              <w:spacing w:before="40" w:after="40" w:line="252" w:lineRule="auto"/>
              <w:ind w:firstLine="0" w:firstLineChars="0" w:leftChars="0" w:left="0"/>
            </w:pPr>
            <w:r>
              <w:rPr>
                <w:rFonts w:ascii="Times New Roman" w:hAnsi="Times New Roman" w:eastAsia="宋体"/>
                <w:b w:val="0"/>
                <w:sz w:val="19"/>
              </w:rPr>
              <w:t>附件3_25</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中性</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0.0142</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0.2312</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0.4903</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0.2785</w:t>
            </w:r>
          </w:p>
        </w:tc>
      </w:tr>
      <w:tr>
        <w:trPr>
          <w:cantSplit/>
        </w:trPr>
        <w:tc>
          <w:tcPr>
            <w:tcW w:type="dxa" w:w="1566"/>
          </w:tcPr>
          <w:p>
            <w:pPr>
              <w:pStyle w:val="a2"/>
              <w:spacing w:before="40" w:after="40" w:line="252" w:lineRule="auto"/>
              <w:ind w:firstLine="0" w:firstLineChars="0" w:leftChars="0" w:left="0"/>
            </w:pPr>
            <w:r>
              <w:rPr>
                <w:rFonts w:ascii="Times New Roman" w:hAnsi="Times New Roman" w:eastAsia="宋体"/>
                <w:b w:val="0"/>
                <w:sz w:val="19"/>
              </w:rPr>
              <w:t>附件3_26</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正向</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0.3695</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0.1339</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0.2597</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0.6064</w:t>
            </w:r>
          </w:p>
        </w:tc>
      </w:tr>
      <w:tr>
        <w:trPr>
          <w:cantSplit/>
        </w:trPr>
        <w:tc>
          <w:tcPr>
            <w:tcW w:type="dxa" w:w="1566"/>
          </w:tcPr>
          <w:p>
            <w:pPr>
              <w:pStyle w:val="a2"/>
              <w:spacing w:before="40" w:after="40" w:line="252" w:lineRule="auto"/>
              <w:ind w:firstLine="0" w:firstLineChars="0" w:leftChars="0" w:left="0"/>
            </w:pPr>
            <w:r>
              <w:rPr>
                <w:rFonts w:ascii="Times New Roman" w:hAnsi="Times New Roman" w:eastAsia="宋体"/>
                <w:b w:val="0"/>
                <w:sz w:val="19"/>
              </w:rPr>
              <w:t>附件3_27</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正向</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0.9323</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0.0393</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0.1007</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0.8600</w:t>
            </w:r>
          </w:p>
        </w:tc>
      </w:tr>
      <w:tr>
        <w:trPr>
          <w:cantSplit/>
        </w:trPr>
        <w:tc>
          <w:tcPr>
            <w:tcW w:type="dxa" w:w="1566"/>
          </w:tcPr>
          <w:p>
            <w:pPr>
              <w:pStyle w:val="a2"/>
              <w:spacing w:before="40" w:after="40" w:line="252" w:lineRule="auto"/>
              <w:ind w:firstLine="0" w:firstLineChars="0" w:leftChars="0" w:left="0"/>
            </w:pPr>
            <w:r>
              <w:rPr>
                <w:rFonts w:ascii="Times New Roman" w:hAnsi="Times New Roman" w:eastAsia="宋体"/>
                <w:b w:val="0"/>
                <w:sz w:val="19"/>
              </w:rPr>
              <w:t>附件3_28</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中性</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0.2968</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0.0314</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0.5168</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0.4518</w:t>
            </w:r>
          </w:p>
        </w:tc>
      </w:tr>
      <w:tr>
        <w:trPr>
          <w:cantSplit/>
        </w:trPr>
        <w:tc>
          <w:tcPr>
            <w:tcW w:type="dxa" w:w="1566"/>
          </w:tcPr>
          <w:p>
            <w:pPr>
              <w:pStyle w:val="a2"/>
              <w:spacing w:before="40" w:after="40" w:line="252" w:lineRule="auto"/>
              <w:ind w:firstLine="0" w:firstLineChars="0" w:leftChars="0" w:left="0"/>
            </w:pPr>
            <w:r>
              <w:rPr>
                <w:rFonts w:ascii="Times New Roman" w:hAnsi="Times New Roman" w:eastAsia="宋体"/>
                <w:b w:val="0"/>
                <w:sz w:val="19"/>
              </w:rPr>
              <w:t>附件3_29</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正向</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0.8512</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0.0318</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0.0737</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0.8946</w:t>
            </w:r>
          </w:p>
        </w:tc>
      </w:tr>
      <w:tr>
        <w:trPr>
          <w:cantSplit/>
        </w:trPr>
        <w:tc>
          <w:tcPr>
            <w:tcW w:type="dxa" w:w="1566"/>
          </w:tcPr>
          <w:p>
            <w:pPr>
              <w:pStyle w:val="a2"/>
              <w:spacing w:before="40" w:after="40" w:line="252" w:lineRule="auto"/>
              <w:ind w:firstLine="0" w:firstLineChars="0" w:leftChars="0" w:left="0"/>
            </w:pPr>
            <w:r>
              <w:rPr>
                <w:rFonts w:ascii="Times New Roman" w:hAnsi="Times New Roman" w:eastAsia="宋体"/>
                <w:b w:val="0"/>
                <w:sz w:val="19"/>
              </w:rPr>
              <w:t>附件3_30</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正向</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0.3546</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0.1503</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0.2388</w:t>
            </w:r>
          </w:p>
        </w:tc>
        <w:tc>
          <w:tcPr>
            <w:tcW w:type="dxa" w:w="1566"/>
          </w:tcPr>
          <w:p>
            <w:pPr>
              <w:pStyle w:val="a2"/>
              <w:spacing w:before="40" w:after="40" w:line="252" w:lineRule="auto"/>
              <w:ind w:firstLine="0" w:firstLineChars="0" w:leftChars="0" w:left="0"/>
            </w:pPr>
            <w:r>
              <w:rPr>
                <w:rFonts w:ascii="Times New Roman" w:hAnsi="Times New Roman" w:eastAsia="宋体"/>
                <w:b w:val="0"/>
                <w:sz w:val="19"/>
              </w:rPr>
              <w:t>0.6110</w:t>
            </w:r>
          </w:p>
        </w:tc>
      </w:tr>
    </w:tbl>
    <w:p>
      <w:pPr>
        <w:pStyle w:val="a2"/>
        <w:widowControl/>
      </w:pPr>
      <w:r>
        <w:t>预测类别分布为负向5条、中性9条、正向16条。这是模型输出分布，不是专项准确率；附件3没有标签，不能以预测变化或正向比例接近训练集为依据宣称效果提高。完整CSV保留原文件编号、英文类别、强度和三类概率。溯源JSON记录输入哈希、检查点哈希、预处理版本、不可用区间和质量标记。</w:t>
      </w:r>
    </w:p>
    <w:p>
      <w:pPr>
        <w:pStyle w:val="a2"/>
        <w:widowControl/>
      </w:pPr>
      <w:r>
        <w:t>本轮新模型5项针对性测试、GPU小批量拟合及检查点重载验证均通过；此前10项输入不变量检查和原始数据/缓存逐项核对亦通过。将选定模型复现包解压到独立目录后，30条CSV和溯源文件与开发目录输出逐字节一致。新复现包约36.09MB，仅覆盖第二问，整题仍需为第一问特征及第三问解释材料控制总附件体积。</w:t>
      </w:r>
    </w:p>
    <w:p>
      <w:pPr>
        <w:pStyle w:val="a2"/>
        <w:widowControl/>
      </w:pPr>
      <w:r>
        <w:t>当前结果支持将EMT结构作为进一步研究的候选，但不支持把恢复约束或状态递推宣称为稳定最优机制；各项后续改进按新的实验版本验证。</w:t>
      </w:r>
    </w:p>
    <w:p>
      <w:pPr>
        <w:pStyle w:val="20"/>
        <w:ind w:firstLine="0" w:firstLineChars="0" w:leftChars="0"/>
      </w:pPr>
      <w:bookmarkStart w:id="42" w:name="_PaperHeading041"/>
      <w:r>
        <w:t>6.8 计算成本与比较范围</w:t>
      </w:r>
      <w:bookmarkEnd w:id="42"/>
    </w:p>
    <w:p>
      <w:pPr>
        <w:pStyle w:val="a0"/>
        <w:ind w:firstLine="0" w:firstLineChars="0" w:leftChars="0"/>
        <w:keepNext/>
        <w:numPr>
          <w:numId w:val="0"/>
        </w:numPr>
      </w:pPr>
      <w:r>
        <w:rPr>
          <w:rFonts w:ascii="Times New Roman" w:hAnsi="Times New Roman" w:eastAsia="宋体"/>
          <w:b/>
          <w:sz w:val="21"/>
        </w:rPr>
        <w:t>表21 论文适配模型本轮资源记录</w:t>
      </w:r>
    </w:p>
    <w:tbl>
      <w:tblPr>
        <w:tblW w:type="auto" w:w="0"/>
        <w:jc w:val="center"/>
        <w:tblLayout w:type="autofit"/>
        <w:tblLook w:firstColumn="1" w:firstRow="1" w:lastColumn="0" w:lastRow="0" w:noHBand="0" w:noVBand="1" w:val="04A0"/>
        <w:tblBorders>
          <w:top w:val="single" w:sz="10" w:color="000000"/>
          <w:left w:val="nil" w:sz="10" w:color="000000"/>
          <w:bottom w:val="single" w:sz="10" w:color="000000"/>
          <w:right w:val="nil" w:sz="10" w:color="000000"/>
          <w:insideH w:val="nil" w:sz="10" w:color="000000"/>
          <w:insideV w:val="nil" w:sz="10" w:color="000000"/>
        </w:tblBorders>
      </w:tblPr>
      <w:tblGrid>
        <w:gridCol w:w="1880"/>
        <w:gridCol w:w="1880"/>
        <w:gridCol w:w="1880"/>
        <w:gridCol w:w="1880"/>
        <w:gridCol w:w="1880"/>
      </w:tblGrid>
      <w:tr>
        <w:trPr>
          <w:cantSplit/>
          <w:tblHeader/>
        </w:trPr>
        <w:tc>
          <w:tcPr>
            <w:tcW w:type="dxa" w:w="1880"/>
            <w:tcBorders>
              <w:bottom w:val="single" w:sz="6"/>
            </w:tcBorders>
          </w:tcPr>
          <w:p>
            <w:pPr>
              <w:pStyle w:val="a2"/>
              <w:spacing w:before="40" w:after="40" w:line="252" w:lineRule="auto"/>
              <w:ind w:firstLine="0" w:firstLineChars="0" w:leftChars="0" w:left="0"/>
            </w:pPr>
            <w:r>
              <w:rPr>
                <w:rFonts w:ascii="Times New Roman" w:hAnsi="Times New Roman" w:eastAsia="宋体"/>
                <w:b/>
                <w:sz w:val="19"/>
              </w:rPr>
              <w:t>模型</w:t>
            </w:r>
          </w:p>
        </w:tc>
        <w:tc>
          <w:tcPr>
            <w:tcW w:type="dxa" w:w="1880"/>
            <w:tcBorders>
              <w:bottom w:val="single" w:sz="6"/>
            </w:tcBorders>
          </w:tcPr>
          <w:p>
            <w:pPr>
              <w:pStyle w:val="a2"/>
              <w:spacing w:before="40" w:after="40" w:line="252" w:lineRule="auto"/>
              <w:ind w:firstLine="0" w:firstLineChars="0" w:leftChars="0" w:left="0"/>
            </w:pPr>
            <w:r>
              <w:rPr>
                <w:rFonts w:ascii="Times New Roman" w:hAnsi="Times New Roman" w:eastAsia="宋体"/>
                <w:b/>
                <w:sz w:val="19"/>
              </w:rPr>
              <w:t>参数量</w:t>
            </w:r>
          </w:p>
        </w:tc>
        <w:tc>
          <w:tcPr>
            <w:tcW w:type="dxa" w:w="1880"/>
            <w:tcBorders>
              <w:bottom w:val="single" w:sz="6"/>
            </w:tcBorders>
          </w:tcPr>
          <w:p>
            <w:pPr>
              <w:pStyle w:val="a2"/>
              <w:spacing w:before="40" w:after="40" w:line="252" w:lineRule="auto"/>
              <w:ind w:firstLine="0" w:firstLineChars="0" w:leftChars="0" w:left="0"/>
            </w:pPr>
            <w:r>
              <w:rPr>
                <w:rFonts w:ascii="Times New Roman" w:hAnsi="Times New Roman" w:eastAsia="宋体"/>
                <w:b/>
                <w:sz w:val="19"/>
              </w:rPr>
              <w:t>平均记录耗时/s</w:t>
            </w:r>
          </w:p>
        </w:tc>
        <w:tc>
          <w:tcPr>
            <w:tcW w:type="dxa" w:w="1880"/>
            <w:tcBorders>
              <w:bottom w:val="single" w:sz="6"/>
            </w:tcBorders>
          </w:tcPr>
          <w:p>
            <w:pPr>
              <w:pStyle w:val="a2"/>
              <w:spacing w:before="40" w:after="40" w:line="252" w:lineRule="auto"/>
              <w:ind w:firstLine="0" w:firstLineChars="0" w:leftChars="0" w:left="0"/>
            </w:pPr>
            <w:r>
              <w:rPr>
                <w:rFonts w:ascii="Times New Roman" w:hAnsi="Times New Roman" w:eastAsia="宋体"/>
                <w:b/>
                <w:sz w:val="19"/>
              </w:rPr>
              <w:t>峰值分配/GiB</w:t>
            </w:r>
          </w:p>
        </w:tc>
        <w:tc>
          <w:tcPr>
            <w:tcW w:type="dxa" w:w="1880"/>
            <w:tcBorders>
              <w:bottom w:val="single" w:sz="6"/>
            </w:tcBorders>
          </w:tcPr>
          <w:p>
            <w:pPr>
              <w:pStyle w:val="a2"/>
              <w:spacing w:before="40" w:after="40" w:line="252" w:lineRule="auto"/>
              <w:ind w:firstLine="0" w:firstLineChars="0" w:leftChars="0" w:left="0"/>
            </w:pPr>
            <w:r>
              <w:rPr>
                <w:rFonts w:ascii="Times New Roman" w:hAnsi="Times New Roman" w:eastAsia="宋体"/>
                <w:b/>
                <w:sz w:val="19"/>
              </w:rPr>
              <w:t>最佳轮次17/29/43</w:t>
            </w:r>
          </w:p>
        </w:tc>
      </w:tr>
      <w:tr>
        <w:trPr>
          <w:cantSplit/>
        </w:trPr>
        <w:tc>
          <w:tcPr>
            <w:tcW w:type="dxa" w:w="1880"/>
          </w:tcPr>
          <w:p>
            <w:pPr>
              <w:pStyle w:val="a2"/>
              <w:spacing w:before="40" w:after="40" w:line="252" w:lineRule="auto"/>
              <w:ind w:firstLine="0" w:firstLineChars="0" w:leftChars="0" w:left="0"/>
            </w:pPr>
            <w:r>
              <w:rPr>
                <w:rFonts w:ascii="Times New Roman" w:hAnsi="Times New Roman" w:eastAsia="宋体"/>
                <w:b w:val="0"/>
                <w:sz w:val="19"/>
              </w:rPr>
              <w:t>MulT适配版</w:t>
            </w:r>
          </w:p>
        </w:tc>
        <w:tc>
          <w:tcPr>
            <w:tcW w:type="dxa" w:w="1880"/>
          </w:tcPr>
          <w:p>
            <w:pPr>
              <w:pStyle w:val="a2"/>
              <w:spacing w:before="40" w:after="40" w:line="252" w:lineRule="auto"/>
              <w:ind w:firstLine="0" w:firstLineChars="0" w:leftChars="0" w:left="0"/>
            </w:pPr>
            <w:r>
              <w:rPr>
                <w:rFonts w:ascii="Times New Roman" w:hAnsi="Times New Roman" w:eastAsia="宋体"/>
                <w:b w:val="0"/>
                <w:sz w:val="19"/>
              </w:rPr>
              <w:t>1072954</w:t>
            </w:r>
          </w:p>
        </w:tc>
        <w:tc>
          <w:tcPr>
            <w:tcW w:type="dxa" w:w="1880"/>
          </w:tcPr>
          <w:p>
            <w:pPr>
              <w:pStyle w:val="a2"/>
              <w:spacing w:before="40" w:after="40" w:line="252" w:lineRule="auto"/>
              <w:ind w:firstLine="0" w:firstLineChars="0" w:leftChars="0" w:left="0"/>
            </w:pPr>
            <w:r>
              <w:rPr>
                <w:rFonts w:ascii="Times New Roman" w:hAnsi="Times New Roman" w:eastAsia="宋体"/>
                <w:b w:val="0"/>
                <w:sz w:val="19"/>
              </w:rPr>
              <w:t>86.7</w:t>
            </w:r>
          </w:p>
        </w:tc>
        <w:tc>
          <w:tcPr>
            <w:tcW w:type="dxa" w:w="1880"/>
          </w:tcPr>
          <w:p>
            <w:pPr>
              <w:pStyle w:val="a2"/>
              <w:spacing w:before="40" w:after="40" w:line="252" w:lineRule="auto"/>
              <w:ind w:firstLine="0" w:firstLineChars="0" w:leftChars="0" w:left="0"/>
            </w:pPr>
            <w:r>
              <w:rPr>
                <w:rFonts w:ascii="Times New Roman" w:hAnsi="Times New Roman" w:eastAsia="宋体"/>
                <w:b w:val="0"/>
                <w:sz w:val="19"/>
              </w:rPr>
              <w:t>1.568</w:t>
            </w:r>
          </w:p>
        </w:tc>
        <w:tc>
          <w:tcPr>
            <w:tcW w:type="dxa" w:w="1880"/>
          </w:tcPr>
          <w:p>
            <w:pPr>
              <w:pStyle w:val="a2"/>
              <w:spacing w:before="40" w:after="40" w:line="252" w:lineRule="auto"/>
              <w:ind w:firstLine="0" w:firstLineChars="0" w:leftChars="0" w:left="0"/>
            </w:pPr>
            <w:r>
              <w:rPr>
                <w:rFonts w:ascii="Times New Roman" w:hAnsi="Times New Roman" w:eastAsia="宋体"/>
                <w:b w:val="0"/>
                <w:sz w:val="19"/>
              </w:rPr>
              <w:t>5,3,3</w:t>
            </w:r>
          </w:p>
        </w:tc>
      </w:tr>
      <w:tr>
        <w:trPr>
          <w:cantSplit/>
        </w:trPr>
        <w:tc>
          <w:tcPr>
            <w:tcW w:type="dxa" w:w="1880"/>
          </w:tcPr>
          <w:p>
            <w:pPr>
              <w:pStyle w:val="a2"/>
              <w:spacing w:before="40" w:after="40" w:line="252" w:lineRule="auto"/>
              <w:ind w:firstLine="0" w:firstLineChars="0" w:leftChars="0" w:left="0"/>
            </w:pPr>
            <w:r>
              <w:rPr>
                <w:rFonts w:ascii="Times New Roman" w:hAnsi="Times New Roman" w:eastAsia="宋体"/>
                <w:b w:val="0"/>
                <w:sz w:val="19"/>
              </w:rPr>
              <w:t>EMT-DLFR适配版</w:t>
            </w:r>
          </w:p>
        </w:tc>
        <w:tc>
          <w:tcPr>
            <w:tcW w:type="dxa" w:w="1880"/>
          </w:tcPr>
          <w:p>
            <w:pPr>
              <w:pStyle w:val="a2"/>
              <w:spacing w:before="40" w:after="40" w:line="252" w:lineRule="auto"/>
              <w:ind w:firstLine="0" w:firstLineChars="0" w:leftChars="0" w:left="0"/>
            </w:pPr>
            <w:r>
              <w:rPr>
                <w:rFonts w:ascii="Times New Roman" w:hAnsi="Times New Roman" w:eastAsia="宋体"/>
                <w:b w:val="0"/>
                <w:sz w:val="19"/>
              </w:rPr>
              <w:t>1131394</w:t>
            </w:r>
          </w:p>
        </w:tc>
        <w:tc>
          <w:tcPr>
            <w:tcW w:type="dxa" w:w="1880"/>
          </w:tcPr>
          <w:p>
            <w:pPr>
              <w:pStyle w:val="a2"/>
              <w:spacing w:before="40" w:after="40" w:line="252" w:lineRule="auto"/>
              <w:ind w:firstLine="0" w:firstLineChars="0" w:leftChars="0" w:left="0"/>
            </w:pPr>
            <w:r>
              <w:rPr>
                <w:rFonts w:ascii="Times New Roman" w:hAnsi="Times New Roman" w:eastAsia="宋体"/>
                <w:b w:val="0"/>
                <w:sz w:val="19"/>
              </w:rPr>
              <w:t>129.7</w:t>
            </w:r>
          </w:p>
        </w:tc>
        <w:tc>
          <w:tcPr>
            <w:tcW w:type="dxa" w:w="1880"/>
          </w:tcPr>
          <w:p>
            <w:pPr>
              <w:pStyle w:val="a2"/>
              <w:spacing w:before="40" w:after="40" w:line="252" w:lineRule="auto"/>
              <w:ind w:firstLine="0" w:firstLineChars="0" w:leftChars="0" w:left="0"/>
            </w:pPr>
            <w:r>
              <w:rPr>
                <w:rFonts w:ascii="Times New Roman" w:hAnsi="Times New Roman" w:eastAsia="宋体"/>
                <w:b w:val="0"/>
                <w:sz w:val="19"/>
              </w:rPr>
              <w:t>1.685</w:t>
            </w:r>
          </w:p>
        </w:tc>
        <w:tc>
          <w:tcPr>
            <w:tcW w:type="dxa" w:w="1880"/>
          </w:tcPr>
          <w:p>
            <w:pPr>
              <w:pStyle w:val="a2"/>
              <w:spacing w:before="40" w:after="40" w:line="252" w:lineRule="auto"/>
              <w:ind w:firstLine="0" w:firstLineChars="0" w:leftChars="0" w:left="0"/>
            </w:pPr>
            <w:r>
              <w:rPr>
                <w:rFonts w:ascii="Times New Roman" w:hAnsi="Times New Roman" w:eastAsia="宋体"/>
                <w:b w:val="0"/>
                <w:sz w:val="19"/>
              </w:rPr>
              <w:t>13,12,14</w:t>
            </w:r>
          </w:p>
        </w:tc>
      </w:tr>
      <w:tr>
        <w:trPr>
          <w:cantSplit/>
        </w:trPr>
        <w:tc>
          <w:tcPr>
            <w:tcW w:type="dxa" w:w="1880"/>
          </w:tcPr>
          <w:p>
            <w:pPr>
              <w:pStyle w:val="a2"/>
              <w:spacing w:before="40" w:after="40" w:line="252" w:lineRule="auto"/>
              <w:ind w:firstLine="0" w:firstLineChars="0" w:leftChars="0" w:left="0"/>
            </w:pPr>
            <w:r>
              <w:rPr>
                <w:rFonts w:ascii="Times New Roman" w:hAnsi="Times New Roman" w:eastAsia="宋体"/>
                <w:b w:val="0"/>
                <w:sz w:val="19"/>
              </w:rPr>
              <w:t>EMT去恢复约束</w:t>
            </w:r>
          </w:p>
        </w:tc>
        <w:tc>
          <w:tcPr>
            <w:tcW w:type="dxa" w:w="1880"/>
          </w:tcPr>
          <w:p>
            <w:pPr>
              <w:pStyle w:val="a2"/>
              <w:spacing w:before="40" w:after="40" w:line="252" w:lineRule="auto"/>
              <w:ind w:firstLine="0" w:firstLineChars="0" w:leftChars="0" w:left="0"/>
            </w:pPr>
            <w:r>
              <w:rPr>
                <w:rFonts w:ascii="Times New Roman" w:hAnsi="Times New Roman" w:eastAsia="宋体"/>
                <w:b w:val="0"/>
                <w:sz w:val="19"/>
              </w:rPr>
              <w:t>1131394</w:t>
            </w:r>
          </w:p>
        </w:tc>
        <w:tc>
          <w:tcPr>
            <w:tcW w:type="dxa" w:w="1880"/>
          </w:tcPr>
          <w:p>
            <w:pPr>
              <w:pStyle w:val="a2"/>
              <w:spacing w:before="40" w:after="40" w:line="252" w:lineRule="auto"/>
              <w:ind w:firstLine="0" w:firstLineChars="0" w:leftChars="0" w:left="0"/>
            </w:pPr>
            <w:r>
              <w:rPr>
                <w:rFonts w:ascii="Times New Roman" w:hAnsi="Times New Roman" w:eastAsia="宋体"/>
                <w:b w:val="0"/>
                <w:sz w:val="19"/>
              </w:rPr>
              <w:t>83.6</w:t>
            </w:r>
          </w:p>
        </w:tc>
        <w:tc>
          <w:tcPr>
            <w:tcW w:type="dxa" w:w="1880"/>
          </w:tcPr>
          <w:p>
            <w:pPr>
              <w:pStyle w:val="a2"/>
              <w:spacing w:before="40" w:after="40" w:line="252" w:lineRule="auto"/>
              <w:ind w:firstLine="0" w:firstLineChars="0" w:leftChars="0" w:left="0"/>
            </w:pPr>
            <w:r>
              <w:rPr>
                <w:rFonts w:ascii="Times New Roman" w:hAnsi="Times New Roman" w:eastAsia="宋体"/>
                <w:b w:val="0"/>
                <w:sz w:val="19"/>
              </w:rPr>
              <w:t>1.541</w:t>
            </w:r>
          </w:p>
        </w:tc>
        <w:tc>
          <w:tcPr>
            <w:tcW w:type="dxa" w:w="1880"/>
          </w:tcPr>
          <w:p>
            <w:pPr>
              <w:pStyle w:val="a2"/>
              <w:spacing w:before="40" w:after="40" w:line="252" w:lineRule="auto"/>
              <w:ind w:firstLine="0" w:firstLineChars="0" w:leftChars="0" w:left="0"/>
            </w:pPr>
            <w:r>
              <w:rPr>
                <w:rFonts w:ascii="Times New Roman" w:hAnsi="Times New Roman" w:eastAsia="宋体"/>
                <w:b w:val="0"/>
                <w:sz w:val="19"/>
              </w:rPr>
              <w:t>8,6,11</w:t>
            </w:r>
          </w:p>
        </w:tc>
      </w:tr>
    </w:tbl>
    <w:p>
      <w:pPr>
        <w:pStyle w:val="a2"/>
        <w:widowControl/>
      </w:pPr>
      <w:r>
        <w:t>耗时来自共享RTX4090服务器上的训练及验证记录，未包含共同文本编码缓存的完整制作成本，也不是模型独占设备下的精确推理基准。峰值分配为PyTorch记录的模型进程分配量，不是整张卡的总占用。该表用于说明当前计算代价与可运行性，不能据此宣称模型达到某个严格加速比。</w:t>
      </w:r>
    </w:p>
    <w:p>
      <w:pPr>
        <w:pStyle w:val="a2"/>
        <w:widowControl/>
      </w:pPr>
      <w:r>
        <w:t>版本记录包括PyTorch 2.10.0+cu130、Transformers 4.57.6、NumPy 2.5.0，以及固定BERT-Mini revision。数据、预处理、检查点与预测文件的校验值保留在复现材料中。正式论文还需与第一问、第三问一起核算≤50MB总附件要求；当前第二问约36.09MB复现包并不代表整题已经满足提交体积。</w:t>
      </w:r>
    </w:p>
    <w:p>
      <w:pPr>
        <w:pStyle w:val="11"/>
        <w:ind w:firstLine="0" w:firstLineChars="0" w:leftChars="0"/>
      </w:pPr>
      <w:bookmarkStart w:id="43" w:name="_PaperHeading042"/>
      <w:r>
        <w:t>7 三问之间的衔接、解释设计与研究局限</w:t>
      </w:r>
      <w:bookmarkEnd w:id="43"/>
    </w:p>
    <w:p>
      <w:pPr>
        <w:pStyle w:val="20"/>
        <w:ind w:firstLine="0" w:firstLineChars="0" w:leftChars="0"/>
      </w:pPr>
      <w:bookmarkStart w:id="44" w:name="_PaperHeading043"/>
      <w:r>
        <w:t>7.1 共享预测器不等于共享验证结论</w:t>
      </w:r>
      <w:bookmarkEnd w:id="44"/>
    </w:p>
    <w:p>
      <w:pPr>
        <w:pStyle w:val="a2"/>
        <w:widowControl/>
      </w:pPr>
      <w:r>
        <w:t>第一问提供的是可核验的原始信号到特征与时间的映射方法，第二问解决可见特征不完整时的片段级预测，第三问进一步要求解释这次预测依据。第二问可直接使用附件2学习，不以第一问100条自主特征为训练前置；但第三问回查原视频时，需要借鉴第一问的词级对齐与映射技术，并重新核对附件4现有特征行的对应关系。</w:t>
      </w:r>
    </w:p>
    <w:p>
      <w:pPr>
        <w:pStyle w:val="a2"/>
        <w:widowControl/>
      </w:pPr>
      <w:r>
        <w:t>一个在缺失输入下表现较好的预测器可以承受解释过程中的删除扰动，但这只降低了某些分布外风险，并不能证明解释忠实。第二问比较预测与标签，第三问比较干预前后的模型反应与原素材证据；目标和参照不同。注意力权重、融合门及重建特征都可以作为分析线索，仍需单独检验，而不能直接命名为真实模态贡献。</w:t>
      </w:r>
    </w:p>
    <w:p>
      <w:pPr>
        <w:pStyle w:val="20"/>
        <w:ind w:firstLine="0" w:firstLineChars="0" w:leftChars="0"/>
      </w:pPr>
      <w:bookmarkStart w:id="45" w:name="_PaperHeading044"/>
      <w:r>
        <w:t>7.2 可量化模态作用的待验证设计</w:t>
      </w:r>
      <w:bookmarkEnd w:id="45"/>
    </w:p>
    <w:p>
      <w:pPr>
        <w:pStyle w:val="a2"/>
        <w:widowControl/>
        <w:shd w:fill="F2F2F2"/>
      </w:pPr>
      <w:r>
        <w:rPr>
          <w:b/>
        </w:rPr>
        <w:t>以下为第三问候选设计，尚未运行附件4归因实验，不构成已完成的解释结果。</w:t>
      </w:r>
    </w:p>
    <w:p>
      <w:pPr>
        <w:pStyle w:val="a2"/>
        <w:widowControl/>
      </w:pPr>
      <w:r>
        <w:t>可固定样本原预测类别c*，以该类别概率f(S)或回归强度g(S)作为解释目标，S表示允许观察的模态集合。比较各集合前后始终解释同一个标量，避免删去模态后改用新类别概率而失去可比性。三模态只有8个子集，可穷举计算模态的平均边际贡献，区分单次删除的结果与模态间交互。</w:t>
      </w:r>
    </w:p>
    <w:p>
      <w:pPr>
        <w:pStyle w:val="工作稿公式"/>
        <w:spacing w:before="100" w:after="100"/>
        <w:ind w:firstLine="0" w:firstLineChars="0" w:leftChars="0"/>
        <w:jc w:val="center"/>
      </w:pPr>
      <m:oMath>
        <m:r>
          <m:t>Δₘ(S) = f(S∪{m})−f(S)</m:t>
        </m:r>
      </m:oMath>
      <w:r>
        <w:rPr>
          <w:rFonts w:ascii="Times New Roman" w:hAnsi="Times New Roman" w:eastAsia="宋体"/>
          <w:sz w:val="20"/>
        </w:rPr>
        <w:t xml:space="preserve">  （7-1）</w:t>
      </w:r>
    </w:p>
    <w:p>
      <w:pPr>
        <w:pStyle w:val="工作稿公式"/>
        <w:spacing w:before="100" w:after="100"/>
        <w:ind w:firstLine="0" w:firstLineChars="0" w:leftChars="0"/>
        <w:jc w:val="center"/>
      </w:pPr>
      <m:oMath>
        <m:r>
          <m:t>φₘ = Δₘ(∅)/3 + Σₙ≠ₘ Δₘ({n})/6 + Δₘ(M−{m})/3</m:t>
        </m:r>
      </m:oMath>
      <w:r>
        <w:rPr>
          <w:rFonts w:ascii="Times New Roman" w:hAnsi="Times New Roman" w:eastAsia="宋体"/>
          <w:sz w:val="20"/>
        </w:rPr>
        <w:t xml:space="preserve">  （7-2）</w:t>
      </w:r>
    </w:p>
    <w:p>
      <w:pPr>
        <w:pStyle w:val="a2"/>
        <w:widowControl/>
      </w:pPr>
      <w:r>
        <w:t>其中M={T,A,V}，求和遍历其余两个模态n；权重1/3、1/6和1/3分别对应空集、单模态和其余双模态联盟。该展开与一般三参与者Shapley公式等价。</w:t>
      </w:r>
    </w:p>
    <w:p>
      <w:pPr>
        <w:pStyle w:val="a2"/>
        <w:widowControl/>
      </w:pPr>
      <w:r>
        <w:t>这一定义是三模态合作博弈中的Shapley分解[9]，在精确计算和固定基线下满足Σₘφₘ=f(M)−f(∅)。它解释的是所选屏蔽约定下模型函数的变化，不自动具有真实世界因果含义。当前预测器在全空输入返回训练先验，故该先验也决定解释基线；结果需报告基线、正负贡献与模态组合方式。</w:t>
      </w:r>
    </w:p>
    <w:p>
      <w:pPr>
        <w:pStyle w:val="a2"/>
        <w:widowControl/>
      </w:pPr>
      <w:r>
        <w:t>附件4对齐13号视觉本来不可用。此时理论上删除该模态可能不改变模型输入，但归因数值接近0表示的是没有可用视觉证据，不能解释为视觉在真实场景中不重要。卡片应同时显示可用性与贡献，原始缺失模态标为不可评估；不从未对齐版本补特征来制造三模态完整的解释。</w:t>
      </w:r>
    </w:p>
    <w:p>
      <w:pPr>
        <w:pStyle w:val="20"/>
        <w:ind w:firstLine="0" w:firstLineChars="0" w:leftChars="0"/>
      </w:pPr>
      <w:bookmarkStart w:id="46" w:name="_PaperHeading045"/>
      <w:r>
        <w:t>7.3 局部证据及其时间定位的检验</w:t>
      </w:r>
      <w:bookmarkEnd w:id="46"/>
    </w:p>
    <w:p>
      <w:pPr>
        <w:pStyle w:val="a2"/>
        <w:widowControl/>
      </w:pPr>
      <w:r>
        <w:t>对主要参考模态，候选局部重要性可用固定宽度内容区间的删除效应衡量。文本删除需要重新编码，其余模态保留同一位置；音视频按对应掩码移除。高重要性区域是否确实影响模型，应与相同预算的随机删除、低重要性删除进行比较，且主要在附件2验证集确定解释设置，附件4仅作冻结方案的最终解释输出。</w:t>
      </w:r>
    </w:p>
    <w:p>
      <w:pPr>
        <w:pStyle w:val="a2"/>
        <w:widowControl/>
      </w:pPr>
      <w:r>
        <w:t>删除效应反映模型对该区域的依赖，但受到冗余证据、遮挡分布及窗口宽度影响。若某区域删除后输出不变，可能是信息被其他模态替代，不能直接说模型从未使用它。若解释需要更细的证据粒度，应比较不同宽度或组合扰动，而不是只挑一张看起来集中的热力图。</w:t>
      </w:r>
    </w:p>
    <w:p>
      <w:pPr>
        <w:pStyle w:val="a2"/>
        <w:widowControl/>
      </w:pPr>
      <w:r>
        <w:t>只有补全词级强制对齐、子词到原词映射并核验官方特征行对应后，才能把重要位置转换为原文、音频区间和视频帧PTS。子词共享原词区间时应报告词级分辨率，无法对齐时输出缺失定位及原因。视频帧率只能帮助秒到帧的变换，不能建立特征行到秒的对应。</w:t>
      </w:r>
    </w:p>
    <w:p>
      <w:pPr>
        <w:pStyle w:val="20"/>
        <w:ind w:firstLine="0" w:firstLineChars="0" w:leftChars="0"/>
      </w:pPr>
      <w:bookmarkStart w:id="47" w:name="_PaperHeading046"/>
      <w:r>
        <w:t>7.4 当前结论的适用范围与下一步证据需求</w:t>
      </w:r>
      <w:bookmarkEnd w:id="47"/>
    </w:p>
    <w:p>
      <w:pPr>
        <w:pStyle w:val="a2"/>
        <w:widowControl/>
      </w:pPr>
      <w:r>
        <w:t>当前可以确认输入接口与缺失语义已完成修正，多个候选在同一开发验证上进行了比较，专项30条预测可以复现；可以证明自建隐状态有界；可以观察到EMT较低的总体回归误差以及明显的类别间取舍。尚不能证明递推或恢复模块稳定提升全部任务，不能计算无标签专项准确率，也不能把第一问设计和第三问归因候选写成实测成果。</w:t>
      </w:r>
    </w:p>
    <w:p>
      <w:pPr>
        <w:pStyle w:val="a2"/>
        <w:widowControl/>
      </w:pPr>
      <w:r>
        <w:t>优先补充的实验应针对已暴露的证据缺口：对所有候选追加相同的三模态同步连续遮挡和散点遮挡压力测试；将恢复损失拆成独立消融并增加状态模型重复种子；在固定融合结构下检验有限文本微调；完成第一问全部100条特征与人工边界核验；完成第三问附件4接口、解释忠实性与原素材定位。它们是后续计划，不计入当前实验数量或结论。</w:t>
      </w:r>
    </w:p>
    <w:p>
      <w:pPr>
        <w:pStyle w:val="a2"/>
        <w:widowControl/>
      </w:pPr>
      <w:r>
        <w:t>当前数据不足以支持比赛排名或最优方法判断。论文的可信度应来自能够追溯的输入规则、清楚的数学对象、与实现一致的机制，以及对不利结果的完整报告。后续研究可以改变方法和目录，但每次改变都应形成新的可复核证据。</w:t>
      </w:r>
    </w:p>
    <w:p>
      <w:pPr>
        <w:pStyle w:val="11"/>
        <w:ind w:firstLine="0" w:firstLineChars="0" w:leftChars="0"/>
      </w:pPr>
      <w:bookmarkStart w:id="48" w:name="_PaperHeading047"/>
      <w:r>
        <w:t>参考文献</w:t>
      </w:r>
      <w:bookmarkEnd w:id="48"/>
    </w:p>
    <w:p>
      <w:pPr>
        <w:pStyle w:val="a2"/>
        <w:widowControl/>
      </w:pPr>
      <w:r>
        <w:t>[1] 2026年中国研究生数学建模竞赛E题. 复杂场景下多模态情感预测的数学建模与算法设计：题面及附件1—4[Z]. 2026.</w:t>
      </w:r>
    </w:p>
    <w:p>
      <w:pPr>
        <w:pStyle w:val="a2"/>
        <w:widowControl/>
      </w:pPr>
      <w:r>
        <w:t>[2] LIU Z, SHEN Y, LAKSHMINARASIMHAN V B, et al. Efficient Low-rank Multimodal Fusion With Modality-Specific Factors[C]//Proceedings of ACL. 2018. https://aclanthology.org/P18-1209/.</w:t>
      </w:r>
    </w:p>
    <w:p>
      <w:pPr>
        <w:pStyle w:val="a2"/>
        <w:widowControl/>
      </w:pPr>
      <w:r>
        <w:t>[3] TSAI Y H H, BAI S, LIANG P P, et al. Multimodal Transformer for Unaligned Multimodal Language Sequences[C]//Proceedings of ACL. 2019. https://arxiv.org/abs/1906.00295. 官方代码：https://github.com/yaohungt/Multimodal-Transformer.</w:t>
      </w:r>
    </w:p>
    <w:p>
      <w:pPr>
        <w:pStyle w:val="a2"/>
        <w:widowControl/>
      </w:pPr>
      <w:r>
        <w:t>[4] YUAN Z, LI W, XU H, et al. Transformer-based Feature Reconstruction Network for Robust Multimodal Sentiment Analysis[C]//Proceedings of ACM Multimedia. 2021. 官方代码：https://github.com/thuiar/TFR-Net.</w:t>
      </w:r>
    </w:p>
    <w:p>
      <w:pPr>
        <w:pStyle w:val="a2"/>
        <w:widowControl/>
      </w:pPr>
      <w:r>
        <w:t>[5] SUN L, LIAN Z, LIU B, TAO J. Efficient Multimodal Transformer with Dual-Level Feature Restoration for Robust Multimodal Sentiment Analysis[J]. IEEE Transactions on Affective Computing, 2023（在线发表年份按官方代码引用）. https://arxiv.org/abs/2208.07589. 官方代码：https://github.com/sunlicai/EMT-DLFR.</w:t>
      </w:r>
    </w:p>
    <w:p>
      <w:pPr>
        <w:pStyle w:val="a2"/>
        <w:widowControl/>
      </w:pPr>
      <w:r>
        <w:t>[6] DEVLIN J, CHANG M W, LEE K, TOUTANOVA K. BERT: Pre-training of Deep Bidirectional Transformers for Language Understanding[C]//Proceedings of NAACL-HLT. 2019. https://aclanthology.org/N19-1423/.</w:t>
      </w:r>
    </w:p>
    <w:p>
      <w:pPr>
        <w:pStyle w:val="a2"/>
        <w:widowControl/>
      </w:pPr>
      <w:r>
        <w:t>[7] EYBEN F, SCHERER K R, SCHULLER B W, et al. The Geneva Minimalistic Acoustic Parameter Set (GeMAPS) for Voice Research and Affective Computing[J]. IEEE Transactions on Affective Computing, 2016, 7(2):190-202.（问题一拟选工具背景，尚未运行）</w:t>
      </w:r>
    </w:p>
    <w:p>
      <w:pPr>
        <w:pStyle w:val="a2"/>
        <w:widowControl/>
      </w:pPr>
      <w:r>
        <w:t>[8] BALTRUSAITIS T, ZADEH A, LIM Y C, MORENCY L P. OpenFace 2.0: Facial Behavior Analysis Toolkit[C]//IEEE International Conference on Automatic Face &amp; Gesture Recognition. 2018.（问题一拟选工具背景，尚未运行）</w:t>
      </w:r>
    </w:p>
    <w:p>
      <w:pPr>
        <w:pStyle w:val="a2"/>
        <w:widowControl/>
      </w:pPr>
      <w:r>
        <w:t>[9] SHAPLEY L S. A Value for n-Person Games[C]//Contributions to the Theory of Games II. Princeton University Press, 1953: 307–317.（仅用于第三问候选归因定义，尚未运行）</w:t>
      </w:r>
    </w:p>
    <w:sectPr w:rsidR="0063776A" w:rsidRPr="0063776A" w:rsidSect="005B71F3">
      <w:footerReference w:type="default" r:id="rId23"/>
      <w:pgSz w:w="11900" w:h="16840"/>
      <w:pgMar w:top="2396" w:right="1251" w:bottom="2396" w:left="1251" w:header="1968" w:footer="454" w:gutter="0"/>
      <w:pgNumType w:start="1"/>
      <w:cols w:space="720"/>
      <w:noEndnot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E0EDA3" w14:textId="77777777" w:rsidR="00990241" w:rsidRDefault="00990241" w:rsidP="00B07CD8">
      <w:pPr>
        <w:ind w:firstLine="480"/>
      </w:pPr>
      <w:r>
        <w:separator/>
      </w:r>
    </w:p>
  </w:endnote>
  <w:endnote w:type="continuationSeparator" w:id="0">
    <w:p w14:paraId="3054B823" w14:textId="77777777" w:rsidR="00990241" w:rsidRDefault="00990241" w:rsidP="00B07CD8">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华文中宋">
    <w:panose1 w:val="02010600040101010101"/>
    <w:charset w:val="86"/>
    <w:family w:val="auto"/>
    <w:pitch w:val="variable"/>
    <w:sig w:usb0="00000287" w:usb1="080F0000" w:usb2="00000010" w:usb3="00000000" w:csb0="0004009F" w:csb1="00000000"/>
  </w:font>
  <w:font w:name="华文新魏">
    <w:panose1 w:val="02010800040101010101"/>
    <w:charset w:val="86"/>
    <w:family w:val="auto"/>
    <w:pitch w:val="variable"/>
    <w:sig w:usb0="00000001" w:usb1="080F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仿宋_GB2312">
    <w:altName w:val="微软雅黑"/>
    <w:charset w:val="86"/>
    <w:family w:val="modern"/>
    <w:pitch w:val="default"/>
    <w:sig w:usb0="00000000" w:usb1="00000000" w:usb2="00000010" w:usb3="00000000" w:csb0="00040000" w:csb1="00000000"/>
  </w:font>
  <w:font w:name="仿宋">
    <w:panose1 w:val="02010609060101010101"/>
    <w:charset w:val="86"/>
    <w:family w:val="modern"/>
    <w:pitch w:val="fixed"/>
    <w:sig w:usb0="800002BF" w:usb1="38CF7CFA" w:usb2="00000016" w:usb3="00000000" w:csb0="00040001" w:csb1="00000000"/>
  </w:font>
  <w:font w:name="隶书">
    <w:panose1 w:val="02010509060101010101"/>
    <w:charset w:val="86"/>
    <w:family w:val="modern"/>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ind w:firstLine="0" w:firstLineChars="0" w:leftChars="0"/>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E0BB5" w14:textId="77777777" w:rsidR="00990241" w:rsidRDefault="00990241" w:rsidP="00B07CD8">
      <w:pPr>
        <w:ind w:firstLine="480"/>
      </w:pPr>
      <w:r>
        <w:separator/>
      </w:r>
    </w:p>
  </w:footnote>
  <w:footnote w:type="continuationSeparator" w:id="0">
    <w:p w14:paraId="525A9E57" w14:textId="77777777" w:rsidR="00990241" w:rsidRDefault="00990241" w:rsidP="00B07CD8">
      <w:pPr>
        <w:ind w:firstLine="48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991C57"/>
    <w:multiLevelType w:val="multilevel"/>
    <w:tmpl w:val="7DD00F0C"/>
    <w:lvl w:ilvl="0">
      <w:start w:val="1"/>
      <w:numFmt w:val="chineseCountingThousand"/>
      <w:pStyle w:val="1"/>
      <w:suff w:val="space"/>
      <w:lvlText w:val="%1"/>
      <w:lvlJc w:val="center"/>
      <w:pPr>
        <w:ind w:left="0" w:firstLine="0"/>
      </w:pPr>
      <w:rPr>
        <w:rFonts w:hint="eastAsia"/>
      </w:rPr>
    </w:lvl>
    <w:lvl w:ilvl="1">
      <w:start w:val="1"/>
      <w:numFmt w:val="decimal"/>
      <w:isLgl/>
      <w:suff w:val="space"/>
      <w:lvlText w:val="%1.%2"/>
      <w:lvlJc w:val="left"/>
      <w:pPr>
        <w:ind w:left="0" w:firstLine="0"/>
      </w:pPr>
      <w:rPr>
        <w:rFonts w:hint="eastAsia"/>
      </w:rPr>
    </w:lvl>
    <w:lvl w:ilvl="2">
      <w:start w:val="1"/>
      <w:numFmt w:val="decimal"/>
      <w:pStyle w:val="3"/>
      <w:isLgl/>
      <w:suff w:val="space"/>
      <w:lvlText w:val="%1.%2.%3"/>
      <w:lvlJc w:val="left"/>
      <w:pPr>
        <w:ind w:left="0" w:firstLine="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 w15:restartNumberingAfterBreak="0">
    <w:nsid w:val="32CC6F25"/>
    <w:multiLevelType w:val="multilevel"/>
    <w:tmpl w:val="CD62B0AA"/>
    <w:lvl w:ilvl="0">
      <w:start w:val="1"/>
      <w:numFmt w:val="chineseCountingThousand"/>
      <w:suff w:val="space"/>
      <w:lvlText w:val="%1"/>
      <w:lvlJc w:val="center"/>
      <w:pPr>
        <w:ind w:left="0" w:firstLine="0"/>
      </w:pPr>
      <w:rPr>
        <w:rFonts w:hint="eastAsia"/>
      </w:rPr>
    </w:lvl>
    <w:lvl w:ilvl="1">
      <w:start w:val="1"/>
      <w:numFmt w:val="decimal"/>
      <w:pStyle w:val="2"/>
      <w:isLgl/>
      <w:suff w:val="space"/>
      <w:lvlText w:val="%1.%2"/>
      <w:lvlJc w:val="left"/>
      <w:pPr>
        <w:ind w:left="0" w:firstLine="0"/>
      </w:pPr>
      <w:rPr>
        <w:rFonts w:hint="eastAsia"/>
      </w:rPr>
    </w:lvl>
    <w:lvl w:ilvl="2">
      <w:start w:val="1"/>
      <w:numFmt w:val="decimal"/>
      <w:isLgl/>
      <w:suff w:val="space"/>
      <w:lvlText w:val="%1.%2.%3"/>
      <w:lvlJc w:val="left"/>
      <w:pPr>
        <w:ind w:left="0" w:firstLine="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2" w15:restartNumberingAfterBreak="0">
    <w:nsid w:val="375B5428"/>
    <w:multiLevelType w:val="hybridMultilevel"/>
    <w:tmpl w:val="4738B834"/>
    <w:lvl w:ilvl="0" w:tplc="32AC406A">
      <w:start w:val="1"/>
      <w:numFmt w:val="decimal"/>
      <w:pStyle w:val="a"/>
      <w:lvlText w:val="图%1."/>
      <w:lvlJc w:val="left"/>
      <w:pPr>
        <w:ind w:left="420" w:hanging="420"/>
      </w:pPr>
      <w:rPr>
        <w:rFonts w:ascii="Times New Roman" w:eastAsia="宋体" w:hAnsi="Times New Roman"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4C72673F"/>
    <w:multiLevelType w:val="hybridMultilevel"/>
    <w:tmpl w:val="A6BE4E4A"/>
    <w:lvl w:ilvl="0" w:tplc="E64A5FF6">
      <w:start w:val="1"/>
      <w:numFmt w:val="decimal"/>
      <w:pStyle w:val="a0"/>
      <w:lvlText w:val="表%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693574A4"/>
    <w:multiLevelType w:val="multilevel"/>
    <w:tmpl w:val="F0F2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B13EA3"/>
    <w:multiLevelType w:val="hybridMultilevel"/>
    <w:tmpl w:val="A2529706"/>
    <w:lvl w:ilvl="0" w:tplc="5164F95E">
      <w:start w:val="1"/>
      <w:numFmt w:val="decimal"/>
      <w:pStyle w:val="Figure"/>
      <w:lvlText w:val="Figure %1."/>
      <w:lvlJc w:val="center"/>
      <w:pPr>
        <w:ind w:left="420" w:hanging="420"/>
      </w:pPr>
      <w:rPr>
        <w:rFonts w:hint="eastAsia"/>
      </w:rPr>
    </w:lvl>
    <w:lvl w:ilvl="1" w:tplc="04090019" w:tentative="1">
      <w:start w:val="1"/>
      <w:numFmt w:val="lowerLetter"/>
      <w:lvlText w:val="%2)"/>
      <w:lvlJc w:val="left"/>
      <w:pPr>
        <w:ind w:left="890" w:hanging="420"/>
      </w:pPr>
    </w:lvl>
    <w:lvl w:ilvl="2" w:tplc="0409001B" w:tentative="1">
      <w:start w:val="1"/>
      <w:numFmt w:val="lowerRoman"/>
      <w:lvlText w:val="%3."/>
      <w:lvlJc w:val="right"/>
      <w:pPr>
        <w:ind w:left="1310" w:hanging="420"/>
      </w:pPr>
    </w:lvl>
    <w:lvl w:ilvl="3" w:tplc="0409000F" w:tentative="1">
      <w:start w:val="1"/>
      <w:numFmt w:val="decimal"/>
      <w:lvlText w:val="%4."/>
      <w:lvlJc w:val="left"/>
      <w:pPr>
        <w:ind w:left="1730" w:hanging="420"/>
      </w:pPr>
    </w:lvl>
    <w:lvl w:ilvl="4" w:tplc="04090019" w:tentative="1">
      <w:start w:val="1"/>
      <w:numFmt w:val="lowerLetter"/>
      <w:lvlText w:val="%5)"/>
      <w:lvlJc w:val="left"/>
      <w:pPr>
        <w:ind w:left="2150" w:hanging="420"/>
      </w:pPr>
    </w:lvl>
    <w:lvl w:ilvl="5" w:tplc="0409001B" w:tentative="1">
      <w:start w:val="1"/>
      <w:numFmt w:val="lowerRoman"/>
      <w:lvlText w:val="%6."/>
      <w:lvlJc w:val="right"/>
      <w:pPr>
        <w:ind w:left="2570" w:hanging="420"/>
      </w:pPr>
    </w:lvl>
    <w:lvl w:ilvl="6" w:tplc="0409000F" w:tentative="1">
      <w:start w:val="1"/>
      <w:numFmt w:val="decimal"/>
      <w:lvlText w:val="%7."/>
      <w:lvlJc w:val="left"/>
      <w:pPr>
        <w:ind w:left="2990" w:hanging="420"/>
      </w:pPr>
    </w:lvl>
    <w:lvl w:ilvl="7" w:tplc="04090019" w:tentative="1">
      <w:start w:val="1"/>
      <w:numFmt w:val="lowerLetter"/>
      <w:lvlText w:val="%8)"/>
      <w:lvlJc w:val="left"/>
      <w:pPr>
        <w:ind w:left="3410" w:hanging="420"/>
      </w:pPr>
    </w:lvl>
    <w:lvl w:ilvl="8" w:tplc="0409001B" w:tentative="1">
      <w:start w:val="1"/>
      <w:numFmt w:val="lowerRoman"/>
      <w:lvlText w:val="%9."/>
      <w:lvlJc w:val="right"/>
      <w:pPr>
        <w:ind w:left="3830" w:hanging="420"/>
      </w:pPr>
    </w:lvl>
  </w:abstractNum>
  <w:abstractNum w:abstractNumId="6" w15:restartNumberingAfterBreak="0">
    <w:nsid w:val="6F6133E0"/>
    <w:multiLevelType w:val="hybridMultilevel"/>
    <w:tmpl w:val="ACB65F60"/>
    <w:lvl w:ilvl="0" w:tplc="57B8B876">
      <w:start w:val="1"/>
      <w:numFmt w:val="decimal"/>
      <w:pStyle w:val="Table"/>
      <w:lvlText w:val="Table %1."/>
      <w:lvlJc w:val="center"/>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7" w15:restartNumberingAfterBreak="0">
    <w:nsid w:val="71DF4A42"/>
    <w:multiLevelType w:val="multilevel"/>
    <w:tmpl w:val="54140012"/>
    <w:lvl w:ilvl="0">
      <w:start w:val="1"/>
      <w:numFmt w:val="decimal"/>
      <w:pStyle w:val="10"/>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1.%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8" w15:restartNumberingAfterBreak="0">
    <w:nsid w:val="7B5D0079"/>
    <w:multiLevelType w:val="multilevel"/>
    <w:tmpl w:val="B068F77E"/>
    <w:lvl w:ilvl="0">
      <w:start w:val="1"/>
      <w:numFmt w:val="chineseCountingThousand"/>
      <w:lvlText w:val="%1、"/>
      <w:lvlJc w:val="left"/>
      <w:pPr>
        <w:ind w:left="420" w:hanging="420"/>
      </w:pPr>
      <w:rPr>
        <w:rFonts w:hint="eastAsia"/>
      </w:rPr>
    </w:lvl>
    <w:lvl w:ilvl="1">
      <w:start w:val="1"/>
      <w:numFmt w:val="decimal"/>
      <w:isLgl/>
      <w:suff w:val="space"/>
      <w:lvlText w:val="%1.%2"/>
      <w:lvlJc w:val="left"/>
      <w:pPr>
        <w:ind w:left="0" w:firstLine="0"/>
      </w:pPr>
      <w:rPr>
        <w:rFonts w:hint="eastAsia"/>
      </w:rPr>
    </w:lvl>
    <w:lvl w:ilvl="2">
      <w:start w:val="1"/>
      <w:numFmt w:val="decimal"/>
      <w:isLgl/>
      <w:suff w:val="space"/>
      <w:lvlText w:val="%1.%2.%3"/>
      <w:lvlJc w:val="left"/>
      <w:pPr>
        <w:ind w:left="0" w:firstLine="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num w:numId="1" w16cid:durableId="1049301844">
    <w:abstractNumId w:val="0"/>
  </w:num>
  <w:num w:numId="2" w16cid:durableId="514079193">
    <w:abstractNumId w:val="0"/>
  </w:num>
  <w:num w:numId="3" w16cid:durableId="1478841932">
    <w:abstractNumId w:val="0"/>
  </w:num>
  <w:num w:numId="4" w16cid:durableId="19935271">
    <w:abstractNumId w:val="0"/>
  </w:num>
  <w:num w:numId="5" w16cid:durableId="738107">
    <w:abstractNumId w:val="0"/>
  </w:num>
  <w:num w:numId="6" w16cid:durableId="2012295095">
    <w:abstractNumId w:val="0"/>
  </w:num>
  <w:num w:numId="7" w16cid:durableId="1001350170">
    <w:abstractNumId w:val="0"/>
  </w:num>
  <w:num w:numId="8" w16cid:durableId="1933509478">
    <w:abstractNumId w:val="1"/>
  </w:num>
  <w:num w:numId="9" w16cid:durableId="798231103">
    <w:abstractNumId w:val="1"/>
  </w:num>
  <w:num w:numId="10" w16cid:durableId="1127889659">
    <w:abstractNumId w:val="0"/>
  </w:num>
  <w:num w:numId="11" w16cid:durableId="2128307122">
    <w:abstractNumId w:val="0"/>
  </w:num>
  <w:num w:numId="12" w16cid:durableId="1204946414">
    <w:abstractNumId w:val="1"/>
  </w:num>
  <w:num w:numId="13" w16cid:durableId="2048069334">
    <w:abstractNumId w:val="0"/>
  </w:num>
  <w:num w:numId="14" w16cid:durableId="737366672">
    <w:abstractNumId w:val="8"/>
  </w:num>
  <w:num w:numId="15" w16cid:durableId="1287856737">
    <w:abstractNumId w:val="3"/>
  </w:num>
  <w:num w:numId="16" w16cid:durableId="1951204950">
    <w:abstractNumId w:val="2"/>
  </w:num>
  <w:num w:numId="17" w16cid:durableId="1083258708">
    <w:abstractNumId w:val="5"/>
  </w:num>
  <w:num w:numId="18" w16cid:durableId="28998943">
    <w:abstractNumId w:val="6"/>
  </w:num>
  <w:num w:numId="19" w16cid:durableId="1305238558">
    <w:abstractNumId w:val="4"/>
  </w:num>
  <w:num w:numId="20" w16cid:durableId="38903952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7E1D"/>
    <w:rsid w:val="0000202F"/>
    <w:rsid w:val="000121B9"/>
    <w:rsid w:val="00031122"/>
    <w:rsid w:val="000666A2"/>
    <w:rsid w:val="000F7E1D"/>
    <w:rsid w:val="00121850"/>
    <w:rsid w:val="00196C7D"/>
    <w:rsid w:val="00277D3A"/>
    <w:rsid w:val="002B1532"/>
    <w:rsid w:val="002D6A49"/>
    <w:rsid w:val="003945A6"/>
    <w:rsid w:val="003B6E01"/>
    <w:rsid w:val="003D6E2D"/>
    <w:rsid w:val="003E2F40"/>
    <w:rsid w:val="003E77F5"/>
    <w:rsid w:val="00403B71"/>
    <w:rsid w:val="00533671"/>
    <w:rsid w:val="005424C7"/>
    <w:rsid w:val="005504A6"/>
    <w:rsid w:val="00571484"/>
    <w:rsid w:val="00575224"/>
    <w:rsid w:val="00594E69"/>
    <w:rsid w:val="005B71F3"/>
    <w:rsid w:val="005E5192"/>
    <w:rsid w:val="005F2472"/>
    <w:rsid w:val="00610356"/>
    <w:rsid w:val="0063776A"/>
    <w:rsid w:val="00671438"/>
    <w:rsid w:val="006758E6"/>
    <w:rsid w:val="006875E8"/>
    <w:rsid w:val="006D1A76"/>
    <w:rsid w:val="006E1FED"/>
    <w:rsid w:val="007A2E95"/>
    <w:rsid w:val="007C021C"/>
    <w:rsid w:val="007C1E22"/>
    <w:rsid w:val="007D0536"/>
    <w:rsid w:val="00856092"/>
    <w:rsid w:val="008619E2"/>
    <w:rsid w:val="008C34CD"/>
    <w:rsid w:val="008D7CDA"/>
    <w:rsid w:val="00990241"/>
    <w:rsid w:val="009B79DE"/>
    <w:rsid w:val="009D7874"/>
    <w:rsid w:val="009E6A91"/>
    <w:rsid w:val="00A4784A"/>
    <w:rsid w:val="00A56005"/>
    <w:rsid w:val="00A56D8B"/>
    <w:rsid w:val="00A669AA"/>
    <w:rsid w:val="00B07CD8"/>
    <w:rsid w:val="00B36289"/>
    <w:rsid w:val="00BB747F"/>
    <w:rsid w:val="00BE7C29"/>
    <w:rsid w:val="00C10E1A"/>
    <w:rsid w:val="00C20565"/>
    <w:rsid w:val="00D0088A"/>
    <w:rsid w:val="00DB01B0"/>
    <w:rsid w:val="00DE28AF"/>
    <w:rsid w:val="00DE58D3"/>
    <w:rsid w:val="00E044B9"/>
    <w:rsid w:val="00E73B37"/>
    <w:rsid w:val="00F6164C"/>
    <w:rsid w:val="00F91189"/>
    <w:rsid w:val="00FB3E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B1D3ACE"/>
  <w15:chartTrackingRefBased/>
  <w15:docId w15:val="{7A9C808D-1FAC-4EC6-9853-D246672C5B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1"/>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lsdException w:name="heading 5" w:semiHidden="1" w:uiPriority="9"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lsdException w:name="Emphasis" w:semiHidden="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lsdException w:name="Quote" w:semiHidden="1" w:uiPriority="29"/>
    <w:lsdException w:name="Intense Quote" w:semiHidden="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lsdException w:name="Intense Emphasis" w:semiHidden="1" w:uiPriority="21"/>
    <w:lsdException w:name="Subtle Reference" w:semiHidden="1" w:uiPriority="31"/>
    <w:lsdException w:name="Intense Reference" w:semiHidden="1" w:uiPriority="32"/>
    <w:lsdException w:name="Book Title" w:semiHidden="1" w:uiPriority="33"/>
    <w:lsdException w:name="Bibliography" w:semiHidden="1" w:uiPriority="37"/>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610356"/>
    <w:pPr>
      <w:widowControl w:val="0"/>
      <w:ind w:firstLineChars="200" w:firstLine="200"/>
    </w:pPr>
    <w:rPr>
      <w:rFonts w:ascii="Courier New" w:eastAsia="宋体" w:hAnsi="Courier New" w:cs="Courier New"/>
      <w:color w:val="000000"/>
      <w:kern w:val="0"/>
      <w:sz w:val="24"/>
      <w:szCs w:val="24"/>
      <w:lang w:eastAsia="en-US" w:bidi="en-US"/>
    </w:rPr>
  </w:style>
  <w:style w:type="paragraph" w:styleId="11">
    <w:name w:val="heading 1"/>
    <w:basedOn w:val="a1"/>
    <w:next w:val="a2"/>
    <w:link w:val="12"/>
    <w:autoRedefine/>
    <w:uiPriority w:val="1"/>
    <w:qFormat/>
    <w:rsid w:val="000666A2"/>
    <w:pPr>
      <w:keepNext/>
      <w:keepLines/>
      <w:spacing w:before="120" w:after="120"/>
      <w:jc w:val="center"/>
      <w:outlineLvl w:val="0"/>
    </w:pPr>
    <w:rPr>
      <w:rFonts w:ascii="Times New Roman" w:eastAsia="黑体" w:hAnsi="Times New Roman"/>
      <w:b/>
      <w:bCs/>
      <w:kern w:val="44"/>
      <w:sz w:val="28"/>
      <w:szCs w:val="44"/>
      <w:lang w:eastAsia="zh-CN" w:bidi="ar-SA"/>
    </w:rPr>
  </w:style>
  <w:style w:type="paragraph" w:styleId="20">
    <w:name w:val="heading 2"/>
    <w:basedOn w:val="a1"/>
    <w:next w:val="a1"/>
    <w:link w:val="21"/>
    <w:autoRedefine/>
    <w:uiPriority w:val="1"/>
    <w:qFormat/>
    <w:rsid w:val="002D6A49"/>
    <w:pPr>
      <w:keepNext/>
      <w:keepLines/>
      <w:ind w:left="142" w:firstLineChars="0" w:firstLine="0"/>
      <w:outlineLvl w:val="1"/>
    </w:pPr>
    <w:rPr>
      <w:rFonts w:ascii="Times New Roman" w:hAnsi="Times New Roman" w:cstheme="majorBidi"/>
      <w:b/>
      <w:bCs/>
      <w:szCs w:val="32"/>
      <w:lang w:eastAsia="zh-CN" w:bidi="ar-SA"/>
    </w:rPr>
  </w:style>
  <w:style w:type="paragraph" w:styleId="30">
    <w:name w:val="heading 3"/>
    <w:basedOn w:val="20"/>
    <w:next w:val="a1"/>
    <w:link w:val="31"/>
    <w:autoRedefine/>
    <w:uiPriority w:val="1"/>
    <w:qFormat/>
    <w:rsid w:val="002D6A49"/>
    <w:pPr>
      <w:keepNext/>
      <w:ind w:leftChars="142" w:firstLine="142"/>
      <w:outlineLvl w:val="2"/>
    </w:p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a2">
    <w:name w:val="建模正文"/>
    <w:basedOn w:val="a1"/>
    <w:link w:val="a6"/>
    <w:autoRedefine/>
    <w:qFormat/>
    <w:rsid w:val="009D7874"/>
    <w:pPr>
      <w:spacing w:beforeLines="50" w:before="120" w:afterLines="50" w:after="120"/>
      <w:ind w:firstLine="480"/>
      <w:jc w:val="both"/>
    </w:pPr>
    <w:rPr>
      <w:rFonts w:ascii="Times New Roman" w:hAnsi="Times New Roman" w:cstheme="minorBidi"/>
      <w:bCs/>
      <w:color w:val="auto"/>
      <w:kern w:val="2"/>
      <w:lang w:eastAsia="zh-CN"/>
    </w:rPr>
  </w:style>
  <w:style w:type="character" w:customStyle="1" w:styleId="a6">
    <w:name w:val="建模正文 字符"/>
    <w:basedOn w:val="a3"/>
    <w:link w:val="a2"/>
    <w:rsid w:val="009D7874"/>
    <w:rPr>
      <w:rFonts w:ascii="Times New Roman" w:eastAsia="宋体" w:hAnsi="Times New Roman"/>
      <w:bCs/>
      <w:sz w:val="24"/>
      <w:szCs w:val="24"/>
      <w:lang w:bidi="en-US"/>
    </w:rPr>
  </w:style>
  <w:style w:type="paragraph" w:customStyle="1" w:styleId="3">
    <w:name w:val="建模3级标题"/>
    <w:basedOn w:val="a2"/>
    <w:next w:val="a2"/>
    <w:link w:val="32"/>
    <w:autoRedefine/>
    <w:semiHidden/>
    <w:rsid w:val="000121B9"/>
    <w:pPr>
      <w:keepNext/>
      <w:keepLines/>
      <w:numPr>
        <w:ilvl w:val="2"/>
        <w:numId w:val="2"/>
      </w:numPr>
    </w:pPr>
    <w:rPr>
      <w:rFonts w:eastAsia="黑体"/>
    </w:rPr>
  </w:style>
  <w:style w:type="paragraph" w:customStyle="1" w:styleId="2">
    <w:name w:val="建模2级标题"/>
    <w:basedOn w:val="a2"/>
    <w:next w:val="a2"/>
    <w:link w:val="22"/>
    <w:autoRedefine/>
    <w:semiHidden/>
    <w:rsid w:val="000121B9"/>
    <w:pPr>
      <w:keepNext/>
      <w:keepLines/>
      <w:numPr>
        <w:ilvl w:val="1"/>
        <w:numId w:val="9"/>
      </w:numPr>
      <w:tabs>
        <w:tab w:val="num" w:pos="360"/>
      </w:tabs>
      <w:ind w:firstLine="480"/>
      <w:jc w:val="left"/>
    </w:pPr>
    <w:rPr>
      <w:rFonts w:eastAsia="黑体"/>
      <w:b/>
    </w:rPr>
  </w:style>
  <w:style w:type="paragraph" w:customStyle="1" w:styleId="10">
    <w:name w:val="标题1"/>
    <w:basedOn w:val="a1"/>
    <w:next w:val="a1"/>
    <w:semiHidden/>
    <w:rsid w:val="00F91189"/>
    <w:pPr>
      <w:numPr>
        <w:numId w:val="20"/>
      </w:numPr>
      <w:jc w:val="center"/>
    </w:pPr>
    <w:rPr>
      <w:rFonts w:eastAsia="黑体"/>
      <w:b/>
      <w:sz w:val="28"/>
    </w:rPr>
  </w:style>
  <w:style w:type="paragraph" w:customStyle="1" w:styleId="1">
    <w:name w:val="建模1级标题"/>
    <w:basedOn w:val="a2"/>
    <w:next w:val="a2"/>
    <w:link w:val="13"/>
    <w:semiHidden/>
    <w:rsid w:val="000121B9"/>
    <w:pPr>
      <w:keepNext/>
      <w:keepLines/>
      <w:numPr>
        <w:numId w:val="13"/>
      </w:numPr>
      <w:tabs>
        <w:tab w:val="num" w:pos="360"/>
      </w:tabs>
      <w:ind w:firstLine="480"/>
      <w:jc w:val="center"/>
    </w:pPr>
    <w:rPr>
      <w:rFonts w:eastAsia="黑体"/>
      <w:b/>
      <w:sz w:val="28"/>
    </w:rPr>
  </w:style>
  <w:style w:type="character" w:customStyle="1" w:styleId="13">
    <w:name w:val="建模1级标题 字符"/>
    <w:basedOn w:val="a3"/>
    <w:link w:val="1"/>
    <w:semiHidden/>
    <w:rsid w:val="006875E8"/>
    <w:rPr>
      <w:rFonts w:ascii="宋体" w:eastAsia="黑体" w:hAnsi="宋体"/>
      <w:b/>
      <w:bCs/>
      <w:sz w:val="28"/>
      <w:szCs w:val="24"/>
    </w:rPr>
  </w:style>
  <w:style w:type="character" w:customStyle="1" w:styleId="22">
    <w:name w:val="建模2级标题 字符"/>
    <w:basedOn w:val="a3"/>
    <w:link w:val="2"/>
    <w:semiHidden/>
    <w:rsid w:val="006875E8"/>
    <w:rPr>
      <w:rFonts w:ascii="宋体" w:eastAsia="黑体" w:hAnsi="宋体"/>
      <w:b/>
      <w:bCs/>
      <w:sz w:val="24"/>
      <w:szCs w:val="24"/>
    </w:rPr>
  </w:style>
  <w:style w:type="character" w:customStyle="1" w:styleId="32">
    <w:name w:val="建模3级标题 字符"/>
    <w:basedOn w:val="a3"/>
    <w:link w:val="3"/>
    <w:semiHidden/>
    <w:rsid w:val="006875E8"/>
    <w:rPr>
      <w:rFonts w:ascii="宋体" w:eastAsia="黑体" w:hAnsi="宋体"/>
      <w:bCs/>
      <w:sz w:val="24"/>
      <w:szCs w:val="24"/>
    </w:rPr>
  </w:style>
  <w:style w:type="character" w:customStyle="1" w:styleId="12">
    <w:name w:val="标题 1 字符"/>
    <w:basedOn w:val="a3"/>
    <w:link w:val="11"/>
    <w:uiPriority w:val="1"/>
    <w:rsid w:val="000666A2"/>
    <w:rPr>
      <w:rFonts w:ascii="Times New Roman" w:eastAsia="黑体" w:hAnsi="Times New Roman" w:cs="Courier New"/>
      <w:b/>
      <w:bCs/>
      <w:color w:val="000000"/>
      <w:kern w:val="44"/>
      <w:sz w:val="28"/>
      <w:szCs w:val="44"/>
    </w:rPr>
  </w:style>
  <w:style w:type="character" w:customStyle="1" w:styleId="21">
    <w:name w:val="标题 2 字符"/>
    <w:basedOn w:val="a3"/>
    <w:link w:val="20"/>
    <w:uiPriority w:val="1"/>
    <w:rsid w:val="002D6A49"/>
    <w:rPr>
      <w:rFonts w:ascii="Times New Roman" w:eastAsia="宋体" w:hAnsi="Times New Roman" w:cstheme="majorBidi"/>
      <w:b/>
      <w:bCs/>
      <w:color w:val="000000"/>
      <w:kern w:val="0"/>
      <w:sz w:val="24"/>
      <w:szCs w:val="32"/>
    </w:rPr>
  </w:style>
  <w:style w:type="character" w:customStyle="1" w:styleId="31">
    <w:name w:val="标题 3 字符"/>
    <w:basedOn w:val="a3"/>
    <w:link w:val="30"/>
    <w:uiPriority w:val="1"/>
    <w:rsid w:val="002D6A49"/>
    <w:rPr>
      <w:rFonts w:ascii="Times New Roman" w:eastAsia="宋体" w:hAnsi="Times New Roman" w:cstheme="majorBidi"/>
      <w:b/>
      <w:bCs/>
      <w:color w:val="000000"/>
      <w:kern w:val="0"/>
      <w:sz w:val="24"/>
      <w:szCs w:val="32"/>
    </w:rPr>
  </w:style>
  <w:style w:type="table" w:styleId="a7">
    <w:name w:val="Table Grid"/>
    <w:basedOn w:val="a4"/>
    <w:uiPriority w:val="39"/>
    <w:rsid w:val="005424C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8">
    <w:name w:val="三线表"/>
    <w:basedOn w:val="a4"/>
    <w:uiPriority w:val="99"/>
    <w:rsid w:val="005424C7"/>
    <w:tblPr>
      <w:tblBorders>
        <w:top w:val="thinThickSmallGap" w:sz="12" w:space="0" w:color="auto"/>
        <w:bottom w:val="thickThinSmallGap" w:sz="12" w:space="0" w:color="auto"/>
      </w:tblBorders>
    </w:tblPr>
    <w:tblStylePr w:type="firstRow">
      <w:tblPr/>
      <w:tcPr>
        <w:tcBorders>
          <w:bottom w:val="single" w:sz="4" w:space="0" w:color="auto"/>
        </w:tcBorders>
      </w:tcPr>
    </w:tblStylePr>
  </w:style>
  <w:style w:type="paragraph" w:customStyle="1" w:styleId="a9">
    <w:name w:val="公式编号"/>
    <w:basedOn w:val="a1"/>
    <w:link w:val="aa"/>
    <w:autoRedefine/>
    <w:uiPriority w:val="2"/>
    <w:qFormat/>
    <w:rsid w:val="00403B71"/>
    <w:pPr>
      <w:tabs>
        <w:tab w:val="center" w:pos="4095"/>
        <w:tab w:val="right" w:pos="7140"/>
      </w:tabs>
      <w:jc w:val="center"/>
      <w:textAlignment w:val="center"/>
    </w:pPr>
  </w:style>
  <w:style w:type="paragraph" w:customStyle="1" w:styleId="a">
    <w:name w:val="图名"/>
    <w:basedOn w:val="a1"/>
    <w:next w:val="a2"/>
    <w:link w:val="ab"/>
    <w:autoRedefine/>
    <w:uiPriority w:val="1"/>
    <w:qFormat/>
    <w:rsid w:val="005F2472"/>
    <w:pPr>
      <w:numPr>
        <w:numId w:val="16"/>
      </w:numPr>
      <w:spacing w:afterLines="50" w:after="50"/>
      <w:jc w:val="center"/>
      <w:textAlignment w:val="center"/>
    </w:pPr>
    <w:rPr>
      <w:rFonts w:ascii="Times New Roman" w:eastAsia="黑体" w:hAnsi="Times New Roman"/>
      <w:b/>
    </w:rPr>
  </w:style>
  <w:style w:type="character" w:customStyle="1" w:styleId="aa">
    <w:name w:val="公式编号 字符"/>
    <w:basedOn w:val="a3"/>
    <w:link w:val="a9"/>
    <w:uiPriority w:val="2"/>
    <w:rsid w:val="006875E8"/>
    <w:rPr>
      <w:rFonts w:eastAsia="宋体"/>
    </w:rPr>
  </w:style>
  <w:style w:type="paragraph" w:customStyle="1" w:styleId="a0">
    <w:name w:val="表名"/>
    <w:basedOn w:val="a1"/>
    <w:link w:val="ac"/>
    <w:autoRedefine/>
    <w:uiPriority w:val="1"/>
    <w:qFormat/>
    <w:rsid w:val="005F2472"/>
    <w:pPr>
      <w:numPr>
        <w:numId w:val="15"/>
      </w:numPr>
      <w:spacing w:beforeLines="50" w:before="50"/>
      <w:ind w:left="0" w:firstLine="0"/>
      <w:jc w:val="center"/>
    </w:pPr>
    <w:rPr>
      <w:rFonts w:ascii="Times New Roman" w:eastAsia="黑体" w:hAnsi="Times New Roman"/>
      <w:b/>
    </w:rPr>
  </w:style>
  <w:style w:type="character" w:customStyle="1" w:styleId="ab">
    <w:name w:val="图名 字符"/>
    <w:basedOn w:val="a3"/>
    <w:link w:val="a"/>
    <w:uiPriority w:val="1"/>
    <w:rsid w:val="005F2472"/>
    <w:rPr>
      <w:rFonts w:ascii="Times New Roman" w:eastAsia="黑体" w:hAnsi="Times New Roman"/>
      <w:b/>
    </w:rPr>
  </w:style>
  <w:style w:type="paragraph" w:customStyle="1" w:styleId="Figure">
    <w:name w:val="Figure"/>
    <w:basedOn w:val="a9"/>
    <w:link w:val="Figure0"/>
    <w:autoRedefine/>
    <w:uiPriority w:val="2"/>
    <w:qFormat/>
    <w:rsid w:val="005F2472"/>
    <w:pPr>
      <w:numPr>
        <w:numId w:val="17"/>
      </w:numPr>
      <w:spacing w:beforeLines="50" w:before="156"/>
    </w:pPr>
    <w:rPr>
      <w:rFonts w:ascii="Times New Roman" w:hAnsi="Times New Roman"/>
      <w:b/>
    </w:rPr>
  </w:style>
  <w:style w:type="character" w:customStyle="1" w:styleId="ac">
    <w:name w:val="表名 字符"/>
    <w:basedOn w:val="a3"/>
    <w:link w:val="a0"/>
    <w:uiPriority w:val="1"/>
    <w:rsid w:val="005F2472"/>
    <w:rPr>
      <w:rFonts w:ascii="Times New Roman" w:eastAsia="黑体" w:hAnsi="Times New Roman"/>
      <w:b/>
    </w:rPr>
  </w:style>
  <w:style w:type="paragraph" w:customStyle="1" w:styleId="Table">
    <w:name w:val="Table"/>
    <w:basedOn w:val="a"/>
    <w:link w:val="Table0"/>
    <w:autoRedefine/>
    <w:uiPriority w:val="2"/>
    <w:qFormat/>
    <w:rsid w:val="005F2472"/>
    <w:pPr>
      <w:numPr>
        <w:numId w:val="18"/>
      </w:numPr>
    </w:pPr>
    <w:rPr>
      <w:rFonts w:eastAsia="宋体"/>
    </w:rPr>
  </w:style>
  <w:style w:type="character" w:customStyle="1" w:styleId="Figure0">
    <w:name w:val="Figure 字符"/>
    <w:basedOn w:val="aa"/>
    <w:link w:val="Figure"/>
    <w:uiPriority w:val="2"/>
    <w:rsid w:val="005F2472"/>
    <w:rPr>
      <w:rFonts w:ascii="Times New Roman" w:eastAsia="宋体" w:hAnsi="Times New Roman"/>
      <w:b/>
    </w:rPr>
  </w:style>
  <w:style w:type="character" w:customStyle="1" w:styleId="Table0">
    <w:name w:val="Table 字符"/>
    <w:basedOn w:val="ab"/>
    <w:link w:val="Table"/>
    <w:uiPriority w:val="2"/>
    <w:rsid w:val="005F2472"/>
    <w:rPr>
      <w:rFonts w:ascii="Times New Roman" w:eastAsia="宋体" w:hAnsi="Times New Roman"/>
      <w:b/>
    </w:rPr>
  </w:style>
  <w:style w:type="character" w:customStyle="1" w:styleId="23">
    <w:name w:val="页眉或页脚 (2)_"/>
    <w:basedOn w:val="a3"/>
    <w:link w:val="24"/>
    <w:rsid w:val="000F7E1D"/>
    <w:rPr>
      <w:rFonts w:ascii="Times New Roman" w:eastAsia="Times New Roman" w:hAnsi="Times New Roman" w:cs="Times New Roman"/>
      <w:sz w:val="20"/>
      <w:szCs w:val="20"/>
    </w:rPr>
  </w:style>
  <w:style w:type="character" w:customStyle="1" w:styleId="5">
    <w:name w:val="正文文本 (5)_"/>
    <w:basedOn w:val="a3"/>
    <w:link w:val="50"/>
    <w:rsid w:val="000F7E1D"/>
    <w:rPr>
      <w:rFonts w:ascii="黑体" w:eastAsia="黑体" w:hAnsi="黑体" w:cs="黑体"/>
      <w:sz w:val="32"/>
      <w:szCs w:val="32"/>
      <w:u w:val="single"/>
      <w:lang w:val="zh-CN" w:bidi="zh-CN"/>
    </w:rPr>
  </w:style>
  <w:style w:type="character" w:customStyle="1" w:styleId="ad">
    <w:name w:val="正文文本_"/>
    <w:basedOn w:val="a3"/>
    <w:link w:val="14"/>
    <w:rsid w:val="000F7E1D"/>
    <w:rPr>
      <w:rFonts w:ascii="宋体" w:eastAsia="宋体" w:hAnsi="宋体" w:cs="宋体"/>
      <w:lang w:val="zh-CN" w:bidi="zh-CN"/>
    </w:rPr>
  </w:style>
  <w:style w:type="character" w:customStyle="1" w:styleId="6">
    <w:name w:val="正文文本 (6)_"/>
    <w:basedOn w:val="a3"/>
    <w:link w:val="60"/>
    <w:rsid w:val="000F7E1D"/>
    <w:rPr>
      <w:rFonts w:ascii="黑体" w:eastAsia="黑体" w:hAnsi="黑体" w:cs="黑体"/>
      <w:b/>
      <w:bCs/>
      <w:sz w:val="28"/>
      <w:szCs w:val="28"/>
      <w:lang w:val="zh-CN" w:bidi="zh-CN"/>
    </w:rPr>
  </w:style>
  <w:style w:type="paragraph" w:customStyle="1" w:styleId="24">
    <w:name w:val="页眉或页脚 (2)"/>
    <w:basedOn w:val="a1"/>
    <w:link w:val="23"/>
    <w:rsid w:val="000F7E1D"/>
    <w:rPr>
      <w:rFonts w:ascii="Times New Roman" w:eastAsia="Times New Roman" w:hAnsi="Times New Roman" w:cs="Times New Roman"/>
      <w:color w:val="auto"/>
      <w:kern w:val="2"/>
      <w:sz w:val="20"/>
      <w:szCs w:val="20"/>
      <w:lang w:eastAsia="zh-CN" w:bidi="ar-SA"/>
    </w:rPr>
  </w:style>
  <w:style w:type="paragraph" w:customStyle="1" w:styleId="50">
    <w:name w:val="正文文本 (5)"/>
    <w:basedOn w:val="a1"/>
    <w:link w:val="5"/>
    <w:rsid w:val="000F7E1D"/>
    <w:pPr>
      <w:spacing w:after="100"/>
      <w:ind w:firstLine="220"/>
    </w:pPr>
    <w:rPr>
      <w:rFonts w:ascii="黑体" w:eastAsia="黑体" w:hAnsi="黑体" w:cs="黑体"/>
      <w:color w:val="auto"/>
      <w:kern w:val="2"/>
      <w:sz w:val="32"/>
      <w:szCs w:val="32"/>
      <w:u w:val="single"/>
      <w:lang w:val="zh-CN" w:eastAsia="zh-CN" w:bidi="zh-CN"/>
    </w:rPr>
  </w:style>
  <w:style w:type="paragraph" w:customStyle="1" w:styleId="14">
    <w:name w:val="正文文本1"/>
    <w:basedOn w:val="a1"/>
    <w:link w:val="ad"/>
    <w:rsid w:val="000F7E1D"/>
    <w:pPr>
      <w:spacing w:after="120" w:line="348" w:lineRule="auto"/>
      <w:ind w:firstLine="400"/>
    </w:pPr>
    <w:rPr>
      <w:rFonts w:ascii="宋体" w:hAnsi="宋体" w:cs="宋体"/>
      <w:color w:val="auto"/>
      <w:kern w:val="2"/>
      <w:sz w:val="21"/>
      <w:szCs w:val="21"/>
      <w:lang w:val="zh-CN" w:eastAsia="zh-CN" w:bidi="zh-CN"/>
    </w:rPr>
  </w:style>
  <w:style w:type="paragraph" w:customStyle="1" w:styleId="60">
    <w:name w:val="正文文本 (6)"/>
    <w:basedOn w:val="a1"/>
    <w:link w:val="6"/>
    <w:rsid w:val="000F7E1D"/>
    <w:pPr>
      <w:spacing w:after="340"/>
      <w:jc w:val="center"/>
    </w:pPr>
    <w:rPr>
      <w:rFonts w:ascii="黑体" w:eastAsia="黑体" w:hAnsi="黑体" w:cs="黑体"/>
      <w:b/>
      <w:bCs/>
      <w:color w:val="auto"/>
      <w:kern w:val="2"/>
      <w:sz w:val="28"/>
      <w:szCs w:val="28"/>
      <w:lang w:val="zh-CN" w:eastAsia="zh-CN" w:bidi="zh-CN"/>
    </w:rPr>
  </w:style>
  <w:style w:type="paragraph" w:styleId="TOC">
    <w:name w:val="TOC Heading"/>
    <w:basedOn w:val="11"/>
    <w:next w:val="a1"/>
    <w:uiPriority w:val="39"/>
    <w:unhideWhenUsed/>
    <w:qFormat/>
    <w:rsid w:val="000F7E1D"/>
    <w:pPr>
      <w:widowControl/>
      <w:spacing w:before="240" w:after="0" w:line="259" w:lineRule="auto"/>
      <w:ind w:firstLineChars="0" w:firstLine="0"/>
      <w:jc w:val="left"/>
      <w:outlineLvl w:val="9"/>
    </w:pPr>
    <w:rPr>
      <w:rFonts w:asciiTheme="majorHAnsi" w:eastAsiaTheme="majorEastAsia" w:hAnsiTheme="majorHAnsi" w:cstheme="majorBidi"/>
      <w:b w:val="0"/>
      <w:bCs w:val="0"/>
      <w:color w:val="2F5496" w:themeColor="accent1" w:themeShade="BF"/>
      <w:kern w:val="0"/>
      <w:sz w:val="32"/>
      <w:szCs w:val="32"/>
    </w:rPr>
  </w:style>
  <w:style w:type="paragraph" w:styleId="TOC1">
    <w:name w:val="toc 1"/>
    <w:basedOn w:val="a1"/>
    <w:next w:val="a1"/>
    <w:autoRedefine/>
    <w:uiPriority w:val="39"/>
    <w:unhideWhenUsed/>
    <w:rsid w:val="000F7E1D"/>
  </w:style>
  <w:style w:type="paragraph" w:styleId="TOC2">
    <w:name w:val="toc 2"/>
    <w:basedOn w:val="a1"/>
    <w:next w:val="a1"/>
    <w:autoRedefine/>
    <w:uiPriority w:val="39"/>
    <w:unhideWhenUsed/>
    <w:rsid w:val="000F7E1D"/>
    <w:pPr>
      <w:ind w:leftChars="200" w:left="420"/>
    </w:pPr>
  </w:style>
  <w:style w:type="paragraph" w:styleId="TOC3">
    <w:name w:val="toc 3"/>
    <w:basedOn w:val="a1"/>
    <w:next w:val="a1"/>
    <w:autoRedefine/>
    <w:uiPriority w:val="39"/>
    <w:unhideWhenUsed/>
    <w:rsid w:val="000F7E1D"/>
    <w:pPr>
      <w:ind w:leftChars="400" w:left="840"/>
    </w:pPr>
  </w:style>
  <w:style w:type="character" w:styleId="ae">
    <w:name w:val="Hyperlink"/>
    <w:basedOn w:val="a3"/>
    <w:uiPriority w:val="99"/>
    <w:unhideWhenUsed/>
    <w:rsid w:val="000F7E1D"/>
    <w:rPr>
      <w:color w:val="0563C1" w:themeColor="hyperlink"/>
      <w:u w:val="single"/>
    </w:rPr>
  </w:style>
  <w:style w:type="paragraph" w:styleId="af">
    <w:name w:val="header"/>
    <w:basedOn w:val="a1"/>
    <w:link w:val="af0"/>
    <w:uiPriority w:val="99"/>
    <w:unhideWhenUsed/>
    <w:rsid w:val="002B1532"/>
    <w:pPr>
      <w:pBdr>
        <w:bottom w:val="single" w:sz="6" w:space="1" w:color="auto"/>
      </w:pBdr>
      <w:tabs>
        <w:tab w:val="center" w:pos="4153"/>
        <w:tab w:val="right" w:pos="8306"/>
      </w:tabs>
      <w:snapToGrid w:val="0"/>
      <w:jc w:val="center"/>
    </w:pPr>
    <w:rPr>
      <w:sz w:val="18"/>
      <w:szCs w:val="18"/>
    </w:rPr>
  </w:style>
  <w:style w:type="character" w:customStyle="1" w:styleId="af0">
    <w:name w:val="页眉 字符"/>
    <w:basedOn w:val="a3"/>
    <w:link w:val="af"/>
    <w:uiPriority w:val="99"/>
    <w:rsid w:val="002B1532"/>
    <w:rPr>
      <w:rFonts w:ascii="Courier New" w:eastAsia="Courier New" w:hAnsi="Courier New" w:cs="Courier New"/>
      <w:color w:val="000000"/>
      <w:kern w:val="0"/>
      <w:sz w:val="18"/>
      <w:szCs w:val="18"/>
      <w:lang w:eastAsia="en-US" w:bidi="en-US"/>
    </w:rPr>
  </w:style>
  <w:style w:type="paragraph" w:styleId="af1">
    <w:name w:val="footer"/>
    <w:basedOn w:val="a1"/>
    <w:link w:val="af2"/>
    <w:uiPriority w:val="99"/>
    <w:unhideWhenUsed/>
    <w:rsid w:val="002B1532"/>
    <w:pPr>
      <w:tabs>
        <w:tab w:val="center" w:pos="4153"/>
        <w:tab w:val="right" w:pos="8306"/>
      </w:tabs>
      <w:snapToGrid w:val="0"/>
    </w:pPr>
    <w:rPr>
      <w:sz w:val="18"/>
      <w:szCs w:val="18"/>
    </w:rPr>
  </w:style>
  <w:style w:type="character" w:customStyle="1" w:styleId="af2">
    <w:name w:val="页脚 字符"/>
    <w:basedOn w:val="a3"/>
    <w:link w:val="af1"/>
    <w:uiPriority w:val="99"/>
    <w:rsid w:val="002B1532"/>
    <w:rPr>
      <w:rFonts w:ascii="Courier New" w:eastAsia="Courier New" w:hAnsi="Courier New" w:cs="Courier New"/>
      <w:color w:val="000000"/>
      <w:kern w:val="0"/>
      <w:sz w:val="18"/>
      <w:szCs w:val="18"/>
      <w:lang w:eastAsia="en-US" w:bidi="en-US"/>
    </w:rPr>
  </w:style>
  <w:style w:type="character" w:customStyle="1" w:styleId="AMEquationSection">
    <w:name w:val="AMEquationSection"/>
    <w:basedOn w:val="a3"/>
    <w:rsid w:val="00671438"/>
    <w:rPr>
      <w:rFonts w:ascii="华文中宋" w:eastAsia="华文中宋" w:hAnsi="华文中宋"/>
      <w:b/>
      <w:noProof/>
      <w:vanish/>
      <w:color w:val="FF0000"/>
      <w:sz w:val="36"/>
      <w:szCs w:val="36"/>
      <w:lang w:eastAsia="zh-CN"/>
    </w:rPr>
  </w:style>
  <w:style w:type="paragraph" w:customStyle="1" w:styleId="AMDisplayEquation">
    <w:name w:val="AMDisplayEquation"/>
    <w:basedOn w:val="a1"/>
    <w:next w:val="a1"/>
    <w:link w:val="AMDisplayEquation0"/>
    <w:rsid w:val="00671438"/>
    <w:pPr>
      <w:tabs>
        <w:tab w:val="center" w:pos="4700"/>
        <w:tab w:val="right" w:pos="9400"/>
      </w:tabs>
    </w:pPr>
    <w:rPr>
      <w:rFonts w:ascii="宋体" w:hAnsi="宋体" w:cs="宋体"/>
      <w:lang w:eastAsia="zh-CN"/>
    </w:rPr>
  </w:style>
  <w:style w:type="character" w:customStyle="1" w:styleId="AMDisplayEquation0">
    <w:name w:val="AMDisplayEquation 字符"/>
    <w:basedOn w:val="a3"/>
    <w:link w:val="AMDisplayEquation"/>
    <w:rsid w:val="00671438"/>
    <w:rPr>
      <w:rFonts w:ascii="宋体" w:eastAsia="宋体" w:hAnsi="宋体" w:cs="宋体"/>
      <w:color w:val="000000"/>
      <w:kern w:val="0"/>
      <w:sz w:val="24"/>
      <w:szCs w:val="24"/>
      <w:lang w:bidi="en-US"/>
    </w:rPr>
  </w:style>
  <w:style w:type="character" w:customStyle="1" w:styleId="sc7">
    <w:name w:val="sc7"/>
    <w:basedOn w:val="a3"/>
    <w:rsid w:val="0063776A"/>
    <w:rPr>
      <w:rFonts w:ascii="Courier New" w:hAnsi="Courier New" w:cs="Courier New" w:hint="default"/>
      <w:color w:val="000000"/>
      <w:sz w:val="20"/>
      <w:szCs w:val="20"/>
    </w:rPr>
  </w:style>
  <w:style w:type="character" w:customStyle="1" w:styleId="sc61">
    <w:name w:val="sc61"/>
    <w:basedOn w:val="a3"/>
    <w:rsid w:val="0063776A"/>
    <w:rPr>
      <w:rFonts w:ascii="Courier New" w:hAnsi="Courier New" w:cs="Courier New" w:hint="default"/>
      <w:b/>
      <w:bCs/>
      <w:color w:val="000080"/>
      <w:sz w:val="20"/>
      <w:szCs w:val="20"/>
    </w:rPr>
  </w:style>
  <w:style w:type="character" w:customStyle="1" w:styleId="sc0">
    <w:name w:val="sc0"/>
    <w:basedOn w:val="a3"/>
    <w:rsid w:val="0063776A"/>
    <w:rPr>
      <w:rFonts w:ascii="Courier New" w:hAnsi="Courier New" w:cs="Courier New" w:hint="default"/>
      <w:color w:val="000000"/>
      <w:sz w:val="20"/>
      <w:szCs w:val="20"/>
    </w:rPr>
  </w:style>
  <w:style w:type="character" w:customStyle="1" w:styleId="sc41">
    <w:name w:val="sc41"/>
    <w:basedOn w:val="a3"/>
    <w:rsid w:val="0063776A"/>
    <w:rPr>
      <w:rFonts w:ascii="Courier New" w:hAnsi="Courier New" w:cs="Courier New" w:hint="default"/>
      <w:b/>
      <w:bCs/>
      <w:color w:val="0000FF"/>
      <w:sz w:val="20"/>
      <w:szCs w:val="20"/>
    </w:rPr>
  </w:style>
  <w:style w:type="character" w:customStyle="1" w:styleId="sc31">
    <w:name w:val="sc31"/>
    <w:basedOn w:val="a3"/>
    <w:rsid w:val="0063776A"/>
    <w:rPr>
      <w:rFonts w:ascii="Courier New" w:hAnsi="Courier New" w:cs="Courier New" w:hint="default"/>
      <w:color w:val="FF8000"/>
      <w:sz w:val="20"/>
      <w:szCs w:val="20"/>
    </w:rPr>
  </w:style>
  <w:style w:type="character" w:customStyle="1" w:styleId="sc11">
    <w:name w:val="sc11"/>
    <w:basedOn w:val="a3"/>
    <w:rsid w:val="0063776A"/>
    <w:rPr>
      <w:rFonts w:ascii="Courier New" w:hAnsi="Courier New" w:cs="Courier New" w:hint="default"/>
      <w:color w:val="008000"/>
      <w:sz w:val="20"/>
      <w:szCs w:val="20"/>
    </w:rPr>
  </w:style>
  <w:style w:type="character" w:customStyle="1" w:styleId="sc51">
    <w:name w:val="sc51"/>
    <w:basedOn w:val="a3"/>
    <w:rsid w:val="0063776A"/>
    <w:rPr>
      <w:rFonts w:ascii="Courier New" w:hAnsi="Courier New" w:cs="Courier New" w:hint="default"/>
      <w:color w:val="808080"/>
      <w:sz w:val="20"/>
      <w:szCs w:val="20"/>
    </w:rPr>
  </w:style>
  <w:style w:type="paragraph" w:customStyle="1" w:styleId="工作稿公式">
    <w:name w:val="工作稿公式"/>
    <w:basedOn w:val="a2"/>
    <w:pPr>
      <w:spacing w:before="0" w:after="60" w:line="240" w:lineRule="auto"/>
      <w:ind w:firstLine="0"/>
    </w:pPr>
    <w:rPr>
      <w:rFonts w:ascii="Times New Roman" w:hAnsi="Times New Roman" w:eastAsia="宋体"/>
      <w:sz w:val="22"/>
    </w:rPr>
  </w:style>
  <w:style w:type="paragraph" w:customStyle="1" w:styleId="工作稿目录1">
    <w:name w:val="工作稿目录1"/>
    <w:basedOn w:val="a1"/>
    <w:pPr>
      <w:keepNext w:val="0"/>
      <w:spacing w:before="0" w:after="60" w:line="240" w:lineRule="auto"/>
      <w:ind w:firstLine="0"/>
    </w:pPr>
    <w:rPr>
      <w:rFonts w:ascii="Times New Roman" w:hAnsi="Times New Roman" w:eastAsia="宋体"/>
      <w:sz w:val="22"/>
    </w:rPr>
  </w:style>
  <w:style w:type="paragraph" w:customStyle="1" w:styleId="工作稿目录2">
    <w:name w:val="工作稿目录2"/>
    <w:basedOn w:val="a1"/>
    <w:pPr>
      <w:keepNext w:val="0"/>
      <w:spacing w:before="0" w:after="60" w:line="240" w:lineRule="auto"/>
      <w:ind w:firstLine="0"/>
    </w:pPr>
    <w:rPr>
      <w:rFonts w:ascii="Times New Roman" w:hAnsi="Times New Roman" w:eastAsia="宋体"/>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8241029">
      <w:bodyDiv w:val="1"/>
      <w:marLeft w:val="0"/>
      <w:marRight w:val="0"/>
      <w:marTop w:val="0"/>
      <w:marBottom w:val="0"/>
      <w:divBdr>
        <w:top w:val="none" w:sz="0" w:space="0" w:color="auto"/>
        <w:left w:val="none" w:sz="0" w:space="0" w:color="auto"/>
        <w:bottom w:val="none" w:sz="0" w:space="0" w:color="auto"/>
        <w:right w:val="none" w:sz="0" w:space="0" w:color="auto"/>
      </w:divBdr>
      <w:divsChild>
        <w:div w:id="1817914315">
          <w:marLeft w:val="0"/>
          <w:marRight w:val="0"/>
          <w:marTop w:val="0"/>
          <w:marBottom w:val="0"/>
          <w:divBdr>
            <w:top w:val="none" w:sz="0" w:space="0" w:color="auto"/>
            <w:left w:val="none" w:sz="0" w:space="0" w:color="auto"/>
            <w:bottom w:val="none" w:sz="0" w:space="0" w:color="auto"/>
            <w:right w:val="none" w:sz="0" w:space="0" w:color="auto"/>
          </w:divBdr>
        </w:div>
      </w:divsChild>
    </w:div>
    <w:div w:id="1111045025">
      <w:bodyDiv w:val="1"/>
      <w:marLeft w:val="0"/>
      <w:marRight w:val="0"/>
      <w:marTop w:val="0"/>
      <w:marBottom w:val="0"/>
      <w:divBdr>
        <w:top w:val="none" w:sz="0" w:space="0" w:color="auto"/>
        <w:left w:val="none" w:sz="0" w:space="0" w:color="auto"/>
        <w:bottom w:val="none" w:sz="0" w:space="0" w:color="auto"/>
        <w:right w:val="none" w:sz="0" w:space="0" w:color="auto"/>
      </w:divBdr>
      <w:divsChild>
        <w:div w:id="16831642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2" Type="http://schemas.openxmlformats.org/officeDocument/2006/relationships/numbering" Target="numbering.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image" Target="media/image3.jpe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21" Type="http://schemas.openxmlformats.org/officeDocument/2006/relationships/footer" Target="footer2.xml"/><Relationship Id="rId22" Type="http://schemas.openxmlformats.org/officeDocument/2006/relationships/footer" Target="footer3.xml"/><Relationship Id="rId23" Type="http://schemas.openxmlformats.org/officeDocument/2006/relationships/footer" Target="footer4.xml"/><Relationship Id="rId24" Type="http://schemas.openxmlformats.org/officeDocument/2006/relationships/image" Target="media/image9.png"/><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 Id="rId28" Type="http://schemas.openxmlformats.org/officeDocument/2006/relationships/image" Target="media/image13.png"/><Relationship Id="rId29" Type="http://schemas.openxmlformats.org/officeDocument/2006/relationships/image" Target="media/image14.png"/><Relationship Id="rId30" Type="http://schemas.openxmlformats.org/officeDocument/2006/relationships/image" Target="media/image15.png"/><Relationship Id="rId31" Type="http://schemas.openxmlformats.org/officeDocument/2006/relationships/image" Target="media/image16.png"/><Relationship Id="rId32" Type="http://schemas.openxmlformats.org/officeDocument/2006/relationships/image" Target="media/image17.png"/><Relationship Id="rId33" Type="http://schemas.openxmlformats.org/officeDocument/2006/relationships/image" Target="media/image18.png"/><Relationship Id="rId34" Type="http://schemas.openxmlformats.org/officeDocument/2006/relationships/image" Target="media/image19.png"/><Relationship Id="rId35" Type="http://schemas.openxmlformats.org/officeDocument/2006/relationships/image" Target="media/image2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594A74-CFA8-4EC4-8C21-43E396F3E9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10</Pages>
  <Words>1821</Words>
  <Characters>2422</Characters>
  <Application>Microsoft Office Word</Application>
  <DocSecurity>0</DocSecurity>
  <Lines>201</Lines>
  <Paragraphs>163</Paragraphs>
  <ScaleCrop>false</ScaleCrop>
  <Company/>
  <LinksUpToDate>false</LinksUpToDate>
  <CharactersWithSpaces>4080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复杂场景下多模态情感预测的数学建模与算法设计（工作稿）</dc:title>
  <dc:subject>按用户数学建模Word模板排版的论证增强工作稿</dc:subject>
  <dc:creator/>
  <cp:keywords/>
  <dc:description/>
  <cp:lastModifiedBy/>
  <cp:revision>3</cp:revision>
  <dcterms:created xsi:type="dcterms:W3CDTF">2026-09-23T13:30:00Z</dcterms:created>
  <dcterms:modified xsi:type="dcterms:W3CDTF">2026-09-24T12:05:00Z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EquationNumber2">
    <vt:lpwstr>(#E1)</vt:lpwstr>
  </property>
  <property fmtid="{D5CDD505-2E9C-101B-9397-08002B2CF9AE}" pid="3" name="AMCustomEquationNumber">
    <vt:lpwstr>1</vt:lpwstr>
  </property>
  <property fmtid="{D5CDD505-2E9C-101B-9397-08002B2CF9AE}" pid="4" name="AMEquationSection">
    <vt:lpwstr>1</vt:lpwstr>
  </property>
  <property fmtid="{D5CDD505-2E9C-101B-9397-08002B2CF9AE}" pid="5" name="AMWinEqns">
    <vt:bool>true</vt:bool>
  </property>
</Properties>
</file>