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1A29" w14:textId="24AE873E" w:rsidR="00714286" w:rsidRPr="00CE71C2" w:rsidRDefault="00714286" w:rsidP="00FF0869">
      <w:pPr>
        <w:spacing w:line="288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CE71C2">
        <w:rPr>
          <w:rFonts w:ascii="Arial" w:hAnsi="Arial" w:cs="Arial"/>
          <w:sz w:val="24"/>
          <w:szCs w:val="24"/>
        </w:rPr>
        <w:t xml:space="preserve">Hello everyone. </w:t>
      </w:r>
      <w:r w:rsidR="00F33620">
        <w:rPr>
          <w:rFonts w:ascii="Arial" w:hAnsi="Arial" w:cs="Arial" w:hint="eastAsia"/>
          <w:sz w:val="24"/>
          <w:szCs w:val="24"/>
        </w:rPr>
        <w:t>I am</w:t>
      </w:r>
      <w:r w:rsidRPr="00CE71C2">
        <w:rPr>
          <w:rFonts w:ascii="Arial" w:hAnsi="Arial" w:cs="Arial"/>
          <w:sz w:val="24"/>
          <w:szCs w:val="24"/>
        </w:rPr>
        <w:t xml:space="preserve"> </w:t>
      </w:r>
      <w:r w:rsidR="00CE71C2">
        <w:rPr>
          <w:rFonts w:ascii="Arial" w:hAnsi="Arial" w:cs="Arial" w:hint="eastAsia"/>
          <w:sz w:val="24"/>
          <w:szCs w:val="24"/>
        </w:rPr>
        <w:t>Chang Xi</w:t>
      </w:r>
      <w:r w:rsidR="00506AAD">
        <w:rPr>
          <w:rFonts w:ascii="Arial" w:hAnsi="Arial" w:cs="Arial" w:hint="eastAsia"/>
          <w:sz w:val="24"/>
          <w:szCs w:val="24"/>
        </w:rPr>
        <w:t>n</w:t>
      </w:r>
      <w:r w:rsidR="00CE71C2">
        <w:rPr>
          <w:rFonts w:ascii="Arial" w:hAnsi="Arial" w:cs="Arial" w:hint="eastAsia"/>
          <w:sz w:val="24"/>
          <w:szCs w:val="24"/>
        </w:rPr>
        <w:t>tong</w:t>
      </w:r>
      <w:r w:rsidRPr="00CE71C2">
        <w:rPr>
          <w:rFonts w:ascii="Arial" w:hAnsi="Arial" w:cs="Arial"/>
          <w:sz w:val="24"/>
          <w:szCs w:val="24"/>
        </w:rPr>
        <w:t xml:space="preserve">, </w:t>
      </w:r>
      <w:r w:rsidR="00B12FB8" w:rsidRPr="00B12FB8">
        <w:rPr>
          <w:rFonts w:ascii="Arial" w:hAnsi="Arial" w:cs="Arial" w:hint="eastAsia"/>
          <w:sz w:val="24"/>
          <w:szCs w:val="24"/>
        </w:rPr>
        <w:t>from the School of Mathematics, South China University of Technology</w:t>
      </w:r>
      <w:r w:rsidR="00B12FB8">
        <w:rPr>
          <w:rFonts w:ascii="Arial" w:hAnsi="Arial" w:cs="Arial" w:hint="eastAsia"/>
          <w:sz w:val="24"/>
          <w:szCs w:val="24"/>
        </w:rPr>
        <w:t xml:space="preserve">. </w:t>
      </w:r>
      <w:r w:rsidR="00B12FB8" w:rsidRPr="00B12FB8">
        <w:rPr>
          <w:rFonts w:ascii="Arial" w:hAnsi="Arial" w:cs="Arial" w:hint="eastAsia"/>
          <w:sz w:val="24"/>
          <w:szCs w:val="24"/>
        </w:rPr>
        <w:t>Let me introduce our work.</w:t>
      </w:r>
      <w:r w:rsidR="00B12FB8">
        <w:rPr>
          <w:rFonts w:ascii="Arial" w:hAnsi="Arial" w:cs="Arial" w:hint="eastAsia"/>
          <w:sz w:val="24"/>
          <w:szCs w:val="24"/>
        </w:rPr>
        <w:t xml:space="preserve"> </w:t>
      </w:r>
      <w:r w:rsidRPr="00CE71C2">
        <w:rPr>
          <w:rFonts w:ascii="Arial" w:hAnsi="Arial" w:cs="Arial"/>
          <w:sz w:val="24"/>
          <w:szCs w:val="24"/>
        </w:rPr>
        <w:t>Breast cancer intrinsic subtyping is fundamental for precision treatment and prognosis. We developed UGES—Unified Genetic and Epigenetic Subtyping—a DNA-level hierarchical classifier that integrates mutations, copy number aberrations, and DNA methylation, addressing the well-known inconsistencies and instability of expression-based methods such as PAM50. In this study, we evaluate the performance and clinical utility of UGES using real-world multi-cohort data.</w:t>
      </w:r>
    </w:p>
    <w:p w14:paraId="57929D6A" w14:textId="5D7A085E" w:rsidR="00714286" w:rsidRPr="00CE71C2" w:rsidRDefault="00714286" w:rsidP="00FF0869">
      <w:pPr>
        <w:spacing w:line="288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CE71C2">
        <w:rPr>
          <w:rFonts w:ascii="Arial" w:hAnsi="Arial" w:cs="Arial"/>
          <w:sz w:val="24"/>
          <w:szCs w:val="24"/>
        </w:rPr>
        <w:t xml:space="preserve">To begin, let me briefly introduce the datasets. We analyzed 2,065 breast cancer samples, including 931 from TCGA and 1,134 from METABRIC. </w:t>
      </w:r>
      <w:bookmarkStart w:id="0" w:name="OLE_LINK8"/>
      <w:r w:rsidRPr="00CE71C2">
        <w:rPr>
          <w:rFonts w:ascii="Arial" w:hAnsi="Arial" w:cs="Arial"/>
          <w:sz w:val="24"/>
          <w:szCs w:val="24"/>
        </w:rPr>
        <w:t xml:space="preserve">For each sample, </w:t>
      </w:r>
      <w:bookmarkStart w:id="1" w:name="OLE_LINK7"/>
      <w:r w:rsidRPr="00CE71C2">
        <w:rPr>
          <w:rFonts w:ascii="Arial" w:hAnsi="Arial" w:cs="Arial"/>
          <w:sz w:val="24"/>
          <w:szCs w:val="24"/>
        </w:rPr>
        <w:t xml:space="preserve">we processed </w:t>
      </w:r>
      <w:r w:rsidR="00163D52" w:rsidRPr="00163D52">
        <w:rPr>
          <w:rFonts w:ascii="Arial" w:hAnsi="Arial" w:cs="Arial" w:hint="eastAsia"/>
          <w:sz w:val="24"/>
          <w:szCs w:val="24"/>
        </w:rPr>
        <w:t>mutations, copy number aberrations, and DNA methylation</w:t>
      </w:r>
      <w:r w:rsidRPr="00CE71C2">
        <w:rPr>
          <w:rFonts w:ascii="Arial" w:hAnsi="Arial" w:cs="Arial"/>
          <w:sz w:val="24"/>
          <w:szCs w:val="24"/>
        </w:rPr>
        <w:t>,</w:t>
      </w:r>
      <w:bookmarkEnd w:id="1"/>
      <w:r w:rsidRPr="00CE71C2">
        <w:rPr>
          <w:rFonts w:ascii="Arial" w:hAnsi="Arial" w:cs="Arial"/>
          <w:sz w:val="24"/>
          <w:szCs w:val="24"/>
        </w:rPr>
        <w:t xml:space="preserve"> and mapped all signals to the gene level to ensure cross-platform comparability.</w:t>
      </w:r>
      <w:bookmarkEnd w:id="0"/>
      <w:r w:rsidRPr="00CE71C2">
        <w:rPr>
          <w:rFonts w:ascii="Arial" w:hAnsi="Arial" w:cs="Arial"/>
          <w:sz w:val="24"/>
          <w:szCs w:val="24"/>
        </w:rPr>
        <w:t xml:space="preserve"> After unifying shared features between TCGA and METABRIC, removing those with excessive missingness, and applying K</w:t>
      </w:r>
      <w:r w:rsidR="0087412F">
        <w:rPr>
          <w:rFonts w:ascii="Arial" w:hAnsi="Arial" w:cs="Arial" w:hint="eastAsia"/>
          <w:sz w:val="24"/>
          <w:szCs w:val="24"/>
        </w:rPr>
        <w:t>NN</w:t>
      </w:r>
      <w:r w:rsidRPr="00CE71C2">
        <w:rPr>
          <w:rFonts w:ascii="Arial" w:hAnsi="Arial" w:cs="Arial"/>
          <w:sz w:val="24"/>
          <w:szCs w:val="24"/>
        </w:rPr>
        <w:t xml:space="preserve"> imputation to remaining missing values</w:t>
      </w:r>
      <w:r w:rsidR="0087412F" w:rsidRPr="0087412F">
        <w:rPr>
          <w:rFonts w:ascii="Arial" w:hAnsi="Arial" w:cs="Arial" w:hint="eastAsia"/>
          <w:sz w:val="24"/>
          <w:szCs w:val="24"/>
        </w:rPr>
        <w:t>, we retained 50,831 gene-level DNA alteration features, including 16,770 mutation features, 25,594 copy number aberration features, and 8,467 methylation features.</w:t>
      </w:r>
    </w:p>
    <w:p w14:paraId="5CD7693A" w14:textId="664536D2" w:rsidR="00714286" w:rsidRPr="00CE71C2" w:rsidRDefault="00714286" w:rsidP="00FF0869">
      <w:pPr>
        <w:spacing w:line="288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CE71C2">
        <w:rPr>
          <w:rFonts w:ascii="Arial" w:hAnsi="Arial" w:cs="Arial"/>
          <w:sz w:val="24"/>
          <w:szCs w:val="24"/>
        </w:rPr>
        <w:t>We also examined the clinical characteristics of the cohorts. Age distribution and ER/PR/HER2 status were consistent with general breast cancer populations. As expected, older age was significantly associated with poorer survival, corresponding to roughly a 4% increase in mortality risk per year, while ER-positive and HER2-negative patients showed significantly better survival outcomes. These findings align with established clinical knowledge and support the suitability of these cohorts for evaluating UGES.</w:t>
      </w:r>
    </w:p>
    <w:p w14:paraId="6878D713" w14:textId="65C589D2" w:rsidR="00714286" w:rsidRPr="00CE71C2" w:rsidRDefault="00714286" w:rsidP="00FF0869">
      <w:pPr>
        <w:spacing w:line="288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CE71C2">
        <w:rPr>
          <w:rFonts w:ascii="Arial" w:hAnsi="Arial" w:cs="Arial"/>
          <w:sz w:val="24"/>
          <w:szCs w:val="24"/>
        </w:rPr>
        <w:t>Next, let me introduce our modeling strategy. We compared two approaches: a traditional one-step multiclass classifier predicting the four intrinsic subtypes directly, and our proposed hierarchical model, which first separates Basal-like tumors, then distinguishes Her2-enriched from Luminal tumors, and finally classifies Luminal A and Luminal B. Both strategies were trained on a non-overlapping training set and evaluated on an independent test set. Model performance was assessed through one-vs-one ROC curves and AUC values across all six intrinsic subtype pairs.</w:t>
      </w:r>
    </w:p>
    <w:p w14:paraId="6D62E6FC" w14:textId="126FCAD8" w:rsidR="00714286" w:rsidRPr="00CE71C2" w:rsidRDefault="00714286" w:rsidP="00FF0869">
      <w:pPr>
        <w:spacing w:line="288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CE71C2">
        <w:rPr>
          <w:rFonts w:ascii="Arial" w:hAnsi="Arial" w:cs="Arial"/>
          <w:sz w:val="24"/>
          <w:szCs w:val="24"/>
        </w:rPr>
        <w:t>Now I will highlight the key results. Across all subtype comparisons, the hierarchical UGES model outperformed the one-step strategy. The improvement was most striking for Luminal A versus Luminal B, a clinically challenging distinction. UGES achieved an AUC of 0.948, substantially higher than the 0.828 obtained using the one-step multiclass model. All subtype pairs demonstrated excellent AUCs, reflecting the robustness of the hierarchical design and the biological relevance of DNA-level features.</w:t>
      </w:r>
    </w:p>
    <w:p w14:paraId="01103D68" w14:textId="6E461A67" w:rsidR="00714286" w:rsidRPr="00CE71C2" w:rsidRDefault="00714286" w:rsidP="00FF0869">
      <w:pPr>
        <w:spacing w:line="288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CE71C2">
        <w:rPr>
          <w:rFonts w:ascii="Arial" w:hAnsi="Arial" w:cs="Arial"/>
          <w:sz w:val="24"/>
          <w:szCs w:val="24"/>
        </w:rPr>
        <w:t xml:space="preserve">We then compared UGES subtypes with PAM50. The alluvial plot shows that 11.57% </w:t>
      </w:r>
      <w:r w:rsidRPr="00CE71C2">
        <w:rPr>
          <w:rFonts w:ascii="Arial" w:hAnsi="Arial" w:cs="Arial"/>
          <w:sz w:val="24"/>
          <w:szCs w:val="24"/>
        </w:rPr>
        <w:lastRenderedPageBreak/>
        <w:t>of samples, or 239 out of 2,065, were reassigned by UGES. The largest shift occurred within the Luminal group: 11.25% of PAM50 Luminal A tumors were reclassified as Luminal B, which aligns with the well-recognized genomic and epigenetic similarity between these two subtypes. In addition, UGES substantially improved the detection of Her2-enriched tumors. For example, among PAM50 Luminal B tumors that underwent subtype changes, 67% were moved into the Her2 subtype under UGES, indicating enhanced sensitivity for identifying Her2 biology.</w:t>
      </w:r>
    </w:p>
    <w:p w14:paraId="626DF58B" w14:textId="42CAC2AD" w:rsidR="00FF0869" w:rsidRPr="00FF0869" w:rsidRDefault="00FF0869" w:rsidP="00714286">
      <w:pPr>
        <w:spacing w:line="288" w:lineRule="auto"/>
        <w:ind w:firstLineChars="200" w:firstLine="480"/>
        <w:rPr>
          <w:rFonts w:ascii="Arial" w:hAnsi="Arial" w:cs="Arial"/>
          <w:sz w:val="24"/>
          <w:szCs w:val="24"/>
        </w:rPr>
      </w:pPr>
      <w:r w:rsidRPr="00FF0869">
        <w:rPr>
          <w:rFonts w:ascii="Arial" w:hAnsi="Arial" w:cs="Arial"/>
          <w:sz w:val="24"/>
          <w:szCs w:val="24"/>
        </w:rPr>
        <w:t xml:space="preserve">Finally, to examine the clinical utility of UGES, we performed both univariate log-rank analyses and multivariable Cox regression controlling for age, with </w:t>
      </w:r>
      <w:r w:rsidR="00DB1604">
        <w:rPr>
          <w:rFonts w:ascii="Arial" w:hAnsi="Arial" w:cs="Arial" w:hint="eastAsia"/>
          <w:sz w:val="24"/>
          <w:szCs w:val="24"/>
        </w:rPr>
        <w:t>FDR</w:t>
      </w:r>
      <w:r w:rsidRPr="00FF0869">
        <w:rPr>
          <w:rFonts w:ascii="Arial" w:hAnsi="Arial" w:cs="Arial"/>
          <w:sz w:val="24"/>
          <w:szCs w:val="24"/>
        </w:rPr>
        <w:t xml:space="preserve"> correction applied using the </w:t>
      </w:r>
      <w:r w:rsidR="00DB1604">
        <w:rPr>
          <w:rFonts w:ascii="Arial" w:hAnsi="Arial" w:cs="Arial" w:hint="eastAsia"/>
          <w:sz w:val="24"/>
          <w:szCs w:val="24"/>
        </w:rPr>
        <w:t>BH</w:t>
      </w:r>
      <w:r w:rsidRPr="00FF0869">
        <w:rPr>
          <w:rFonts w:ascii="Arial" w:hAnsi="Arial" w:cs="Arial"/>
          <w:sz w:val="24"/>
          <w:szCs w:val="24"/>
        </w:rPr>
        <w:t xml:space="preserve"> method. In five out of six pairwise subtype comparisons, UGES achieved stronger survival stratification than PAM50. Importantly, the survival difference between Luminal A and Basal became statistically significant only under UGES. Multivariable Cox analysis further showed that UGES yielded greater overall statistical significance compared with PAM50, confirming its superior prognostic resolution.</w:t>
      </w:r>
      <w:r w:rsidRPr="00FF0869">
        <w:rPr>
          <w:rFonts w:ascii="Arial" w:hAnsi="Arial" w:cs="Arial"/>
          <w:sz w:val="24"/>
          <w:szCs w:val="24"/>
        </w:rPr>
        <w:t xml:space="preserve"> </w:t>
      </w:r>
      <w:r w:rsidRPr="00FF0869">
        <w:rPr>
          <w:rFonts w:ascii="Arial" w:hAnsi="Arial" w:cs="Arial"/>
          <w:sz w:val="24"/>
          <w:szCs w:val="24"/>
        </w:rPr>
        <w:t>Survival differences among intrinsic subtypes also became more statistically pronounced—particularly for the Her2 subtype—while Luminal A consistently showed the most favorable prognosis. These findings demonstrate that UGES subtypes better reflect clinically relevant survival differences and therefore could support improved treatment decision-making.</w:t>
      </w:r>
    </w:p>
    <w:p w14:paraId="71D97DC1" w14:textId="779B2E67" w:rsidR="00714286" w:rsidRPr="00CE71C2" w:rsidRDefault="00714286" w:rsidP="00714286">
      <w:pPr>
        <w:spacing w:line="288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CE71C2">
        <w:rPr>
          <w:rFonts w:ascii="Arial" w:hAnsi="Arial" w:cs="Arial"/>
          <w:sz w:val="24"/>
          <w:szCs w:val="24"/>
        </w:rPr>
        <w:t>In conclusion, UGES is a robust and clinically meaningful DNA-based intrinsic subtyping framework. By leveraging stable genetic and epigenetic alterations, it overcomes limitations of mRNA-based approaches and provides improved subtype discrimination and prognostic value across multi-cohort datasets. We believe this method has strong potential for real-world clinical translation, especially in early detection scenarios such as ctDNA-based screening.</w:t>
      </w:r>
      <w:r w:rsidR="00DF6D43">
        <w:rPr>
          <w:rFonts w:ascii="Arial" w:hAnsi="Arial" w:cs="Arial" w:hint="eastAsia"/>
          <w:sz w:val="24"/>
          <w:szCs w:val="24"/>
        </w:rPr>
        <w:t xml:space="preserve"> </w:t>
      </w:r>
      <w:r w:rsidR="00DF6D43" w:rsidRPr="00DF6D43">
        <w:rPr>
          <w:rFonts w:ascii="Arial" w:hAnsi="Arial" w:cs="Arial" w:hint="eastAsia"/>
          <w:sz w:val="24"/>
          <w:szCs w:val="24"/>
        </w:rPr>
        <w:t>UGES is freely available at: https://ieeexplore.ieee.org/abstract/document/11176992.</w:t>
      </w:r>
    </w:p>
    <w:p w14:paraId="3FBA4894" w14:textId="77777777" w:rsidR="00714286" w:rsidRPr="00CE71C2" w:rsidRDefault="00714286" w:rsidP="00714286">
      <w:pPr>
        <w:spacing w:line="288" w:lineRule="auto"/>
        <w:ind w:firstLineChars="200" w:firstLine="480"/>
        <w:rPr>
          <w:rFonts w:ascii="Arial" w:hAnsi="Arial" w:cs="Arial"/>
          <w:sz w:val="24"/>
          <w:szCs w:val="24"/>
        </w:rPr>
      </w:pPr>
    </w:p>
    <w:p w14:paraId="770D5270" w14:textId="687F2C28" w:rsidR="00E031F6" w:rsidRPr="00CE71C2" w:rsidRDefault="00714286" w:rsidP="00714286">
      <w:pPr>
        <w:spacing w:line="288" w:lineRule="auto"/>
        <w:ind w:firstLineChars="200" w:firstLine="480"/>
        <w:rPr>
          <w:rFonts w:ascii="Arial" w:hAnsi="Arial" w:cs="Arial"/>
          <w:sz w:val="24"/>
          <w:szCs w:val="24"/>
        </w:rPr>
      </w:pPr>
      <w:r w:rsidRPr="00CE71C2">
        <w:rPr>
          <w:rFonts w:ascii="Arial" w:hAnsi="Arial" w:cs="Arial"/>
          <w:sz w:val="24"/>
          <w:szCs w:val="24"/>
        </w:rPr>
        <w:t>Thank you very much for your attention.</w:t>
      </w:r>
    </w:p>
    <w:sectPr w:rsidR="00E031F6" w:rsidRPr="00CE71C2" w:rsidSect="00CE71C2">
      <w:pgSz w:w="11906" w:h="16838"/>
      <w:pgMar w:top="1440" w:right="1247" w:bottom="1440" w:left="124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9FD"/>
    <w:rsid w:val="00163D52"/>
    <w:rsid w:val="001C4A9F"/>
    <w:rsid w:val="001F59FD"/>
    <w:rsid w:val="00376384"/>
    <w:rsid w:val="004101AE"/>
    <w:rsid w:val="00506AAD"/>
    <w:rsid w:val="00714286"/>
    <w:rsid w:val="0087412F"/>
    <w:rsid w:val="009C3C96"/>
    <w:rsid w:val="00AA68F7"/>
    <w:rsid w:val="00B12FB8"/>
    <w:rsid w:val="00C77FD7"/>
    <w:rsid w:val="00CE71C2"/>
    <w:rsid w:val="00DB1604"/>
    <w:rsid w:val="00DF6D43"/>
    <w:rsid w:val="00E031F6"/>
    <w:rsid w:val="00EF57F7"/>
    <w:rsid w:val="00F33620"/>
    <w:rsid w:val="00FF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1DC86"/>
  <w15:chartTrackingRefBased/>
  <w15:docId w15:val="{0B6A3C7F-AB31-47B1-979A-1B96AE88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59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9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9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9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9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9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9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9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59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5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5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59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59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59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59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59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59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59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5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9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59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59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59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59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59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5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59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5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1709</Words>
  <Characters>3248</Characters>
  <Application>Microsoft Office Word</Application>
  <DocSecurity>0</DocSecurity>
  <Lines>116</Lines>
  <Paragraphs>76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晋伟 常</dc:creator>
  <cp:keywords/>
  <dc:description/>
  <cp:lastModifiedBy>晋伟 常</cp:lastModifiedBy>
  <cp:revision>7</cp:revision>
  <dcterms:created xsi:type="dcterms:W3CDTF">2025-11-26T01:41:00Z</dcterms:created>
  <dcterms:modified xsi:type="dcterms:W3CDTF">2025-11-26T03:21:00Z</dcterms:modified>
</cp:coreProperties>
</file>