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'1.0' encoding='utf-8'?>
<Relationships xmlns="http://schemas.openxmlformats.org/package/2006/relationships"><Relationship Id="document" Type="http://schemas.openxmlformats.org/officeDocument/2006/relationships/officeDocument" Target="word/document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SmallText"/>
      </w:pPr>
      <w:r>
        <w:rPr/>
        <w:t xml:space="preserve">Домашнє завдання до заняття 7 · Оцінки уточнено 22 жовтня 2026</w:t>
      </w:r>
    </w:p>
    <w:p>
      <w:pPr>
        <w:pStyle w:val="Title"/>
      </w:pPr>
      <w:r>
        <w:rPr/>
        <w:t xml:space="preserve">Спільний фінансовий трекер</w:t>
      </w:r>
      <w:r>
        <w:br/>
      </w:r>
      <w:r>
        <w:rPr/>
        <w:t xml:space="preserve">Олі та Марка</w:t>
      </w:r>
    </w:p>
    <w:p>
      <w:pPr>
        <w:pStyle w:val="Normal"/>
      </w:pPr>
      <w:r>
        <w:rPr/>
        <w:t xml:space="preserve">Обираю вебтрекер для двох людей: він імпортує обидві виписки, показує особисті й спільні витрати та дозволяє Маркові додавати готівку з телефона. Оренду, продукти, інтернет і світло ділимо 50/50. Оля бачить, скільки заощаджує і як наближається до подушки на пів року.</w:t>
      </w:r>
    </w:p>
    <w:p>
      <w:pPr>
        <w:pStyle w:val="Normal"/>
      </w:pPr>
      <w:r>
        <w:rPr>
          <w:b/>
        </w:rPr>
        <w:t xml:space="preserve">Обмеження:</w:t>
      </w:r>
      <w:r>
        <w:rPr/>
        <w:t xml:space="preserve"> PLN, три місяці розвитку, 4-6 годин розробки на тиждень, до $200 на перший рік. Після базових можливостей пріоритет має прогрес подушки, потім ліміти. Банківські платежі не переписуємо вручну: правила категоризують знайомі описи.</w:t>
      </w:r>
    </w:p>
    <w:p>
      <w:pPr>
        <w:pStyle w:val="Heading1"/>
      </w:pPr>
      <w:r>
        <w:rPr/>
        <w:t xml:space="preserve">Пріоритети наступної версії</w:t>
      </w:r>
    </w:p>
    <w:p>
      <w:pPr>
        <w:pStyle w:val="SmallText"/>
      </w:pPr>
      <w:r>
        <w:rPr/>
        <w:t xml:space="preserve">MSCW — на три місяці. Час фічі = сума підзадач, включно з її перевіркою. Це припущення поверх готових імпорту Олі, правил і звіту; власних фіч не додаю. «Поля» у 2 — єдині дата, опис, сума, валюта, залишок для двох CSV; «категорії» — спільний перелік через rules.csv. Банківський API — окрема фіча 18.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516"/>
        <w:gridCol w:w="2373"/>
        <w:gridCol w:w="4024"/>
        <w:gridCol w:w="3405"/>
      </w:tblGrid>
      <w:tr>
        <w:trPr>
          <w:cantSplit/>
          <w:tblHeader/>
        </w:trPr>
        <w:tc>
          <w:tcPr>
            <w:tcW w:w="516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№</w:t>
            </w:r>
          </w:p>
        </w:tc>
        <w:tc>
          <w:tcPr>
            <w:tcW w:w="2373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Фіча і MSCW</w:t>
            </w:r>
          </w:p>
        </w:tc>
        <w:tc>
          <w:tcPr>
            <w:tcW w:w="4024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Склад оцінки, год</w:t>
            </w:r>
          </w:p>
        </w:tc>
        <w:tc>
          <w:tcPr>
            <w:tcW w:w="3405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Кому потрібна і що без неї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Імпорт виписки Марка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CSV 1 + Поля 1,5 + Власник/дублі 1 + Категорії 1 + Звірки 1,5 = 6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дані другого банку без переписування. Без імпорту спільний підсумок неповний.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Готівка з телефона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Форма 2 + Валідація 1 + Збереження 2 + Облік 1 + Перевірка 2 = 8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Маркові — витрати поза випискою. Без окремого збереження вони губляться після імпорту.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9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Спільні витрати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Правила 2 + Частки 2 + Перекази 1 + Підсумок 1 + Перевірка 2 = 8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50/50 й борг з особистими винятками. Без фічі платежі є, розрахунку спільного бюджету немає.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12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Вхід і особисті дані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Вхід 2 + Права 2 + HTTPS 2 + Видимість 1 + Перевірка 1 = 8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доступ до своїх і спільних даних. Без цього фінансовий звіт не публікуємо.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17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Звіт на телефоні</w:t>
            </w:r>
            <w:r>
              <w:br/>
            </w:r>
            <w:r>
              <w:rPr>
                <w:b/>
              </w:rPr>
              <w:t xml:space="preserve">Must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Вибірка 1,5 + Екран 1 + Підписи 0,5 + Перевірка 1 = 4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Маркові — звіт без термінала, Олі — зручний перегляд. Без нього головного способу користування немає.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Ціль заощаджень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Суми 0,5 + Формула 0,5 + Індикатор 0,5 + Перевірка 0,5 = 2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Олі — прогрес подушки; перше покращення після Must. Без нього лишається норма заощаджень.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Ліміти на категорії</w:t>
            </w:r>
            <w:r>
              <w:br/>
            </w:r>
            <w:r>
              <w:rPr>
                <w:b/>
              </w:rPr>
              <w:t xml:space="preserve">Should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Налаштування 2 + Розрахунок 2 + Інтерфейс 2 + Перевірка 2 = 8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попередження про перевищення. Витрати видно й без них; додаємо після подушки, якщо є час.</w:t>
            </w:r>
          </w:p>
        </w:tc>
      </w:tr>
    </w:tbl>
    <w:p>
      <w:pPr>
        <w:pStyle w:val="Normal"/>
      </w:pPr>
      <w:r>
        <w:rPr>
          <w:b/>
        </w:rPr>
        <w:t xml:space="preserve">Must: 6 + 8 + 8 + 8 + 4 = 34 год.</w:t>
      </w:r>
      <w:r>
        <w:rPr/>
        <w:t xml:space="preserve"> Ресурс за 12 тижнів: 4 × 12 = 48 або 6 × 12 = 72 год. Нижній план: </w:t>
      </w:r>
      <w:r>
        <w:rPr>
          <w:b/>
        </w:rPr>
        <w:t xml:space="preserve">34 + 2 подушка + 12 резерв = 48</w:t>
      </w:r>
      <w:r>
        <w:rPr/>
        <w:t xml:space="preserve">. Верхній: </w:t>
      </w:r>
      <w:r>
        <w:rPr>
          <w:b/>
        </w:rPr>
        <w:t xml:space="preserve">34 + 2 + 8 ліміти + 18 резерв = 62; 62 + 10 вільних = 72</w:t>
      </w:r>
      <w:r>
        <w:rPr/>
        <w:t xml:space="preserve">.</w:t>
      </w:r>
    </w:p>
    <w:p>
      <w:pPr>
        <w:pStyle w:val="SmallText"/>
      </w:pPr>
      <w:r>
        <w:rPr>
          <w:b/>
        </w:rPr>
        <w:t xml:space="preserve">Спільний резерв:</w:t>
      </w:r>
      <w:r>
        <w:rPr/>
        <w:t xml:space="preserve"> 4 год на перевірку всього ланцюжка + 2 на відновлення копії й інструкцію + 6 на непередбачене = 12; за 72 год ризиковий буфер 12, отже 4 + 2 + 12 = 18. Це 25% ресурсу 48/72; локальні перевірки фіч повторно не рахуємо.</w:t>
      </w:r>
    </w:p>
    <w:p>
      <w:pPr>
        <w:pStyle w:val="SmallText"/>
      </w:pPr>
      <w:r>
        <w:rPr/>
        <w:t xml:space="preserve">Подушка не дорівнює всьому банківському залишку. Для простої фічі 5 Оля задає ціль у PLN на шість місяців життя й суму, яку вже зарезервувала; прогрес = зарезервовано / ціль × 100%. Прогнозування і перекази не входять у 2 години.</w:t>
      </w:r>
    </w:p>
    <w:p>
      <w:pPr>
        <w:pStyle w:val="Heading1"/>
        <w:pageBreakBefore/>
      </w:pPr>
      <w:r>
        <w:rPr/>
        <w:t xml:space="preserve">Що робимо за можливості та що відкладаємо</w:t>
      </w:r>
    </w:p>
    <w:p>
      <w:pPr>
        <w:pStyle w:val="SmallText"/>
      </w:pPr>
      <w:r>
        <w:rPr/>
        <w:t xml:space="preserve">Could не витісняють Must і подушку. Won’t — відмова на три місяці. Формули — для мінімуму поверх готових передумов. 7 і 18 — нижні межі: оболонка готового вебтрекера та лише доступний API двох банків; тарифи API оцінюємо окремо.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516"/>
        <w:gridCol w:w="2373"/>
        <w:gridCol w:w="4024"/>
        <w:gridCol w:w="3405"/>
      </w:tblGrid>
      <w:tr>
        <w:trPr>
          <w:cantSplit/>
          <w:tblHeader/>
        </w:trPr>
        <w:tc>
          <w:tcPr>
            <w:tcW w:w="516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№</w:t>
            </w:r>
          </w:p>
        </w:tc>
        <w:tc>
          <w:tcPr>
            <w:tcW w:w="2373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Фіча і MSCW</w:t>
            </w:r>
          </w:p>
        </w:tc>
        <w:tc>
          <w:tcPr>
            <w:tcW w:w="4024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Склад оцінки, год</w:t>
            </w:r>
          </w:p>
        </w:tc>
        <w:tc>
          <w:tcPr>
            <w:tcW w:w="3405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Кому потрібна і що без неї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Темна тема</w:t>
            </w:r>
            <w:r>
              <w:br/>
            </w:r>
            <w:r>
              <w:rPr>
                <w:b/>
              </w:rPr>
              <w:t xml:space="preserve">Could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Кольори 1 + Перемикач 0,5 + Перевірка 0,5 = 2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зручність увечері. Без неї світлий звіт дає ті самі відповіді.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AI-категоризація</w:t>
            </w:r>
            <w:r>
              <w:br/>
            </w:r>
            <w:r>
              <w:rPr>
                <w:b/>
              </w:rPr>
              <w:t xml:space="preserve">Could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Відбір 1 + API 2 + Підтвердження 2 + Відмови 1 + Перевірка 2 = 8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менше розбору нових продавців. Користь не виміряна; знайомі описи вже обробляють правила.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Звіт у Telegram</w:t>
            </w:r>
            <w:r>
              <w:br/>
            </w:r>
            <w:r>
              <w:rPr>
                <w:b/>
              </w:rPr>
              <w:t xml:space="preserve">Could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Чат 1 + Підсумок 1 + Надсилання 1 + Перевірка 1 = 4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нагадування про спільний підсумок. Без нього підсумок доступний у браузері.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14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Експорт у таблиці</w:t>
            </w:r>
            <w:r>
              <w:br/>
            </w:r>
            <w:r>
              <w:rPr>
                <w:b/>
              </w:rPr>
              <w:t xml:space="preserve">Could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Вибірка 1 + CSV 1 + Завантаження 1 + Перевірка 1 = 4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Олі — аналіз, обом — перенесення. Без CSV працює звіт і Fava; прямої синхронізації не робимо.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Тренди за рік</w:t>
            </w:r>
            <w:r>
              <w:br/>
            </w:r>
            <w:r>
              <w:rPr>
                <w:b/>
              </w:rPr>
              <w:t xml:space="preserve">Won’t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Історія 2 + Порівняння 1 + Графік 2 + Звірка 1 = 6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зміни витрат. Поки є два повні місяці; без фічі працює місячний звіт.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7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Застосунок у сторах</w:t>
            </w:r>
            <w:r>
              <w:br/>
            </w:r>
            <w:r>
              <w:rPr>
                <w:b/>
              </w:rPr>
              <w:t xml:space="preserve">Won’t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Оболонка 12 + Доступ 8 + Збірки 8 + Подання 8 + Виправлення 4 = 40 (мін.)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достатньо вебверсії. Стори додають від 40 год і $124 у перший рік; відкладаємо.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11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Фото чека</w:t>
            </w:r>
            <w:r>
              <w:br/>
            </w:r>
            <w:r>
              <w:rPr>
                <w:b/>
              </w:rPr>
              <w:t xml:space="preserve">Won’t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Фото 2 + OCR 4 + Підтвердження 4 + Збереження 2 + Перевірка 4 = 16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Маркові — коротше введення готівки. Поки достатньо форми; розпізнавання потребує перевірки та, можливо, API.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13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AI-асистент</w:t>
            </w:r>
            <w:r>
              <w:br/>
            </w:r>
            <w:r>
              <w:rPr>
                <w:b/>
              </w:rPr>
              <w:t xml:space="preserve">Won’t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Права/дані 3 + API 3 + Розрахунки 4 + Інтерфейс 2 + Перевірка 4 = 16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нові питання звичайною мовою. Перевага понад Fava не доведена; приватність і 16 год важливіші за дешевий API.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15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Кілька валют</w:t>
            </w:r>
            <w:r>
              <w:br/>
            </w:r>
            <w:r>
              <w:rPr>
                <w:b/>
              </w:rPr>
              <w:t xml:space="preserve">Won’t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Рахунки 3 + Курси 3 + Звіт 3 + Перевірка 3 = 12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поки не потрібна: усі задані операції в PLN. Без конвертації поточні виписки обліковуються повністю.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16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Облік інвестицій</w:t>
            </w:r>
            <w:r>
              <w:br/>
            </w:r>
            <w:r>
              <w:rPr>
                <w:b/>
              </w:rPr>
              <w:t xml:space="preserve">Won’t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Модель 4 + Операції 4 + Звіт 4 + Перевірка 4 = 16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Портфеля в умовах немає. Без фічі побутовий бюджет і прогрес подушки працюють.</w:t>
            </w:r>
          </w:p>
        </w:tc>
      </w:tr>
      <w:tr>
        <w:trPr>
          <w:cantSplit/>
        </w:trPr>
        <w:tc>
          <w:tcPr>
            <w:tcW w:w="516" w:type="dxa"/>
            <w:vAlign w:val="center"/>
          </w:tcPr>
          <w:p>
            <w:pPr>
              <w:pStyle w:val="TableText"/>
            </w:pPr>
            <w:r>
              <w:rPr/>
              <w:t xml:space="preserve">18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Автозавантаження з банку</w:t>
            </w:r>
            <w:r>
              <w:br/>
            </w:r>
            <w:r>
              <w:rPr>
                <w:b/>
              </w:rPr>
              <w:t xml:space="preserve">Won’t</w:t>
            </w:r>
          </w:p>
        </w:tc>
        <w:tc>
          <w:tcPr>
            <w:tcW w:w="4024" w:type="dxa"/>
            <w:vAlign w:val="center"/>
          </w:tcPr>
          <w:p>
            <w:pPr>
              <w:pStyle w:val="TableText"/>
            </w:pPr>
            <w:r>
              <w:rPr/>
              <w:t xml:space="preserve">Доступність 4 + Підключення 6 + Маппінг 4 + Синхронізація 4 + Перевірка 6 = 24 (мін.)</w:t>
            </w:r>
          </w:p>
        </w:tc>
        <w:tc>
          <w:tcPr>
            <w:tcW w:w="3405" w:type="dxa"/>
            <w:vAlign w:val="center"/>
          </w:tcPr>
          <w:p>
            <w:pPr>
              <w:pStyle w:val="TableText"/>
            </w:pPr>
            <w:r>
              <w:rPr/>
              <w:t xml:space="preserve">Обом — автоматичний імпорт. Доступність API й ціна невідомі; поки вистачає пакетного CSV.</w:t>
            </w:r>
          </w:p>
        </w:tc>
      </w:tr>
    </w:tbl>
    <w:p>
      <w:pPr>
        <w:pStyle w:val="Normal"/>
      </w:pPr>
      <w:r>
        <w:rPr>
          <w:b/>
        </w:rPr>
        <w:t xml:space="preserve">Перевірка повноти:</w:t>
      </w:r>
      <w:r>
        <w:rPr/>
        <w:t xml:space="preserve"> 18 фіч, кожен номер використано один раз; Must 5, Should 2, Could 4, Won’t 7.</w:t>
      </w:r>
    </w:p>
    <w:p>
      <w:pPr>
        <w:pStyle w:val="SmallText"/>
      </w:pPr>
      <w:r>
        <w:rPr/>
        <w:t xml:space="preserve">Черга: 2 → 12 → 17 → 6 → 9 → 5 → 10. Вхід/HTTPS враховані лише в 12; ручне SQLite-сховище — у 6, банк його не стирає. 5/10 додають свої поля до готового сховища. 9 рахує 50/50 і відшкодування без подвійних витрат; змішаний чек у мінімумі позначаємо цілком особистим або спільним. Звіт між зарплатами, вебзавантаження CSV та самореєстрація потребують нової оцінки.</w:t>
      </w:r>
    </w:p>
    <w:p>
      <w:pPr>
        <w:pStyle w:val="Heading1"/>
        <w:pageBreakBefore/>
      </w:pPr>
      <w:r>
        <w:rPr/>
        <w:t xml:space="preserve">Перевірка пріоритетів іншими методами</w:t>
      </w:r>
    </w:p>
    <w:p>
      <w:pPr>
        <w:pStyle w:val="Normal"/>
      </w:pPr>
      <w:r>
        <w:rPr>
          <w:b/>
        </w:rPr>
        <w:t xml:space="preserve">RICE</w:t>
      </w:r>
      <w:r>
        <w:rPr/>
        <w:t xml:space="preserve"> порівнює охоплення, вплив, впевненість в оцінках і зусилля. Обираю його, щоб не переоцінити привабливі AI-фічі без доказів користі. Для двох людей охоплення мало відрізняє ідеї, зате впевненість робить невідомість видимою. </w:t>
      </w:r>
      <w:hyperlink w:history="1" r:id="link2">
        <w:r>
          <w:rPr>
            <w:color w:val="205741"/>
            <w:u w:val="single"/>
          </w:rPr>
          <w:t xml:space="preserve">Джерело: Intercom</w:t>
        </w:r>
      </w:hyperlink>
      <w:r>
        <w:rPr/>
        <w:t xml:space="preserve">.</w:t>
      </w:r>
    </w:p>
    <w:p>
      <w:pPr>
        <w:pStyle w:val="Normal"/>
      </w:pPr>
      <w:r>
        <w:rPr>
          <w:b/>
        </w:rPr>
        <w:t xml:space="preserve">Матриця «цінність і зусилля»</w:t>
      </w:r>
      <w:r>
        <w:rPr/>
        <w:t xml:space="preserve"> допомагає обговорити, яка користь варта кількох вечорів роботи. Вона проста для Олі й Марка, але не виділяє впевненість окремо; для числового прикладу беру RICE. </w:t>
      </w:r>
      <w:hyperlink w:history="1" r:id="link3">
        <w:r>
          <w:rPr>
            <w:color w:val="205741"/>
            <w:u w:val="single"/>
          </w:rPr>
          <w:t xml:space="preserve">Джерело: Atlassian</w:t>
        </w:r>
      </w:hyperlink>
      <w:r>
        <w:rPr/>
        <w:t xml:space="preserve">.</w:t>
      </w:r>
    </w:p>
    <w:p>
      <w:pPr>
        <w:pStyle w:val="Normal"/>
      </w:pPr>
      <w:r>
        <w:rPr/>
        <w:t xml:space="preserve">Ці методи прямо враховують наш обмежений час. Kano теж корисний для розмови про очікування, але сам поділ за задоволенням користувачів не показує витрат реалізації. Тому для цього проєкту обираю порівняння користі й зусиль.</w:t>
      </w:r>
    </w:p>
    <w:p>
      <w:pPr>
        <w:pStyle w:val="Heading2"/>
      </w:pPr>
      <w:r>
        <w:rPr/>
        <w:t xml:space="preserve">Розрахунок RICE для п’яти спірних фіч</w:t>
      </w:r>
    </w:p>
    <w:p>
      <w:pPr>
        <w:pStyle w:val="Normal"/>
      </w:pPr>
      <w:r>
        <w:rPr>
          <w:b/>
        </w:rPr>
        <w:t xml:space="preserve">RICE = R × I × C / E.</w:t>
      </w:r>
      <w:r>
        <w:rPr/>
        <w:t xml:space="preserve"> R - люди, яким фіча допоможе за три місяці; I - вплив: 3 дуже великий, 2 високий, 1 середній, 0,5 низький, 0,25 мінімальний; C - впевненість: 100% висока, 80% середня, 50% низька; E - людино-години розробки й перевірки.</w:t>
      </w:r>
    </w:p>
    <w:p>
      <w:pPr>
        <w:pStyle w:val="SmallText"/>
      </w:pPr>
      <w:r>
        <w:rPr/>
        <w:t xml:space="preserve">Усі числа є припущеннями. Замість оригінальних людино-місяців RICE використовую години однаково для всіх фіч. Це додатковий час поверх базової інфраструктури; 100% впевненості без перевірок не ставлю.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3611"/>
        <w:gridCol w:w="1445"/>
        <w:gridCol w:w="722"/>
        <w:gridCol w:w="825"/>
        <w:gridCol w:w="1135"/>
        <w:gridCol w:w="1238"/>
        <w:gridCol w:w="1342"/>
      </w:tblGrid>
      <w:tr>
        <w:trPr>
          <w:cantSplit/>
          <w:tblHeader/>
        </w:trPr>
        <w:tc>
          <w:tcPr>
            <w:tcW w:w="3611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№ і фіча</w:t>
            </w:r>
          </w:p>
        </w:tc>
        <w:tc>
          <w:tcPr>
            <w:tcW w:w="1445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MSCW</w:t>
            </w:r>
          </w:p>
        </w:tc>
        <w:tc>
          <w:tcPr>
            <w:tcW w:w="722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R</w:t>
            </w:r>
          </w:p>
        </w:tc>
        <w:tc>
          <w:tcPr>
            <w:tcW w:w="825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I</w:t>
            </w:r>
          </w:p>
        </w:tc>
        <w:tc>
          <w:tcPr>
            <w:tcW w:w="1135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C</w:t>
            </w:r>
          </w:p>
        </w:tc>
        <w:tc>
          <w:tcPr>
            <w:tcW w:w="1238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E, год</w:t>
            </w:r>
          </w:p>
        </w:tc>
        <w:tc>
          <w:tcPr>
            <w:tcW w:w="1342" w:type="dxa"/>
            <w:vAlign w:val="center"/>
            <w:shd w:fill="EDF3EF" w:val="clear"/>
          </w:tcPr>
          <w:p>
            <w:pPr>
              <w:pStyle w:val="TableHeader"/>
              <w:jc w:val="right"/>
            </w:pPr>
            <w:r>
              <w:rPr>
                <w:b/>
              </w:rPr>
              <w:t xml:space="preserve">Бал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5 · Ціль заощаджень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722" w:type="dxa"/>
            <w:vAlign w:val="center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825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1135" w:type="dxa"/>
            <w:vAlign w:val="center"/>
          </w:tcPr>
          <w:p>
            <w:pPr>
              <w:pStyle w:val="TableText"/>
            </w:pPr>
            <w:r>
              <w:rPr/>
              <w:t xml:space="preserve">80%</w:t>
            </w:r>
          </w:p>
        </w:tc>
        <w:tc>
          <w:tcPr>
            <w:tcW w:w="1238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1342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0,800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6 · Готівка з телефона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Must</w:t>
            </w:r>
          </w:p>
        </w:tc>
        <w:tc>
          <w:tcPr>
            <w:tcW w:w="722" w:type="dxa"/>
            <w:vAlign w:val="center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825" w:type="dxa"/>
            <w:vAlign w:val="center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1135" w:type="dxa"/>
            <w:vAlign w:val="center"/>
          </w:tcPr>
          <w:p>
            <w:pPr>
              <w:pStyle w:val="TableText"/>
            </w:pPr>
            <w:r>
              <w:rPr/>
              <w:t xml:space="preserve">80%</w:t>
            </w:r>
          </w:p>
        </w:tc>
        <w:tc>
          <w:tcPr>
            <w:tcW w:w="1238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1342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0,300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10 · Ліміти на категорії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Should</w:t>
            </w:r>
          </w:p>
        </w:tc>
        <w:tc>
          <w:tcPr>
            <w:tcW w:w="722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825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1135" w:type="dxa"/>
            <w:vAlign w:val="center"/>
          </w:tcPr>
          <w:p>
            <w:pPr>
              <w:pStyle w:val="TableText"/>
            </w:pPr>
            <w:r>
              <w:rPr/>
              <w:t xml:space="preserve">50%</w:t>
            </w:r>
          </w:p>
        </w:tc>
        <w:tc>
          <w:tcPr>
            <w:tcW w:w="1238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1342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0,250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4 · AI-категоризація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Could</w:t>
            </w:r>
          </w:p>
        </w:tc>
        <w:tc>
          <w:tcPr>
            <w:tcW w:w="722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825" w:type="dxa"/>
            <w:vAlign w:val="center"/>
          </w:tcPr>
          <w:p>
            <w:pPr>
              <w:pStyle w:val="TableText"/>
            </w:pPr>
            <w:r>
              <w:rPr/>
              <w:t xml:space="preserve">0,5</w:t>
            </w:r>
          </w:p>
        </w:tc>
        <w:tc>
          <w:tcPr>
            <w:tcW w:w="1135" w:type="dxa"/>
            <w:vAlign w:val="center"/>
          </w:tcPr>
          <w:p>
            <w:pPr>
              <w:pStyle w:val="TableText"/>
            </w:pPr>
            <w:r>
              <w:rPr/>
              <w:t xml:space="preserve">50%</w:t>
            </w:r>
          </w:p>
        </w:tc>
        <w:tc>
          <w:tcPr>
            <w:tcW w:w="1238" w:type="dxa"/>
            <w:vAlign w:val="center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1342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0,063</w:t>
            </w:r>
          </w:p>
        </w:tc>
      </w:tr>
      <w:tr>
        <w:trPr>
          <w:cantSplit/>
        </w:trPr>
        <w:tc>
          <w:tcPr>
            <w:tcW w:w="3611" w:type="dxa"/>
            <w:vAlign w:val="center"/>
          </w:tcPr>
          <w:p>
            <w:pPr>
              <w:pStyle w:val="TableText"/>
            </w:pPr>
            <w:r>
              <w:rPr/>
              <w:t xml:space="preserve">13 · AI-асистент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</w:pPr>
            <w:r>
              <w:rPr/>
              <w:t xml:space="preserve">Won’t</w:t>
            </w:r>
          </w:p>
        </w:tc>
        <w:tc>
          <w:tcPr>
            <w:tcW w:w="722" w:type="dxa"/>
            <w:vAlign w:val="center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825" w:type="dxa"/>
            <w:vAlign w:val="center"/>
          </w:tcPr>
          <w:p>
            <w:pPr>
              <w:pStyle w:val="TableText"/>
            </w:pPr>
            <w:r>
              <w:rPr/>
              <w:t xml:space="preserve">0,5</w:t>
            </w:r>
          </w:p>
        </w:tc>
        <w:tc>
          <w:tcPr>
            <w:tcW w:w="1135" w:type="dxa"/>
            <w:vAlign w:val="center"/>
          </w:tcPr>
          <w:p>
            <w:pPr>
              <w:pStyle w:val="TableText"/>
            </w:pPr>
            <w:r>
              <w:rPr/>
              <w:t xml:space="preserve">50%</w:t>
            </w:r>
          </w:p>
        </w:tc>
        <w:tc>
          <w:tcPr>
            <w:tcW w:w="1238" w:type="dxa"/>
            <w:vAlign w:val="center"/>
          </w:tcPr>
          <w:p>
            <w:pPr>
              <w:pStyle w:val="TableText"/>
            </w:pPr>
            <w:r>
              <w:rPr/>
              <w:t xml:space="preserve">16</w:t>
            </w:r>
          </w:p>
        </w:tc>
        <w:tc>
          <w:tcPr>
            <w:tcW w:w="1342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0,031</w:t>
            </w:r>
          </w:p>
        </w:tc>
      </w:tr>
    </w:tbl>
    <w:p>
      <w:pPr>
        <w:pStyle w:val="Normal"/>
      </w:pPr>
      <w:r>
        <w:rPr/>
        <w:t xml:space="preserve">Наприклад, готівка: </w:t>
      </w:r>
      <w:r>
        <w:rPr>
          <w:b/>
        </w:rPr>
        <w:t xml:space="preserve">1 × 3 × 0,8 / 8 = 0,300</w:t>
      </w:r>
      <w:r>
        <w:rPr/>
        <w:t xml:space="preserve">. Охоплення для готівки - Марко, для цілі - Оля; для інших фіч припускаю користь обом. Проста ціль займає 2 години; готівка потребує надійного зберігання. Для лімітів реакція користувачів невідома; користь AI понад наявні правила й звіт не виміряна.</w:t>
      </w:r>
    </w:p>
    <w:p>
      <w:pPr>
        <w:pStyle w:val="Normal"/>
      </w:pPr>
      <w:r>
        <w:rPr>
          <w:b/>
        </w:rPr>
        <w:t xml:space="preserve">Розбіжність:</w:t>
      </w:r>
      <w:r>
        <w:rPr/>
        <w:t xml:space="preserve"> RICE ставить ціль із Should вище за готівку з Must через малу оцінку часу. Для обов’язкового складу версії більше довіряю MSCW: Маркові потрібне додавання витрат із телефона, і проста ціль цього не замінює. RICE використовую для додаткових покращень; серед Should спочатку подушка, потім ліміти.</w:t>
      </w:r>
    </w:p>
    <w:p>
      <w:pPr>
        <w:pStyle w:val="Normal"/>
      </w:pPr>
      <w:r>
        <w:rPr>
          <w:b/>
        </w:rPr>
        <w:t xml:space="preserve">Чутливість:</w:t>
      </w:r>
      <w:r>
        <w:rPr/>
        <w:t xml:space="preserve"> якщо ціль потребуватиме 6 годин замість 2, бал стане 1 × 2 × 0,8 / 6 ≈ 0,267 і опуститься нижче готівки. Вищий бал не скасовує залежності, приватність чи бюджет.</w:t>
      </w:r>
    </w:p>
    <w:p>
      <w:pPr>
        <w:pStyle w:val="Heading2"/>
      </w:pPr>
      <w:r>
        <w:rPr/>
        <w:t xml:space="preserve">Чи працюють фреймворки</w:t>
      </w:r>
    </w:p>
    <w:p>
      <w:pPr>
        <w:pStyle w:val="Normal"/>
      </w:pPr>
      <w:r>
        <w:rPr/>
        <w:t xml:space="preserve">На мою думку, так: вони змушують пояснити користь, витрати й відмови. Але суб’єктивність залишається і в числах, тому припущення треба перевіряти після користування. Для двох людей достатньо короткої таблиці й прямої розмови; сам високий бал не гарантує корисного продукту.</w:t>
      </w:r>
    </w:p>
    <w:p>
      <w:pPr>
        <w:pStyle w:val="Heading1"/>
        <w:pageBreakBefore/>
      </w:pPr>
      <w:r>
        <w:rPr/>
        <w:t xml:space="preserve">Роадмап із сигналами переходу</w:t>
      </w:r>
    </w:p>
    <w:p>
      <w:pPr>
        <w:pStyle w:val="SmallText"/>
      </w:pPr>
      <w:r>
        <w:rPr/>
        <w:t xml:space="preserve">Етапи від старту роботи. «До кінця року» трактую як кінець першого року розвитку: календарний грудень 2026 настав би раніше тримісячного етапу. Це явне припущення плану.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857"/>
        <w:gridCol w:w="3818"/>
        <w:gridCol w:w="4643"/>
      </w:tblGrid>
      <w:tr>
        <w:trPr>
          <w:cantSplit/>
          <w:tblHeader/>
        </w:trPr>
        <w:tc>
          <w:tcPr>
            <w:tcW w:w="1857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Етап</w:t>
            </w:r>
          </w:p>
        </w:tc>
        <w:tc>
          <w:tcPr>
            <w:tcW w:w="3818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Фічі та результат</w:t>
            </w:r>
          </w:p>
        </w:tc>
        <w:tc>
          <w:tcPr>
            <w:tcW w:w="4643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Сигнал переходу</w:t>
            </w:r>
          </w:p>
        </w:tc>
      </w:tr>
      <w:tr>
        <w:trPr>
          <w:cantSplit/>
        </w:trPr>
        <w:tc>
          <w:tcPr>
            <w:tcW w:w="185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Перший місяць</w:t>
            </w:r>
          </w:p>
        </w:tc>
        <w:tc>
          <w:tcPr>
            <w:tcW w:w="3818" w:type="dxa"/>
            <w:vAlign w:val="center"/>
          </w:tcPr>
          <w:p>
            <w:pPr>
              <w:pStyle w:val="TableText"/>
            </w:pPr>
            <w:r>
              <w:rPr/>
              <w:t xml:space="preserve">2, 12, 17: імпорт обох банків, захищений вхід, свої й позначені спільні дані та звіт на телефоні.</w:t>
            </w:r>
          </w:p>
        </w:tc>
        <w:tc>
          <w:tcPr>
            <w:tcW w:w="4643" w:type="dxa"/>
            <w:vAlign w:val="center"/>
          </w:tcPr>
          <w:p>
            <w:pPr>
              <w:pStyle w:val="TableText"/>
            </w:pPr>
            <w:r>
              <w:rPr/>
              <w:t xml:space="preserve">Bean-check мовчить, усі чотири контрольні суми збігаються. Марко двічі сам входить і знаходить місячний підсумок; чужі особисті дані й доступ без входу закриті.</w:t>
            </w:r>
          </w:p>
        </w:tc>
      </w:tr>
      <w:tr>
        <w:trPr>
          <w:cantSplit/>
        </w:trPr>
        <w:tc>
          <w:tcPr>
            <w:tcW w:w="185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До трьох місяців</w:t>
            </w:r>
          </w:p>
        </w:tc>
        <w:tc>
          <w:tcPr>
            <w:tcW w:w="3818" w:type="dxa"/>
            <w:vAlign w:val="center"/>
          </w:tcPr>
          <w:p>
            <w:pPr>
              <w:pStyle w:val="TableText"/>
            </w:pPr>
            <w:r>
              <w:rPr/>
              <w:t xml:space="preserve">6, 9: готівка й розрахунок 50/50; потім 5 - подушка, 10 - ліміти, якщо вистачає часу.</w:t>
            </w:r>
          </w:p>
        </w:tc>
        <w:tc>
          <w:tcPr>
            <w:tcW w:w="4643" w:type="dxa"/>
            <w:vAlign w:val="center"/>
          </w:tcPr>
          <w:p>
            <w:pPr>
              <w:pStyle w:val="TableText"/>
            </w:pPr>
            <w:r>
              <w:rPr/>
              <w:t xml:space="preserve">Марко три тижні веде свою частину обліку без допомоги. Готівкова операція зберігається після перезапуску й імпорту; один місячний розрахунок 50/50 звірений обома.</w:t>
            </w:r>
          </w:p>
        </w:tc>
      </w:tr>
      <w:tr>
        <w:trPr>
          <w:cantSplit/>
        </w:trPr>
        <w:tc>
          <w:tcPr>
            <w:tcW w:w="185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До кінця першого року</w:t>
            </w:r>
          </w:p>
        </w:tc>
        <w:tc>
          <w:tcPr>
            <w:tcW w:w="3818" w:type="dxa"/>
            <w:vAlign w:val="center"/>
          </w:tcPr>
          <w:p>
            <w:pPr>
              <w:pStyle w:val="TableText"/>
            </w:pPr>
            <w:r>
              <w:rPr/>
              <w:t xml:space="preserve">1, 14, 8, 3 - за фактичною потребою; 4 й 11 - лише окремі експерименти з переглядом кошторису. Одне покращення за раз.</w:t>
            </w:r>
          </w:p>
        </w:tc>
        <w:tc>
          <w:tcPr>
            <w:tcW w:w="4643" w:type="dxa"/>
            <w:vAlign w:val="center"/>
          </w:tcPr>
          <w:p>
            <w:pPr>
              <w:pStyle w:val="TableText"/>
            </w:pPr>
            <w:r>
              <w:rPr/>
              <w:t xml:space="preserve">Після двох стабільних місячних циклів виміряно конкретну незручність. Проба скорочує час відповідної дії хоча б на 20%, зберігає правильність і вкладається в $200; тоді беремо наступне покращення.</w:t>
            </w:r>
          </w:p>
        </w:tc>
      </w:tr>
    </w:tbl>
    <w:p>
      <w:pPr>
        <w:pStyle w:val="SmallText"/>
      </w:pPr>
      <w:r>
        <w:rPr/>
        <w:t xml:space="preserve">Для теми й трендів сигнал — користь на двох місячних переглядах. Ціль внесення даних: до 10 хв/тиждень на двох + 15 хв на місячний імпорт; ще не виміряна. Перший етап: 6 + 8 + 4 = 18 год; + 4 зі спільного резерву = 22, тобто 22 / 4 тижні = 5,5 год/тиждень. За 4 год/тиждень маємо 16 год, дефіцит 6; етап займає 5,5 тижня. Якщо сигнал не досягнуто, спочатку виправляємо проблему, а додаткові фічі відкладаємо.</w:t>
      </w:r>
    </w:p>
    <w:p>
      <w:pPr>
        <w:pStyle w:val="Heading1"/>
      </w:pPr>
      <w:r>
        <w:rPr/>
        <w:t xml:space="preserve">Рішення про AI асистента</w:t>
      </w:r>
    </w:p>
    <w:p>
      <w:pPr>
        <w:pStyle w:val="Normal"/>
      </w:pPr>
      <w:r>
        <w:rPr>
          <w:b/>
        </w:rPr>
        <w:t xml:space="preserve">1. Не додаю у тримісячну версію.</w:t>
      </w:r>
      <w:r>
        <w:rPr/>
        <w:t xml:space="preserve"> Фіча 13 - Won’t; річної дати запуску не обіцяю. Повернуся до неї після двох місяців спостережень, якщо регулярно потрібні питання, яких не закривають звіт і збережені запити. Спочатку перевірю, чи достатньо одного нового запиту.</w:t>
      </w:r>
    </w:p>
    <w:p>
      <w:pPr>
        <w:pStyle w:val="Normal"/>
      </w:pPr>
      <w:r>
        <w:rPr>
          <w:b/>
        </w:rPr>
        <w:t xml:space="preserve">2. Користь понад Fava:</w:t>
      </w:r>
      <w:r>
        <w:rPr/>
        <w:t xml:space="preserve"> нове питання звичайною мовою без пошуку фільтрів, наприклад «порівняй мої витрати на доставку за серпень і вересень». Збережені запити вже показують категорії, заощадження, фіксовані й змінні витрати. Програма має перевіряти доступ і рахувати суми; модель лише визначає параметри та пояснює результат. Це зручність, а не більша точність чи скорочення внесення даних.</w:t>
      </w:r>
    </w:p>
    <w:p>
      <w:pPr>
        <w:pStyle w:val="Normal"/>
      </w:pPr>
      <w:r>
        <w:rPr>
          <w:b/>
        </w:rPr>
        <w:t xml:space="preserve">3. Ціна можливого сценарію:</w:t>
      </w:r>
      <w:r>
        <w:rPr/>
        <w:t xml:space="preserve"> </w:t>
      </w:r>
      <w:hyperlink w:history="1" r:id="link4">
        <w:r>
          <w:rPr>
            <w:color w:val="205741"/>
            <w:u w:val="single"/>
          </w:rPr>
          <w:t xml:space="preserve">GPT-6 Luna</w:t>
        </w:r>
      </w:hyperlink>
      <w:r>
        <w:rPr/>
        <w:t xml:space="preserve">, Standard: $0,10 за 1 млн вхідних і $0,50 за 1 млн вихідних токенів, перевірено 21.10.2026. Припускаю 40 питань на місяць від обох, на одне - 4 000 вхідних токенів з інструкціями й дозволеними даними та 500 вихідних, сумарно за всі обміни, без додаткових сервісів і з вимкненим reasoning.</w:t>
      </w:r>
    </w:p>
    <w:p>
      <w:pPr>
        <w:pStyle w:val="Normal"/>
      </w:pPr>
      <w:r>
        <w:rPr>
          <w:b/>
        </w:rPr>
        <w:t xml:space="preserve">40 × (4 000 × 0,10 + 500 × 0,50) / 1 000 000 = $0,026/місяць</w:t>
      </w:r>
      <w:r>
        <w:rPr/>
        <w:t xml:space="preserve">, близько $0,03 до додаткових нарахувань. API дешевий; головна ціна - орієнтовні 16 годин розробки й перевірки та обслуговування. Через відкладення в обраному бюджеті API коштує $0.</w:t>
      </w:r>
    </w:p>
    <w:p>
      <w:pPr>
        <w:pStyle w:val="Normal"/>
      </w:pPr>
      <w:r>
        <w:rPr>
          <w:b/>
        </w:rPr>
        <w:t xml:space="preserve">4. Приватність:</w:t>
      </w:r>
      <w:r>
        <w:rPr/>
        <w:t xml:space="preserve"> передані дані потрапляють провайдеру. Надсилатиму лише потрібні підсумки або мінімальну дозволену вибірку, без реквізитів і зайвих описів; права доступу перевірятиму до відправлення. Потрібні згода, HTTPS і ключ на сервері; особисті витрати партнера недоступні. Для Responses API - </w:t>
      </w:r>
      <w:r>
        <w:rPr/>
        <w:t xml:space="preserve">store=false</w:t>
      </w:r>
      <w:r>
        <w:rPr/>
        <w:t xml:space="preserve">, без постійної історії. API-дані за замовчуванням не використовують для навчання без добровільної згоди, але моніторингові журнали можуть зберігатися до 30 днів із винятками; нульового зберігання не обіцяю. </w:t>
      </w:r>
      <w:hyperlink w:history="1" r:id="link5">
        <w:r>
          <w:rPr>
            <w:color w:val="205741"/>
            <w:u w:val="single"/>
          </w:rPr>
          <w:t xml:space="preserve">Умови OpenAI</w:t>
        </w:r>
      </w:hyperlink>
      <w:r>
        <w:rPr/>
        <w:t xml:space="preserve">.</w:t>
      </w:r>
    </w:p>
    <w:p>
      <w:pPr>
        <w:pStyle w:val="Heading1"/>
        <w:pageBreakBefore/>
      </w:pPr>
      <w:r>
        <w:rPr/>
        <w:t xml:space="preserve">Бюджет на перші дванадцять місяців</w:t>
      </w:r>
    </w:p>
    <w:p>
      <w:pPr>
        <w:pStyle w:val="Normal"/>
      </w:pPr>
      <w:r>
        <w:rPr/>
        <w:t xml:space="preserve">Для продуктового сценарію обираю помісячний хостинг без передоплати за весь рік, адресу провайдера й наявний код. Платний тариф дає змогу налаштувати планові резервні копії. </w:t>
      </w:r>
      <w:r>
        <w:rPr>
          <w:b/>
        </w:rPr>
        <w:t xml:space="preserve">Ціни перевірено 21.10.2026.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3508"/>
        <w:gridCol w:w="2992"/>
        <w:gridCol w:w="1445"/>
        <w:gridCol w:w="2373"/>
      </w:tblGrid>
      <w:tr>
        <w:trPr>
          <w:cantSplit/>
          <w:tblHeader/>
        </w:trPr>
        <w:tc>
          <w:tcPr>
            <w:tcW w:w="3508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Стаття</w:t>
            </w:r>
          </w:p>
        </w:tc>
        <w:tc>
          <w:tcPr>
            <w:tcW w:w="2992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Розрахунок</w:t>
            </w:r>
          </w:p>
        </w:tc>
        <w:tc>
          <w:tcPr>
            <w:tcW w:w="1445" w:type="dxa"/>
            <w:vAlign w:val="center"/>
            <w:shd w:fill="EDF3EF" w:val="clear"/>
          </w:tcPr>
          <w:p>
            <w:pPr>
              <w:pStyle w:val="TableHeader"/>
              <w:jc w:val="right"/>
            </w:pPr>
            <w:r>
              <w:rPr>
                <w:b/>
              </w:rPr>
              <w:t xml:space="preserve">USD/рік</w:t>
            </w:r>
          </w:p>
        </w:tc>
        <w:tc>
          <w:tcPr>
            <w:tcW w:w="2373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Джерело або підстава</w:t>
            </w:r>
          </w:p>
        </w:tc>
      </w:tr>
      <w:tr>
        <w:trPr>
          <w:cantSplit/>
        </w:trPr>
        <w:tc>
          <w:tcPr>
            <w:tcW w:w="3508" w:type="dxa"/>
            <w:vAlign w:val="center"/>
          </w:tcPr>
          <w:p>
            <w:pPr>
              <w:pStyle w:val="TableText"/>
            </w:pPr>
            <w:r>
              <w:rPr/>
              <w:t xml:space="preserve">PythonAnywhere Developer</w:t>
            </w:r>
          </w:p>
        </w:tc>
        <w:tc>
          <w:tcPr>
            <w:tcW w:w="2992" w:type="dxa"/>
            <w:vAlign w:val="center"/>
          </w:tcPr>
          <w:p>
            <w:pPr>
              <w:pStyle w:val="TableText"/>
            </w:pPr>
            <w:r>
              <w:rPr/>
              <w:t xml:space="preserve">$10 × 12 місяців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120,00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hyperlink w:history="1" r:id="link6">
              <w:r>
                <w:rPr>
                  <w:color w:val="205741"/>
                  <w:u w:val="single"/>
                </w:rPr>
                <w:t xml:space="preserve">Офіційний тариф</w:t>
              </w:r>
            </w:hyperlink>
          </w:p>
        </w:tc>
      </w:tr>
      <w:tr>
        <w:trPr>
          <w:cantSplit/>
        </w:trPr>
        <w:tc>
          <w:tcPr>
            <w:tcW w:w="3508" w:type="dxa"/>
            <w:vAlign w:val="center"/>
          </w:tcPr>
          <w:p>
            <w:pPr>
              <w:pStyle w:val="TableText"/>
            </w:pPr>
            <w:r>
              <w:rPr/>
              <w:t xml:space="preserve">Адреса трекера та HTTPS</w:t>
            </w:r>
          </w:p>
        </w:tc>
        <w:tc>
          <w:tcPr>
            <w:tcW w:w="2992" w:type="dxa"/>
            <w:vAlign w:val="center"/>
          </w:tcPr>
          <w:p>
            <w:pPr>
              <w:pStyle w:val="TableText"/>
            </w:pPr>
            <w:r>
              <w:rPr/>
              <w:t xml:space="preserve">Адреса pythonanywhere.com і SSL включені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0,00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hyperlink w:history="1" r:id="link7">
              <w:r>
                <w:rPr>
                  <w:color w:val="205741"/>
                  <w:u w:val="single"/>
                </w:rPr>
                <w:t xml:space="preserve">Тариф провайдера</w:t>
              </w:r>
            </w:hyperlink>
          </w:p>
        </w:tc>
      </w:tr>
      <w:tr>
        <w:trPr>
          <w:cantSplit/>
        </w:trPr>
        <w:tc>
          <w:tcPr>
            <w:tcW w:w="3508" w:type="dxa"/>
            <w:vAlign w:val="center"/>
          </w:tcPr>
          <w:p>
            <w:pPr>
              <w:pStyle w:val="TableText"/>
            </w:pPr>
            <w:r>
              <w:rPr/>
              <w:t xml:space="preserve">Дані й резервні копії</w:t>
            </w:r>
          </w:p>
        </w:tc>
        <w:tc>
          <w:tcPr>
            <w:tcW w:w="2992" w:type="dxa"/>
            <w:vAlign w:val="center"/>
          </w:tcPr>
          <w:p>
            <w:pPr>
              <w:pStyle w:val="TableText"/>
            </w:pPr>
            <w:r>
              <w:rPr/>
              <w:t xml:space="preserve">Включені 5 GB, копія на наявному комп’ютері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0,00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Тариф; без окремого сховища</w:t>
            </w:r>
          </w:p>
        </w:tc>
      </w:tr>
      <w:tr>
        <w:trPr>
          <w:cantSplit/>
        </w:trPr>
        <w:tc>
          <w:tcPr>
            <w:tcW w:w="3508" w:type="dxa"/>
            <w:vAlign w:val="center"/>
          </w:tcPr>
          <w:p>
            <w:pPr>
              <w:pStyle w:val="TableText"/>
            </w:pPr>
            <w:r>
              <w:rPr/>
              <w:t xml:space="preserve">Облік, Fava, код і вхід</w:t>
            </w:r>
          </w:p>
        </w:tc>
        <w:tc>
          <w:tcPr>
            <w:tcW w:w="2992" w:type="dxa"/>
            <w:vAlign w:val="center"/>
          </w:tcPr>
          <w:p>
            <w:pPr>
              <w:pStyle w:val="TableText"/>
            </w:pPr>
            <w:r>
              <w:rPr/>
              <w:t xml:space="preserve">Без нових платних підписок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0,00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Наявний проєкт; </w:t>
            </w:r>
            <w:hyperlink w:history="1" r:id="link8">
              <w:r>
                <w:rPr>
                  <w:color w:val="205741"/>
                  <w:u w:val="single"/>
                </w:rPr>
                <w:t xml:space="preserve">Fava MIT</w:t>
              </w:r>
            </w:hyperlink>
          </w:p>
        </w:tc>
      </w:tr>
      <w:tr>
        <w:trPr>
          <w:cantSplit/>
        </w:trPr>
        <w:tc>
          <w:tcPr>
            <w:tcW w:w="3508" w:type="dxa"/>
            <w:vAlign w:val="center"/>
          </w:tcPr>
          <w:p>
            <w:pPr>
              <w:pStyle w:val="TableText"/>
            </w:pPr>
            <w:r>
              <w:rPr/>
              <w:t xml:space="preserve">Стори та API моделей</w:t>
            </w:r>
          </w:p>
        </w:tc>
        <w:tc>
          <w:tcPr>
            <w:tcW w:w="2992" w:type="dxa"/>
            <w:vAlign w:val="center"/>
          </w:tcPr>
          <w:p>
            <w:pPr>
              <w:pStyle w:val="TableText"/>
            </w:pPr>
            <w:r>
              <w:rPr/>
              <w:t xml:space="preserve">Не підключаємо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0,00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Відкладені фічі 7 і 13</w:t>
            </w:r>
          </w:p>
        </w:tc>
      </w:tr>
      <w:tr>
        <w:trPr>
          <w:cantSplit/>
        </w:trPr>
        <w:tc>
          <w:tcPr>
            <w:tcW w:w="3508" w:type="dxa"/>
            <w:vAlign w:val="center"/>
          </w:tcPr>
          <w:p>
            <w:pPr>
              <w:pStyle w:val="TableText"/>
            </w:pPr>
            <w:r>
              <w:rPr/>
              <w:t xml:space="preserve">Резерв</w:t>
            </w:r>
          </w:p>
        </w:tc>
        <w:tc>
          <w:tcPr>
            <w:tcW w:w="2992" w:type="dxa"/>
            <w:vAlign w:val="center"/>
          </w:tcPr>
          <w:p>
            <w:pPr>
              <w:pStyle w:val="TableText"/>
            </w:pPr>
            <w:r>
              <w:rPr/>
              <w:t xml:space="preserve">25% від $120 на можливі додаткові нарахування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30,00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Власне припущення</w:t>
            </w:r>
          </w:p>
        </w:tc>
      </w:tr>
      <w:tr>
        <w:trPr>
          <w:cantSplit/>
        </w:trPr>
        <w:tc>
          <w:tcPr>
            <w:tcW w:w="3508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Разом із резервом</w:t>
            </w:r>
          </w:p>
        </w:tc>
        <w:tc>
          <w:tcPr>
            <w:tcW w:w="2992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Ліміт $200; вільно $50</w:t>
            </w:r>
          </w:p>
        </w:tc>
        <w:tc>
          <w:tcPr>
            <w:tcW w:w="1445" w:type="dxa"/>
            <w:vAlign w:val="center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150,00</w:t>
            </w:r>
          </w:p>
        </w:tc>
        <w:tc>
          <w:tcPr>
            <w:tcW w:w="2373" w:type="dxa"/>
            <w:vAlign w:val="center"/>
          </w:tcPr>
          <w:p>
            <w:pPr>
              <w:pStyle w:val="TableText"/>
            </w:pPr>
            <w:r>
              <w:rPr/>
              <w:t xml:space="preserve">Базові платежі $120</w:t>
            </w:r>
          </w:p>
        </w:tc>
      </w:tr>
    </w:tbl>
    <w:p>
      <w:pPr>
        <w:pStyle w:val="SmallText"/>
      </w:pPr>
      <w:r>
        <w:rPr/>
        <w:t xml:space="preserve">Резерв ще не витрачено; фактичну окупність рахуємо за платежами. Власний час розробки не оплачується в цьому грошовому кошторисі. </w:t>
      </w:r>
      <w:hyperlink w:history="1" r:id="link9">
        <w:r>
          <w:rPr>
            <w:color w:val="205741"/>
            <w:u w:val="single"/>
          </w:rPr>
          <w:t xml:space="preserve">Apple $99/рік</w:t>
        </w:r>
      </w:hyperlink>
      <w:r>
        <w:rPr/>
        <w:t xml:space="preserve"> + </w:t>
      </w:r>
      <w:hyperlink w:history="1" r:id="link10">
        <w:r>
          <w:rPr>
            <w:color w:val="205741"/>
            <w:u w:val="single"/>
          </w:rPr>
          <w:t xml:space="preserve">Google Play $25 одноразово</w:t>
        </w:r>
      </w:hyperlink>
      <w:r>
        <w:rPr/>
        <w:t xml:space="preserve"> дали б із хостингом $244 без резерву, тому стори відкинуто. Власний стандартний </w:t>
      </w:r>
      <w:hyperlink w:history="1" r:id="link11">
        <w:r>
          <w:rPr>
            <w:color w:val="205741"/>
            <w:u w:val="single"/>
          </w:rPr>
          <w:t xml:space="preserve">.com у Porkbun коштує $11,08 за перший рік</w:t>
        </w:r>
      </w:hyperlink>
      <w:r>
        <w:rPr/>
        <w:t xml:space="preserve">; це перевірена альтернатива, але не покупка в нашому плані. З ним бюджет був би $161,08.</w:t>
      </w:r>
    </w:p>
    <w:p>
      <w:pPr>
        <w:pStyle w:val="Heading1"/>
      </w:pPr>
      <w:r>
        <w:rPr/>
        <w:t xml:space="preserve">Окупність за змінними витратами</w:t>
      </w:r>
    </w:p>
    <w:tbl>
      <w:tblPr>
        <w:tblW w:w="10318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4127"/>
        <w:gridCol w:w="3095"/>
        <w:gridCol w:w="3096"/>
      </w:tblGrid>
      <w:tr>
        <w:trPr>
          <w:cantSplit/>
          <w:tblHeader/>
        </w:trPr>
        <w:tc>
          <w:tcPr>
            <w:tcW w:w="4127" w:type="dxa"/>
            <w:vAlign w:val="center"/>
            <w:shd w:fill="EDF3EF" w:val="clear"/>
          </w:tcPr>
          <w:p>
            <w:pPr>
              <w:pStyle w:val="TableHeader"/>
            </w:pPr>
            <w:r>
              <w:rPr>
                <w:b/>
              </w:rPr>
              <w:t xml:space="preserve">Контрольні дані з умови</w:t>
            </w:r>
          </w:p>
        </w:tc>
        <w:tc>
          <w:tcPr>
            <w:tcW w:w="3095" w:type="dxa"/>
            <w:vAlign w:val="center"/>
            <w:shd w:fill="EDF3EF" w:val="clear"/>
          </w:tcPr>
          <w:p>
            <w:pPr>
              <w:pStyle w:val="TableHeader"/>
              <w:jc w:val="right"/>
            </w:pPr>
            <w:r>
              <w:rPr>
                <w:b/>
              </w:rPr>
              <w:t xml:space="preserve">Серпень, PLN</w:t>
            </w:r>
          </w:p>
        </w:tc>
        <w:tc>
          <w:tcPr>
            <w:tcW w:w="3096" w:type="dxa"/>
            <w:vAlign w:val="center"/>
            <w:shd w:fill="EDF3EF" w:val="clear"/>
          </w:tcPr>
          <w:p>
            <w:pPr>
              <w:pStyle w:val="TableHeader"/>
              <w:jc w:val="right"/>
            </w:pPr>
            <w:r>
              <w:rPr>
                <w:b/>
              </w:rPr>
              <w:t xml:space="preserve">Вересень, PLN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/>
              <w:t xml:space="preserve">Оля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2 195,21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2 582,42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/>
              <w:t xml:space="preserve">Марко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1 855,57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  <w:jc w:val="right"/>
            </w:pPr>
            <w:r>
              <w:rPr/>
              <w:t xml:space="preserve">2 432,83</w:t>
            </w:r>
          </w:p>
        </w:tc>
      </w:tr>
      <w:tr>
        <w:trPr>
          <w:cantSplit/>
        </w:trPr>
        <w:tc>
          <w:tcPr>
            <w:tcW w:w="4127" w:type="dxa"/>
            <w:vAlign w:val="center"/>
          </w:tcPr>
          <w:p>
            <w:pPr>
              <w:pStyle w:val="TableText"/>
            </w:pPr>
            <w:r>
              <w:rPr>
                <w:b/>
              </w:rPr>
              <w:t xml:space="preserve">Разом</w:t>
            </w:r>
          </w:p>
        </w:tc>
        <w:tc>
          <w:tcPr>
            <w:tcW w:w="3095" w:type="dxa"/>
            <w:vAlign w:val="center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4 050,78</w:t>
            </w:r>
          </w:p>
        </w:tc>
        <w:tc>
          <w:tcPr>
            <w:tcW w:w="3096" w:type="dxa"/>
            <w:vAlign w:val="center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5 015,25</w:t>
            </w:r>
          </w:p>
        </w:tc>
      </w:tr>
    </w:tbl>
    <w:p>
      <w:pPr>
        <w:pStyle w:val="Normal"/>
      </w:pPr>
      <w:r>
        <w:rPr/>
        <w:t xml:space="preserve">Середні витрати на двох за місяць: </w:t>
      </w:r>
      <w:r>
        <w:rPr>
          <w:b/>
        </w:rPr>
        <w:t xml:space="preserve">(4 050,78 + 5 015,25) / 2 = 4 533,015 PLN</w:t>
      </w:r>
      <w:r>
        <w:rPr/>
        <w:t xml:space="preserve">. Річна база без проміжного округлення: </w:t>
      </w:r>
      <w:r>
        <w:rPr>
          <w:b/>
        </w:rPr>
        <w:t xml:space="preserve">4 533,015 × 12 = 54 396,18 PLN</w:t>
      </w:r>
      <w:r>
        <w:rPr/>
        <w:t xml:space="preserve">. Це календарні місяці, окремо від періодів між зарплатами.</w:t>
      </w:r>
    </w:p>
    <w:p>
      <w:pPr>
        <w:pStyle w:val="Normal"/>
      </w:pPr>
      <w:hyperlink w:history="1" r:id="link12">
        <w:r>
          <w:rPr>
            <w:b/>
            <w:color w:val="205741"/>
            <w:u w:val="single"/>
          </w:rPr>
          <w:t xml:space="preserve">NBP, таблиця 205/A/NBP/2026 від 21.10.2026: 1 USD = 3,8889 PLN.</w:t>
        </w:r>
      </w:hyperlink>
      <w:r>
        <w:rPr/>
        <w:t xml:space="preserve"> Переводимо PLN у USD діленням: </w:t>
      </w:r>
      <w:r>
        <w:rPr>
          <w:b/>
        </w:rPr>
        <w:t xml:space="preserve">54 396,18 / 3,8889 ≈ $13 987,55</w:t>
      </w:r>
      <w:r>
        <w:rPr/>
        <w:t xml:space="preserve"> річних змінних витрат.</w:t>
      </w:r>
    </w:p>
    <w:p>
      <w:pPr>
        <w:pStyle w:val="Normal"/>
      </w:pPr>
      <w:r>
        <w:rPr>
          <w:b/>
        </w:rPr>
        <w:t xml:space="preserve">Поріг окупності = $150 / (54 396,18 / 3,8889) × 100% ≈ 1,07%.</w:t>
      </w:r>
      <w:r>
        <w:br/>
      </w:r>
      <w:r>
        <w:rPr/>
        <w:t xml:space="preserve">Це 583,34 PLN на рік, або 48,61 PLN на місяць на двох. Практична ціль - </w:t>
      </w:r>
      <w:r>
        <w:rPr>
          <w:b/>
        </w:rPr>
        <w:t xml:space="preserve">50 PLN економії щомісяця</w:t>
      </w:r>
      <w:r>
        <w:rPr/>
        <w:t xml:space="preserve">: 600 PLN за рік перевищують планові витрати з резервом.</w:t>
      </w:r>
    </w:p>
    <w:p>
      <w:pPr>
        <w:pStyle w:val="Normal"/>
      </w:pPr>
      <w:r>
        <w:rPr/>
        <w:t xml:space="preserve">Для $120 без резерву поріг близько 0,86%; для всього ліміту $200 - 1,43%. Річна база за двома місяцями є оцінкою, а не точним прогнозом; сезонність і зміни поведінки можуть її змінити. Фактичну економію ще треба спостерігати, не приписуючи будь-яке скорочення витрат самому трекеру.</w:t>
      </w:r>
    </w:p>
    <w:p>
      <w:pPr>
        <w:pStyle w:val="SmallText"/>
      </w:pPr>
      <w:r>
        <w:rPr>
          <w:b/>
        </w:rPr>
        <w:t xml:space="preserve">Практична частина домашки:</w:t>
      </w:r>
      <w:r>
        <w:rPr/>
        <w:t xml:space="preserve"> власних грошей не витрачаємо, демо коштує $0 на безкоштовному хостингу. </w:t>
      </w:r>
      <w:hyperlink w:history="1" r:id="link13">
        <w:r>
          <w:rPr>
            <w:color w:val="205741"/>
            <w:u w:val="single"/>
          </w:rPr>
          <w:t xml:space="preserve">PythonAnywhere Beginner</w:t>
        </w:r>
      </w:hyperlink>
      <w:r>
        <w:rPr/>
        <w:t xml:space="preserve"> має один застосунок із місячним строком і 512 MiB, без планових завдань у нових акаунтах; потрібні контроль доступності й ручні копії. Демо має працювати до 9 листопада включно. Річні $150 вище - продуктовий сценарій; жодної оплати не виконано.</w:t>
      </w:r>
    </w:p>
    <w:sectPr>
      <w:footerReference w:type="default" r:id="footer"/>
      <w:pgSz w:w="11906" w:h="16838"/>
      <w:pgMar w:top="794" w:right="794" w:bottom="794" w:left="794" w:header="350" w:footer="350" w:gutter="0"/>
    </w:sectPr>
  </w:body>
</w:document>
</file>

<file path=word/footer1.xml><?xml version="1.0" encoding="utf-8"?>
<w:ftr xmlns:w="http://schemas.openxmlformats.org/wordprocessingml/2006/main">
  <w:p>
    <w:pPr>
      <w:jc w:val="right"/>
      <w:rPr>
        <w:sz w:val="16"/>
      </w:rPr>
    </w:pPr>
    <w:r>
      <w:rPr/>
      <w:t xml:space="preserve">Оля і Марко · </w:t>
    </w:r>
    <w:fldSimple w:instr=" PAGE ">
      <w:r>
        <w:rPr/>
        <w:t xml:space="preserve">1</w:t>
      </w:r>
    </w:fldSimple>
    <w:r>
      <w:rPr/>
      <w:t xml:space="preserve"> / </w:t>
    </w:r>
    <w:fldSimple w:instr=" NUMPAGES ">
      <w:r>
        <w:rPr/>
        <w:t xml:space="preserve">5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lang w:val="uk-UA"/>
        <w:sz w:val="19"/>
        <w:color w:val="17201C"/>
      </w:rPr>
    </w:rPrDefault>
  </w:docDefaults>
  <w:style w:type="paragraph" w:styleId="Normal" w:default="1">
    <w:name w:val="Normal"/>
    <w:qFormat/>
    <w:pPr>
      <w:spacing w:before="0" w:after="100" w:line="260" w:lineRule="auto"/>
    </w:pPr>
    <w:rPr>
      <w:sz w:val="19"/>
    </w:rPr>
  </w:style>
  <w:style w:type="paragraph" w:styleId="Title">
    <w:name w:val="Title"/>
    <w:qFormat/>
    <w:pPr>
      <w:spacing w:before="0" w:after="180" w:line="260" w:lineRule="auto"/>
      <w:keepNext/>
      <w:keepLines/>
    </w:pPr>
    <w:rPr>
      <w:sz w:val="46"/>
      <w:b/>
      <w:color w:val="000000"/>
    </w:rPr>
  </w:style>
  <w:style w:type="paragraph" w:styleId="Heading1">
    <w:name w:val="heading 1"/>
    <w:qFormat/>
    <w:pPr>
      <w:spacing w:before="90" w:after="100" w:line="260" w:lineRule="auto"/>
      <w:keepNext/>
      <w:keepLines/>
      <w:outlineLvl w:val="0"/>
    </w:pPr>
    <w:rPr>
      <w:sz w:val="30"/>
      <w:b/>
      <w:color w:val="000000"/>
    </w:rPr>
  </w:style>
  <w:style w:type="paragraph" w:styleId="Heading2">
    <w:name w:val="heading 2"/>
    <w:qFormat/>
    <w:pPr>
      <w:spacing w:before="130" w:after="70" w:line="260" w:lineRule="auto"/>
      <w:keepNext/>
      <w:keepLines/>
      <w:outlineLvl w:val="1"/>
    </w:pPr>
    <w:rPr>
      <w:sz w:val="21"/>
      <w:b/>
      <w:color w:val="000000"/>
    </w:rPr>
  </w:style>
  <w:style w:type="paragraph" w:styleId="SmallText">
    <w:name w:val="Small Text"/>
    <w:qFormat/>
    <w:pPr>
      <w:spacing w:before="0" w:after="90" w:line="260" w:lineRule="auto"/>
    </w:pPr>
    <w:rPr>
      <w:sz w:val="17"/>
    </w:rPr>
  </w:style>
  <w:style w:type="paragraph" w:styleId="TableText">
    <w:name w:val="Table Text"/>
    <w:qFormat/>
    <w:pPr>
      <w:spacing w:before="0" w:after="0" w:line="240" w:lineRule="auto"/>
    </w:pPr>
    <w:rPr>
      <w:sz w:val="17"/>
    </w:rPr>
  </w:style>
  <w:style w:type="paragraph" w:styleId="TableHeader">
    <w:name w:val="Table Header"/>
    <w:qFormat/>
    <w:pPr>
      <w:spacing w:before="0" w:after="0" w:line="240" w:lineRule="auto"/>
    </w:pPr>
    <w:rPr>
      <w:sz w:val="16"/>
      <w:b/>
      <w:color w:val="000000"/>
    </w:rPr>
  </w:style>
</w:styles>
</file>

<file path=word/_rels/document.xml.rels><?xml version='1.0' encoding='utf-8'?>
<Relationships xmlns="http://schemas.openxmlformats.org/package/2006/relationships"><Relationship Id="styles" Type="http://schemas.openxmlformats.org/officeDocument/2006/relationships/styles" Target="styles.xml" /><Relationship Id="footer" Type="http://schemas.openxmlformats.org/officeDocument/2006/relationships/footer" Target="footer1.xml" /><Relationship Id="link2" Type="http://schemas.openxmlformats.org/officeDocument/2006/relationships/hyperlink" Target="https://www.intercom.com/blog/rice-simple-prioritization-for-product-managers" TargetMode="External" /><Relationship Id="link3" Type="http://schemas.openxmlformats.org/officeDocument/2006/relationships/hyperlink" Target="https://www.atlassian.com/agile/product-management/prioritization-framework/" TargetMode="External" /><Relationship Id="link4" Type="http://schemas.openxmlformats.org/officeDocument/2006/relationships/hyperlink" Target="https://developers.openai.com/api/docs/models/gpt-6-luna" TargetMode="External" /><Relationship Id="link5" Type="http://schemas.openxmlformats.org/officeDocument/2006/relationships/hyperlink" Target="https://developers.openai.com/api/docs/guides/your-data" TargetMode="External" /><Relationship Id="link6" Type="http://schemas.openxmlformats.org/officeDocument/2006/relationships/hyperlink" Target="https://www.pythonanywhere.com/pricing/" TargetMode="External" /><Relationship Id="link7" Type="http://schemas.openxmlformats.org/officeDocument/2006/relationships/hyperlink" Target="https://www.pythonanywhere.com/pricing/" TargetMode="External" /><Relationship Id="link8" Type="http://schemas.openxmlformats.org/officeDocument/2006/relationships/hyperlink" Target="https://github.com/beancount/fava/blob/main/LICENSE" TargetMode="External" /><Relationship Id="link9" Type="http://schemas.openxmlformats.org/officeDocument/2006/relationships/hyperlink" Target="https://developer.apple.com/programs/enroll/" TargetMode="External" /><Relationship Id="link10" Type="http://schemas.openxmlformats.org/officeDocument/2006/relationships/hyperlink" Target="https://support.google.com/googleplay/android-developer/answer/6112435?hl=en" TargetMode="External" /><Relationship Id="link11" Type="http://schemas.openxmlformats.org/officeDocument/2006/relationships/hyperlink" Target="https://porkbun.com/tld/com" TargetMode="External" /><Relationship Id="link12" Type="http://schemas.openxmlformats.org/officeDocument/2006/relationships/hyperlink" Target="https://nbp.pl/statystyka-i-sprawozdawczosc/kursy/tabela-a/" TargetMode="External" /><Relationship Id="link13" Type="http://schemas.openxmlformats.org/officeDocument/2006/relationships/hyperlink" Target="https://help.pythonanywhere.com/pages/FreeAccountsFeatures/" TargetMode="External" /></Relationships>
</file>