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'1.0' encoding='utf-8'?>
<Relationships xmlns="http://schemas.openxmlformats.org/package/2006/relationships"><Relationship Id="document" Type="http://schemas.openxmlformats.org/officeDocument/2006/relationships/officeDocument" Target="word/document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SmallText"/>
      </w:pPr>
      <w:r>
        <w:rPr/>
        <w:t xml:space="preserve">Домашнє завдання до заняття 7 · Продуктове рішення · 21 жовтня 2026</w:t>
      </w:r>
    </w:p>
    <w:p>
      <w:pPr>
        <w:pStyle w:val="Title"/>
      </w:pPr>
      <w:r>
        <w:rPr/>
        <w:t xml:space="preserve">Спільний фінансовий трекер</w:t>
      </w:r>
      <w:r>
        <w:br/>
      </w:r>
      <w:r>
        <w:rPr/>
        <w:t xml:space="preserve">Олі та Марка</w:t>
      </w:r>
    </w:p>
    <w:p>
      <w:pPr>
        <w:pStyle w:val="Normal"/>
      </w:pPr>
      <w:r>
        <w:rPr/>
        <w:t xml:space="preserve">Обираю вебтрекер для двох людей: він імпортує обидві виписки, показує особисті й спільні витрати та дозволяє Маркові додавати готівку з телефона. Оренду, продукти, інтернет і світло ділимо 50/50. Оля бачить, скільки заощаджує і як наближається до подушки на пів року.</w:t>
      </w:r>
    </w:p>
    <w:p>
      <w:pPr>
        <w:pStyle w:val="Normal"/>
      </w:pPr>
      <w:r>
        <w:rPr>
          <w:b/>
        </w:rPr>
        <w:t xml:space="preserve">Обмеження:</w:t>
      </w:r>
      <w:r>
        <w:rPr/>
        <w:t xml:space="preserve"> PLN, три місяці розвитку, 4-6 годин розробки на тиждень, до $200 на перший рік. Після базових можливостей пріоритет має прогрес подушки, потім ліміти. Банківські платежі не переписуємо вручну: правила категоризують знайомі описи.</w:t>
      </w:r>
    </w:p>
    <w:p>
      <w:pPr>
        <w:pStyle w:val="Heading1"/>
      </w:pPr>
      <w:r>
        <w:rPr/>
        <w:t xml:space="preserve">Пріоритети наступної версії</w:t>
      </w:r>
    </w:p>
    <w:p>
      <w:pPr>
        <w:pStyle w:val="SmallText"/>
      </w:pPr>
      <w:r>
        <w:rPr/>
        <w:t xml:space="preserve">MSCW застосовано до найближчих трьох місяців. Години нижче є припущеннями для мінімальної реалізації та її перевірки поверх наявного трекера. Власних фіч не додаю.</w:t>
      </w:r>
    </w:p>
    <w:tbl>
      <w:tblPr>
        <w:tblW w:w="10318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619"/>
        <w:gridCol w:w="2167"/>
        <w:gridCol w:w="1238"/>
        <w:gridCol w:w="1032"/>
        <w:gridCol w:w="5262"/>
      </w:tblGrid>
      <w:tr>
        <w:trPr>
          <w:cantSplit/>
          <w:tblHeader/>
        </w:trPr>
        <w:tc>
          <w:tcPr>
            <w:tcW w:w="619" w:type="dxa"/>
            <w:vAlign w:val="center"/>
            <w:shd w:fill="EDF3EF" w:val="clear"/>
          </w:tcPr>
          <w:p>
            <w:pPr>
              <w:pStyle w:val="TableHeader"/>
            </w:pPr>
            <w:r>
              <w:rPr>
                <w:b/>
              </w:rPr>
              <w:t xml:space="preserve">№</w:t>
            </w:r>
          </w:p>
        </w:tc>
        <w:tc>
          <w:tcPr>
            <w:tcW w:w="2167" w:type="dxa"/>
            <w:vAlign w:val="center"/>
            <w:shd w:fill="EDF3EF" w:val="clear"/>
          </w:tcPr>
          <w:p>
            <w:pPr>
              <w:pStyle w:val="TableHeader"/>
            </w:pPr>
            <w:r>
              <w:rPr>
                <w:b/>
              </w:rPr>
              <w:t xml:space="preserve">Фіча</w:t>
            </w:r>
          </w:p>
        </w:tc>
        <w:tc>
          <w:tcPr>
            <w:tcW w:w="1238" w:type="dxa"/>
            <w:vAlign w:val="center"/>
            <w:shd w:fill="EDF3EF" w:val="clear"/>
          </w:tcPr>
          <w:p>
            <w:pPr>
              <w:pStyle w:val="TableHeader"/>
            </w:pPr>
            <w:r>
              <w:rPr>
                <w:b/>
              </w:rPr>
              <w:t xml:space="preserve">MSCW</w:t>
            </w:r>
          </w:p>
        </w:tc>
        <w:tc>
          <w:tcPr>
            <w:tcW w:w="1032" w:type="dxa"/>
            <w:vAlign w:val="center"/>
            <w:shd w:fill="EDF3EF" w:val="clear"/>
          </w:tcPr>
          <w:p>
            <w:pPr>
              <w:pStyle w:val="TableHeader"/>
            </w:pPr>
            <w:r>
              <w:rPr>
                <w:b/>
              </w:rPr>
              <w:t xml:space="preserve">Час</w:t>
            </w:r>
          </w:p>
        </w:tc>
        <w:tc>
          <w:tcPr>
            <w:tcW w:w="5262" w:type="dxa"/>
            <w:vAlign w:val="center"/>
            <w:shd w:fill="EDF3EF" w:val="clear"/>
          </w:tcPr>
          <w:p>
            <w:pPr>
              <w:pStyle w:val="TableHeader"/>
            </w:pPr>
            <w:r>
              <w:rPr>
                <w:b/>
              </w:rPr>
              <w:t xml:space="preserve">Кому потрібна і що буде без неї</w:t>
            </w:r>
          </w:p>
        </w:tc>
      </w:tr>
      <w:tr>
        <w:trPr>
          <w:cantSplit/>
        </w:trPr>
        <w:tc>
          <w:tcPr>
            <w:tcW w:w="619" w:type="dxa"/>
            <w:vAlign w:val="center"/>
          </w:tcPr>
          <w:p>
            <w:pPr>
              <w:pStyle w:val="TableText"/>
            </w:pPr>
            <w:r>
              <w:rPr/>
              <w:t xml:space="preserve">2</w:t>
            </w:r>
          </w:p>
        </w:tc>
        <w:tc>
          <w:tcPr>
            <w:tcW w:w="2167" w:type="dxa"/>
            <w:vAlign w:val="center"/>
          </w:tcPr>
          <w:p>
            <w:pPr>
              <w:pStyle w:val="TableText"/>
            </w:pPr>
            <w:r>
              <w:rPr/>
              <w:t xml:space="preserve">Імпорт виписки Марка</w:t>
            </w:r>
          </w:p>
        </w:tc>
        <w:tc>
          <w:tcPr>
            <w:tcW w:w="1238" w:type="dxa"/>
            <w:vAlign w:val="center"/>
          </w:tcPr>
          <w:p>
            <w:pPr>
              <w:pStyle w:val="TableText"/>
            </w:pPr>
            <w:r>
              <w:rPr/>
              <w:t xml:space="preserve">Must</w:t>
            </w:r>
          </w:p>
        </w:tc>
        <w:tc>
          <w:tcPr>
            <w:tcW w:w="1032" w:type="dxa"/>
            <w:vAlign w:val="center"/>
          </w:tcPr>
          <w:p>
            <w:pPr>
              <w:pStyle w:val="TableText"/>
            </w:pPr>
            <w:r>
              <w:rPr/>
              <w:t xml:space="preserve">6 год</w:t>
            </w:r>
          </w:p>
        </w:tc>
        <w:tc>
          <w:tcPr>
            <w:tcW w:w="5262" w:type="dxa"/>
            <w:vAlign w:val="center"/>
          </w:tcPr>
          <w:p>
            <w:pPr>
              <w:pStyle w:val="TableText"/>
            </w:pPr>
            <w:r>
              <w:rPr/>
              <w:t xml:space="preserve">Обом потрібні дані другого банку без переписування сум. Без імпорту спільний підсумок неповний, а Марко витрачає час на ручне введення.</w:t>
            </w:r>
          </w:p>
        </w:tc>
      </w:tr>
      <w:tr>
        <w:trPr>
          <w:cantSplit/>
        </w:trPr>
        <w:tc>
          <w:tcPr>
            <w:tcW w:w="619" w:type="dxa"/>
            <w:vAlign w:val="center"/>
          </w:tcPr>
          <w:p>
            <w:pPr>
              <w:pStyle w:val="TableText"/>
            </w:pPr>
            <w:r>
              <w:rPr/>
              <w:t xml:space="preserve">6</w:t>
            </w:r>
          </w:p>
        </w:tc>
        <w:tc>
          <w:tcPr>
            <w:tcW w:w="2167" w:type="dxa"/>
            <w:vAlign w:val="center"/>
          </w:tcPr>
          <w:p>
            <w:pPr>
              <w:pStyle w:val="TableText"/>
            </w:pPr>
            <w:r>
              <w:rPr/>
              <w:t xml:space="preserve">Готівка з телефона</w:t>
            </w:r>
          </w:p>
        </w:tc>
        <w:tc>
          <w:tcPr>
            <w:tcW w:w="1238" w:type="dxa"/>
            <w:vAlign w:val="center"/>
          </w:tcPr>
          <w:p>
            <w:pPr>
              <w:pStyle w:val="TableText"/>
            </w:pPr>
            <w:r>
              <w:rPr/>
              <w:t xml:space="preserve">Must</w:t>
            </w:r>
          </w:p>
        </w:tc>
        <w:tc>
          <w:tcPr>
            <w:tcW w:w="1032" w:type="dxa"/>
            <w:vAlign w:val="center"/>
          </w:tcPr>
          <w:p>
            <w:pPr>
              <w:pStyle w:val="TableText"/>
            </w:pPr>
            <w:r>
              <w:rPr/>
              <w:t xml:space="preserve">8 год</w:t>
            </w:r>
          </w:p>
        </w:tc>
        <w:tc>
          <w:tcPr>
            <w:tcW w:w="5262" w:type="dxa"/>
            <w:vAlign w:val="center"/>
          </w:tcPr>
          <w:p>
            <w:pPr>
              <w:pStyle w:val="TableText"/>
            </w:pPr>
            <w:r>
              <w:rPr/>
              <w:t xml:space="preserve">Марко додає операції, яких немає у виписці; потрібні форма й стійке зберігання. Без цього готівкові витрати губляться і бюджет неповний.</w:t>
            </w:r>
          </w:p>
        </w:tc>
      </w:tr>
      <w:tr>
        <w:trPr>
          <w:cantSplit/>
        </w:trPr>
        <w:tc>
          <w:tcPr>
            <w:tcW w:w="619" w:type="dxa"/>
            <w:vAlign w:val="center"/>
          </w:tcPr>
          <w:p>
            <w:pPr>
              <w:pStyle w:val="TableText"/>
            </w:pPr>
            <w:r>
              <w:rPr/>
              <w:t xml:space="preserve">9</w:t>
            </w:r>
          </w:p>
        </w:tc>
        <w:tc>
          <w:tcPr>
            <w:tcW w:w="2167" w:type="dxa"/>
            <w:vAlign w:val="center"/>
          </w:tcPr>
          <w:p>
            <w:pPr>
              <w:pStyle w:val="TableText"/>
            </w:pPr>
            <w:r>
              <w:rPr/>
              <w:t xml:space="preserve">Спільні витрати</w:t>
            </w:r>
          </w:p>
        </w:tc>
        <w:tc>
          <w:tcPr>
            <w:tcW w:w="1238" w:type="dxa"/>
            <w:vAlign w:val="center"/>
          </w:tcPr>
          <w:p>
            <w:pPr>
              <w:pStyle w:val="TableText"/>
            </w:pPr>
            <w:r>
              <w:rPr/>
              <w:t xml:space="preserve">Must</w:t>
            </w:r>
          </w:p>
        </w:tc>
        <w:tc>
          <w:tcPr>
            <w:tcW w:w="1032" w:type="dxa"/>
            <w:vAlign w:val="center"/>
          </w:tcPr>
          <w:p>
            <w:pPr>
              <w:pStyle w:val="TableText"/>
            </w:pPr>
            <w:r>
              <w:rPr/>
              <w:t xml:space="preserve">8 год</w:t>
            </w:r>
          </w:p>
        </w:tc>
        <w:tc>
          <w:tcPr>
            <w:tcW w:w="5262" w:type="dxa"/>
            <w:vAlign w:val="center"/>
          </w:tcPr>
          <w:p>
            <w:pPr>
              <w:pStyle w:val="TableText"/>
            </w:pPr>
            <w:r>
              <w:rPr/>
              <w:t xml:space="preserve">Обом потрібні частки 50/50 і підсумок, хто кому винен, з особистими винятками. Без цього видно платежі, але немає розрахунку спільного бюджету.</w:t>
            </w:r>
          </w:p>
        </w:tc>
      </w:tr>
      <w:tr>
        <w:trPr>
          <w:cantSplit/>
        </w:trPr>
        <w:tc>
          <w:tcPr>
            <w:tcW w:w="619" w:type="dxa"/>
            <w:vAlign w:val="center"/>
          </w:tcPr>
          <w:p>
            <w:pPr>
              <w:pStyle w:val="TableText"/>
            </w:pPr>
            <w:r>
              <w:rPr/>
              <w:t xml:space="preserve">12</w:t>
            </w:r>
          </w:p>
        </w:tc>
        <w:tc>
          <w:tcPr>
            <w:tcW w:w="2167" w:type="dxa"/>
            <w:vAlign w:val="center"/>
          </w:tcPr>
          <w:p>
            <w:pPr>
              <w:pStyle w:val="TableText"/>
            </w:pPr>
            <w:r>
              <w:rPr/>
              <w:t xml:space="preserve">Вхід і особисті дані</w:t>
            </w:r>
          </w:p>
        </w:tc>
        <w:tc>
          <w:tcPr>
            <w:tcW w:w="1238" w:type="dxa"/>
            <w:vAlign w:val="center"/>
          </w:tcPr>
          <w:p>
            <w:pPr>
              <w:pStyle w:val="TableText"/>
            </w:pPr>
            <w:r>
              <w:rPr/>
              <w:t xml:space="preserve">Must</w:t>
            </w:r>
          </w:p>
        </w:tc>
        <w:tc>
          <w:tcPr>
            <w:tcW w:w="1032" w:type="dxa"/>
            <w:vAlign w:val="center"/>
          </w:tcPr>
          <w:p>
            <w:pPr>
              <w:pStyle w:val="TableText"/>
            </w:pPr>
            <w:r>
              <w:rPr/>
              <w:t xml:space="preserve">8 год</w:t>
            </w:r>
          </w:p>
        </w:tc>
        <w:tc>
          <w:tcPr>
            <w:tcW w:w="5262" w:type="dxa"/>
            <w:vAlign w:val="center"/>
          </w:tcPr>
          <w:p>
            <w:pPr>
              <w:pStyle w:val="TableText"/>
            </w:pPr>
            <w:r>
              <w:rPr/>
              <w:t xml:space="preserve">Обом потрібен доступ лише до своїх і спільних операцій; час включає розгортання, HTTPS та перевірку прав на сервері. Без цього фінансові дані не можна публікувати.</w:t>
            </w:r>
          </w:p>
        </w:tc>
      </w:tr>
      <w:tr>
        <w:trPr>
          <w:cantSplit/>
        </w:trPr>
        <w:tc>
          <w:tcPr>
            <w:tcW w:w="619" w:type="dxa"/>
            <w:vAlign w:val="center"/>
          </w:tcPr>
          <w:p>
            <w:pPr>
              <w:pStyle w:val="TableText"/>
            </w:pPr>
            <w:r>
              <w:rPr/>
              <w:t xml:space="preserve">17</w:t>
            </w:r>
          </w:p>
        </w:tc>
        <w:tc>
          <w:tcPr>
            <w:tcW w:w="2167" w:type="dxa"/>
            <w:vAlign w:val="center"/>
          </w:tcPr>
          <w:p>
            <w:pPr>
              <w:pStyle w:val="TableText"/>
            </w:pPr>
            <w:r>
              <w:rPr/>
              <w:t xml:space="preserve">Звіт на телефоні</w:t>
            </w:r>
          </w:p>
        </w:tc>
        <w:tc>
          <w:tcPr>
            <w:tcW w:w="1238" w:type="dxa"/>
            <w:vAlign w:val="center"/>
          </w:tcPr>
          <w:p>
            <w:pPr>
              <w:pStyle w:val="TableText"/>
            </w:pPr>
            <w:r>
              <w:rPr/>
              <w:t xml:space="preserve">Must</w:t>
            </w:r>
          </w:p>
        </w:tc>
        <w:tc>
          <w:tcPr>
            <w:tcW w:w="1032" w:type="dxa"/>
            <w:vAlign w:val="center"/>
          </w:tcPr>
          <w:p>
            <w:pPr>
              <w:pStyle w:val="TableText"/>
            </w:pPr>
            <w:r>
              <w:rPr/>
              <w:t xml:space="preserve">4 год</w:t>
            </w:r>
          </w:p>
        </w:tc>
        <w:tc>
          <w:tcPr>
            <w:tcW w:w="5262" w:type="dxa"/>
            <w:vAlign w:val="center"/>
          </w:tcPr>
          <w:p>
            <w:pPr>
              <w:pStyle w:val="TableText"/>
            </w:pPr>
            <w:r>
              <w:rPr/>
              <w:t xml:space="preserve">Маркові потрібні зрозумілі категорії, заощадження й фіксовані та змінні витрати без термінала. Без мобільного звіту він не отримує основного способу користування.</w:t>
            </w:r>
          </w:p>
        </w:tc>
      </w:tr>
      <w:tr>
        <w:trPr>
          <w:cantSplit/>
        </w:trPr>
        <w:tc>
          <w:tcPr>
            <w:tcW w:w="619" w:type="dxa"/>
            <w:vAlign w:val="center"/>
          </w:tcPr>
          <w:p>
            <w:pPr>
              <w:pStyle w:val="TableText"/>
            </w:pPr>
            <w:r>
              <w:rPr/>
              <w:t xml:space="preserve">5</w:t>
            </w:r>
          </w:p>
        </w:tc>
        <w:tc>
          <w:tcPr>
            <w:tcW w:w="2167" w:type="dxa"/>
            <w:vAlign w:val="center"/>
          </w:tcPr>
          <w:p>
            <w:pPr>
              <w:pStyle w:val="TableText"/>
            </w:pPr>
            <w:r>
              <w:rPr/>
              <w:t xml:space="preserve">Ціль заощаджень</w:t>
            </w:r>
          </w:p>
        </w:tc>
        <w:tc>
          <w:tcPr>
            <w:tcW w:w="1238" w:type="dxa"/>
            <w:vAlign w:val="center"/>
          </w:tcPr>
          <w:p>
            <w:pPr>
              <w:pStyle w:val="TableText"/>
            </w:pPr>
            <w:r>
              <w:rPr/>
              <w:t xml:space="preserve">Should</w:t>
            </w:r>
          </w:p>
        </w:tc>
        <w:tc>
          <w:tcPr>
            <w:tcW w:w="1032" w:type="dxa"/>
            <w:vAlign w:val="center"/>
          </w:tcPr>
          <w:p>
            <w:pPr>
              <w:pStyle w:val="TableText"/>
            </w:pPr>
            <w:r>
              <w:rPr/>
              <w:t xml:space="preserve">2 год</w:t>
            </w:r>
          </w:p>
        </w:tc>
        <w:tc>
          <w:tcPr>
            <w:tcW w:w="5262" w:type="dxa"/>
            <w:vAlign w:val="center"/>
          </w:tcPr>
          <w:p>
            <w:pPr>
              <w:pStyle w:val="TableText"/>
            </w:pPr>
            <w:r>
              <w:rPr/>
              <w:t xml:space="preserve">Олі потрібен прогрес подушки; це перше покращення після Must. Без індикатора норма заощаджень лишається, але не видно відстані до цілі.</w:t>
            </w:r>
          </w:p>
        </w:tc>
      </w:tr>
      <w:tr>
        <w:trPr>
          <w:cantSplit/>
        </w:trPr>
        <w:tc>
          <w:tcPr>
            <w:tcW w:w="619" w:type="dxa"/>
            <w:vAlign w:val="center"/>
          </w:tcPr>
          <w:p>
            <w:pPr>
              <w:pStyle w:val="TableText"/>
            </w:pPr>
            <w:r>
              <w:rPr/>
              <w:t xml:space="preserve">10</w:t>
            </w:r>
          </w:p>
        </w:tc>
        <w:tc>
          <w:tcPr>
            <w:tcW w:w="2167" w:type="dxa"/>
            <w:vAlign w:val="center"/>
          </w:tcPr>
          <w:p>
            <w:pPr>
              <w:pStyle w:val="TableText"/>
            </w:pPr>
            <w:r>
              <w:rPr/>
              <w:t xml:space="preserve">Ліміти на категорії</w:t>
            </w:r>
          </w:p>
        </w:tc>
        <w:tc>
          <w:tcPr>
            <w:tcW w:w="1238" w:type="dxa"/>
            <w:vAlign w:val="center"/>
          </w:tcPr>
          <w:p>
            <w:pPr>
              <w:pStyle w:val="TableText"/>
            </w:pPr>
            <w:r>
              <w:rPr/>
              <w:t xml:space="preserve">Should</w:t>
            </w:r>
          </w:p>
        </w:tc>
        <w:tc>
          <w:tcPr>
            <w:tcW w:w="1032" w:type="dxa"/>
            <w:vAlign w:val="center"/>
          </w:tcPr>
          <w:p>
            <w:pPr>
              <w:pStyle w:val="TableText"/>
            </w:pPr>
            <w:r>
              <w:rPr/>
              <w:t xml:space="preserve">8 год</w:t>
            </w:r>
          </w:p>
        </w:tc>
        <w:tc>
          <w:tcPr>
            <w:tcW w:w="5262" w:type="dxa"/>
            <w:vAlign w:val="center"/>
          </w:tcPr>
          <w:p>
            <w:pPr>
              <w:pStyle w:val="TableText"/>
            </w:pPr>
            <w:r>
              <w:rPr/>
              <w:t xml:space="preserve">Обом можуть допомогти прості попередження у звіті, без push-повідомлень. Без них витрати за категоріями видно; фічу додаємо після подушки за наявності часу.</w:t>
            </w:r>
          </w:p>
        </w:tc>
      </w:tr>
    </w:tbl>
    <w:p>
      <w:pPr>
        <w:pStyle w:val="Normal"/>
      </w:pPr>
      <w:r>
        <w:rPr>
          <w:b/>
        </w:rPr>
        <w:t xml:space="preserve">П’ять Must разом: 34 години.</w:t>
      </w:r>
      <w:r>
        <w:rPr/>
        <w:t xml:space="preserve"> Ще 2 години на ціль і 12 годин резерву дають 48 годин за 12 тижнів. За ресурсу 72 години: Must 34 + ціль 2 + ліміти 8 + резерв 18 = 62 години; залишок не є обіцянкою зробити всі Could.</w:t>
      </w:r>
    </w:p>
    <w:p>
      <w:pPr>
        <w:pStyle w:val="SmallText"/>
      </w:pPr>
      <w:r>
        <w:rPr/>
        <w:t xml:space="preserve">Подушка не дорівнює всьому банківському залишку. Для простої фічі 5 Оля задає ціль у PLN на шість місяців життя й суму, яку вже зарезервувала; прогрес = зарезервовано / ціль × 100%. Прогнозування і перекази не входять у 2 години.</w:t>
      </w:r>
    </w:p>
    <w:p>
      <w:pPr>
        <w:pStyle w:val="Heading1"/>
        <w:pageBreakBefore/>
      </w:pPr>
      <w:r>
        <w:rPr/>
        <w:t xml:space="preserve">Що робимо за можливості та що відкладаємо</w:t>
      </w:r>
    </w:p>
    <w:p>
      <w:pPr>
        <w:pStyle w:val="SmallText"/>
      </w:pPr>
      <w:r>
        <w:rPr/>
        <w:t xml:space="preserve">Could не витісняють Must і подушку. Won’t означає відмову в найближчі три місяці; повернення протягом року залежить від потреб, часу й бюджету.</w:t>
      </w:r>
    </w:p>
    <w:tbl>
      <w:tblPr>
        <w:tblW w:w="10318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619"/>
        <w:gridCol w:w="2167"/>
        <w:gridCol w:w="1238"/>
        <w:gridCol w:w="1238"/>
        <w:gridCol w:w="5056"/>
      </w:tblGrid>
      <w:tr>
        <w:trPr>
          <w:cantSplit/>
          <w:tblHeader/>
        </w:trPr>
        <w:tc>
          <w:tcPr>
            <w:tcW w:w="619" w:type="dxa"/>
            <w:vAlign w:val="center"/>
            <w:shd w:fill="EDF3EF" w:val="clear"/>
          </w:tcPr>
          <w:p>
            <w:pPr>
              <w:pStyle w:val="TableHeader"/>
            </w:pPr>
            <w:r>
              <w:rPr>
                <w:b/>
              </w:rPr>
              <w:t xml:space="preserve">№</w:t>
            </w:r>
          </w:p>
        </w:tc>
        <w:tc>
          <w:tcPr>
            <w:tcW w:w="2167" w:type="dxa"/>
            <w:vAlign w:val="center"/>
            <w:shd w:fill="EDF3EF" w:val="clear"/>
          </w:tcPr>
          <w:p>
            <w:pPr>
              <w:pStyle w:val="TableHeader"/>
            </w:pPr>
            <w:r>
              <w:rPr>
                <w:b/>
              </w:rPr>
              <w:t xml:space="preserve">Фіча</w:t>
            </w:r>
          </w:p>
        </w:tc>
        <w:tc>
          <w:tcPr>
            <w:tcW w:w="1238" w:type="dxa"/>
            <w:vAlign w:val="center"/>
            <w:shd w:fill="EDF3EF" w:val="clear"/>
          </w:tcPr>
          <w:p>
            <w:pPr>
              <w:pStyle w:val="TableHeader"/>
            </w:pPr>
            <w:r>
              <w:rPr>
                <w:b/>
              </w:rPr>
              <w:t xml:space="preserve">MSCW</w:t>
            </w:r>
          </w:p>
        </w:tc>
        <w:tc>
          <w:tcPr>
            <w:tcW w:w="1238" w:type="dxa"/>
            <w:vAlign w:val="center"/>
            <w:shd w:fill="EDF3EF" w:val="clear"/>
          </w:tcPr>
          <w:p>
            <w:pPr>
              <w:pStyle w:val="TableHeader"/>
            </w:pPr>
            <w:r>
              <w:rPr>
                <w:b/>
              </w:rPr>
              <w:t xml:space="preserve">Час</w:t>
            </w:r>
          </w:p>
        </w:tc>
        <w:tc>
          <w:tcPr>
            <w:tcW w:w="5056" w:type="dxa"/>
            <w:vAlign w:val="center"/>
            <w:shd w:fill="EDF3EF" w:val="clear"/>
          </w:tcPr>
          <w:p>
            <w:pPr>
              <w:pStyle w:val="TableHeader"/>
            </w:pPr>
            <w:r>
              <w:rPr>
                <w:b/>
              </w:rPr>
              <w:t xml:space="preserve">Кому потрібна і що буде без неї</w:t>
            </w:r>
          </w:p>
        </w:tc>
      </w:tr>
      <w:tr>
        <w:trPr>
          <w:cantSplit/>
        </w:trPr>
        <w:tc>
          <w:tcPr>
            <w:tcW w:w="619" w:type="dxa"/>
            <w:vAlign w:val="center"/>
          </w:tcPr>
          <w:p>
            <w:pPr>
              <w:pStyle w:val="TableText"/>
            </w:pPr>
            <w:r>
              <w:rPr/>
              <w:t xml:space="preserve">3</w:t>
            </w:r>
          </w:p>
        </w:tc>
        <w:tc>
          <w:tcPr>
            <w:tcW w:w="2167" w:type="dxa"/>
            <w:vAlign w:val="center"/>
          </w:tcPr>
          <w:p>
            <w:pPr>
              <w:pStyle w:val="TableText"/>
            </w:pPr>
            <w:r>
              <w:rPr/>
              <w:t xml:space="preserve">Темна тема</w:t>
            </w:r>
          </w:p>
        </w:tc>
        <w:tc>
          <w:tcPr>
            <w:tcW w:w="1238" w:type="dxa"/>
            <w:vAlign w:val="center"/>
          </w:tcPr>
          <w:p>
            <w:pPr>
              <w:pStyle w:val="TableText"/>
            </w:pPr>
            <w:r>
              <w:rPr/>
              <w:t xml:space="preserve">Could</w:t>
            </w:r>
          </w:p>
        </w:tc>
        <w:tc>
          <w:tcPr>
            <w:tcW w:w="1238" w:type="dxa"/>
            <w:vAlign w:val="center"/>
          </w:tcPr>
          <w:p>
            <w:pPr>
              <w:pStyle w:val="TableText"/>
            </w:pPr>
            <w:r>
              <w:rPr/>
              <w:t xml:space="preserve">2 год</w:t>
            </w:r>
          </w:p>
        </w:tc>
        <w:tc>
          <w:tcPr>
            <w:tcW w:w="5056" w:type="dxa"/>
            <w:vAlign w:val="center"/>
          </w:tcPr>
          <w:p>
            <w:pPr>
              <w:pStyle w:val="TableText"/>
            </w:pPr>
            <w:r>
              <w:rPr/>
              <w:t xml:space="preserve">Може бути зручною обом увечері, якщо лишиться час. Без неї світлий звіт дає ті самі відповіді.</w:t>
            </w:r>
          </w:p>
        </w:tc>
      </w:tr>
      <w:tr>
        <w:trPr>
          <w:cantSplit/>
        </w:trPr>
        <w:tc>
          <w:tcPr>
            <w:tcW w:w="619" w:type="dxa"/>
            <w:vAlign w:val="center"/>
          </w:tcPr>
          <w:p>
            <w:pPr>
              <w:pStyle w:val="TableText"/>
            </w:pPr>
            <w:r>
              <w:rPr/>
              <w:t xml:space="preserve">4</w:t>
            </w:r>
          </w:p>
        </w:tc>
        <w:tc>
          <w:tcPr>
            <w:tcW w:w="2167" w:type="dxa"/>
            <w:vAlign w:val="center"/>
          </w:tcPr>
          <w:p>
            <w:pPr>
              <w:pStyle w:val="TableText"/>
            </w:pPr>
            <w:r>
              <w:rPr/>
              <w:t xml:space="preserve">AI-категоризація</w:t>
            </w:r>
          </w:p>
        </w:tc>
        <w:tc>
          <w:tcPr>
            <w:tcW w:w="1238" w:type="dxa"/>
            <w:vAlign w:val="center"/>
          </w:tcPr>
          <w:p>
            <w:pPr>
              <w:pStyle w:val="TableText"/>
            </w:pPr>
            <w:r>
              <w:rPr/>
              <w:t xml:space="preserve">Could</w:t>
            </w:r>
          </w:p>
        </w:tc>
        <w:tc>
          <w:tcPr>
            <w:tcW w:w="1238" w:type="dxa"/>
            <w:vAlign w:val="center"/>
          </w:tcPr>
          <w:p>
            <w:pPr>
              <w:pStyle w:val="TableText"/>
            </w:pPr>
            <w:r>
              <w:rPr/>
              <w:t xml:space="preserve">8 год</w:t>
            </w:r>
            <w:r>
              <w:br/>
            </w:r>
            <w:r>
              <w:rPr/>
              <w:t xml:space="preserve">+ API</w:t>
            </w:r>
          </w:p>
        </w:tc>
        <w:tc>
          <w:tcPr>
            <w:tcW w:w="5056" w:type="dxa"/>
            <w:vAlign w:val="center"/>
          </w:tcPr>
          <w:p>
            <w:pPr>
              <w:pStyle w:val="TableText"/>
            </w:pPr>
            <w:r>
              <w:rPr/>
              <w:t xml:space="preserve">Може зменшити для обох розбір нових продавців, але користь ще не виміряна, а ціну API треба оцінити окремо. Без неї знайомі описи обробляють правила; платного API в обраному плані немає.</w:t>
            </w:r>
          </w:p>
        </w:tc>
      </w:tr>
      <w:tr>
        <w:trPr>
          <w:cantSplit/>
        </w:trPr>
        <w:tc>
          <w:tcPr>
            <w:tcW w:w="619" w:type="dxa"/>
            <w:vAlign w:val="center"/>
          </w:tcPr>
          <w:p>
            <w:pPr>
              <w:pStyle w:val="TableText"/>
            </w:pPr>
            <w:r>
              <w:rPr/>
              <w:t xml:space="preserve">8</w:t>
            </w:r>
          </w:p>
        </w:tc>
        <w:tc>
          <w:tcPr>
            <w:tcW w:w="2167" w:type="dxa"/>
            <w:vAlign w:val="center"/>
          </w:tcPr>
          <w:p>
            <w:pPr>
              <w:pStyle w:val="TableText"/>
            </w:pPr>
            <w:r>
              <w:rPr/>
              <w:t xml:space="preserve">Звіт у Telegram</w:t>
            </w:r>
          </w:p>
        </w:tc>
        <w:tc>
          <w:tcPr>
            <w:tcW w:w="1238" w:type="dxa"/>
            <w:vAlign w:val="center"/>
          </w:tcPr>
          <w:p>
            <w:pPr>
              <w:pStyle w:val="TableText"/>
            </w:pPr>
            <w:r>
              <w:rPr/>
              <w:t xml:space="preserve">Could</w:t>
            </w:r>
          </w:p>
        </w:tc>
        <w:tc>
          <w:tcPr>
            <w:tcW w:w="1238" w:type="dxa"/>
            <w:vAlign w:val="center"/>
          </w:tcPr>
          <w:p>
            <w:pPr>
              <w:pStyle w:val="TableText"/>
            </w:pPr>
            <w:r>
              <w:rPr/>
              <w:t xml:space="preserve">4 год</w:t>
            </w:r>
          </w:p>
        </w:tc>
        <w:tc>
          <w:tcPr>
            <w:tcW w:w="5056" w:type="dxa"/>
            <w:vAlign w:val="center"/>
          </w:tcPr>
          <w:p>
            <w:pPr>
              <w:pStyle w:val="TableText"/>
            </w:pPr>
            <w:r>
              <w:rPr/>
              <w:t xml:space="preserve">Обом може нагадувати переглянути спільний підсумок; особисті дані іншого в повідомлення не потрапляють. Без фічі підсумок доступний у браузері.</w:t>
            </w:r>
          </w:p>
        </w:tc>
      </w:tr>
      <w:tr>
        <w:trPr>
          <w:cantSplit/>
        </w:trPr>
        <w:tc>
          <w:tcPr>
            <w:tcW w:w="619" w:type="dxa"/>
            <w:vAlign w:val="center"/>
          </w:tcPr>
          <w:p>
            <w:pPr>
              <w:pStyle w:val="TableText"/>
            </w:pPr>
            <w:r>
              <w:rPr/>
              <w:t xml:space="preserve">14</w:t>
            </w:r>
          </w:p>
        </w:tc>
        <w:tc>
          <w:tcPr>
            <w:tcW w:w="2167" w:type="dxa"/>
            <w:vAlign w:val="center"/>
          </w:tcPr>
          <w:p>
            <w:pPr>
              <w:pStyle w:val="TableText"/>
            </w:pPr>
            <w:r>
              <w:rPr/>
              <w:t xml:space="preserve">Експорт у таблиці</w:t>
            </w:r>
          </w:p>
        </w:tc>
        <w:tc>
          <w:tcPr>
            <w:tcW w:w="1238" w:type="dxa"/>
            <w:vAlign w:val="center"/>
          </w:tcPr>
          <w:p>
            <w:pPr>
              <w:pStyle w:val="TableText"/>
            </w:pPr>
            <w:r>
              <w:rPr/>
              <w:t xml:space="preserve">Could</w:t>
            </w:r>
          </w:p>
        </w:tc>
        <w:tc>
          <w:tcPr>
            <w:tcW w:w="1238" w:type="dxa"/>
            <w:vAlign w:val="center"/>
          </w:tcPr>
          <w:p>
            <w:pPr>
              <w:pStyle w:val="TableText"/>
            </w:pPr>
            <w:r>
              <w:rPr/>
              <w:t xml:space="preserve">4 год</w:t>
            </w:r>
          </w:p>
        </w:tc>
        <w:tc>
          <w:tcPr>
            <w:tcW w:w="5056" w:type="dxa"/>
            <w:vAlign w:val="center"/>
          </w:tcPr>
          <w:p>
            <w:pPr>
              <w:pStyle w:val="TableText"/>
            </w:pPr>
            <w:r>
              <w:rPr/>
              <w:t xml:space="preserve">Олі може бути потрібен аналіз, обом - перенесення даних; мінімум - дозволена вибірка CSV для Excel чи Google Sheets. Без експорту аналіз лишається у звіті й Fava; прямої синхронізації не робимо.</w:t>
            </w:r>
          </w:p>
        </w:tc>
      </w:tr>
      <w:tr>
        <w:trPr>
          <w:cantSplit/>
        </w:trPr>
        <w:tc>
          <w:tcPr>
            <w:tcW w:w="619" w:type="dxa"/>
            <w:vAlign w:val="center"/>
          </w:tcPr>
          <w:p>
            <w:pPr>
              <w:pStyle w:val="TableText"/>
            </w:pPr>
            <w:r>
              <w:rPr/>
              <w:t xml:space="preserve">1</w:t>
            </w:r>
          </w:p>
        </w:tc>
        <w:tc>
          <w:tcPr>
            <w:tcW w:w="2167" w:type="dxa"/>
            <w:vAlign w:val="center"/>
          </w:tcPr>
          <w:p>
            <w:pPr>
              <w:pStyle w:val="TableText"/>
            </w:pPr>
            <w:r>
              <w:rPr/>
              <w:t xml:space="preserve">Тренди за рік</w:t>
            </w:r>
          </w:p>
        </w:tc>
        <w:tc>
          <w:tcPr>
            <w:tcW w:w="1238" w:type="dxa"/>
            <w:vAlign w:val="center"/>
          </w:tcPr>
          <w:p>
            <w:pPr>
              <w:pStyle w:val="TableText"/>
            </w:pPr>
            <w:r>
              <w:rPr/>
              <w:t xml:space="preserve">Won’t</w:t>
            </w:r>
          </w:p>
        </w:tc>
        <w:tc>
          <w:tcPr>
            <w:tcW w:w="1238" w:type="dxa"/>
            <w:vAlign w:val="center"/>
          </w:tcPr>
          <w:p>
            <w:pPr>
              <w:pStyle w:val="TableText"/>
            </w:pPr>
            <w:r>
              <w:rPr/>
              <w:t xml:space="preserve">6 год</w:t>
            </w:r>
          </w:p>
        </w:tc>
        <w:tc>
          <w:tcPr>
            <w:tcW w:w="5056" w:type="dxa"/>
            <w:vAlign w:val="center"/>
          </w:tcPr>
          <w:p>
            <w:pPr>
              <w:pStyle w:val="TableText"/>
            </w:pPr>
            <w:r>
              <w:rPr/>
              <w:t xml:space="preserve">Обом корисні зміни витрат, але зараз є лише два повні місяці даних. Без річного аналізу лишається місячний звіт; повертаємося після накопичення історії.</w:t>
            </w:r>
          </w:p>
        </w:tc>
      </w:tr>
      <w:tr>
        <w:trPr>
          <w:cantSplit/>
        </w:trPr>
        <w:tc>
          <w:tcPr>
            <w:tcW w:w="619" w:type="dxa"/>
            <w:vAlign w:val="center"/>
          </w:tcPr>
          <w:p>
            <w:pPr>
              <w:pStyle w:val="TableText"/>
            </w:pPr>
            <w:r>
              <w:rPr/>
              <w:t xml:space="preserve">7</w:t>
            </w:r>
          </w:p>
        </w:tc>
        <w:tc>
          <w:tcPr>
            <w:tcW w:w="2167" w:type="dxa"/>
            <w:vAlign w:val="center"/>
          </w:tcPr>
          <w:p>
            <w:pPr>
              <w:pStyle w:val="TableText"/>
            </w:pPr>
            <w:r>
              <w:rPr/>
              <w:t xml:space="preserve">Застосунок у сторах</w:t>
            </w:r>
          </w:p>
        </w:tc>
        <w:tc>
          <w:tcPr>
            <w:tcW w:w="1238" w:type="dxa"/>
            <w:vAlign w:val="center"/>
          </w:tcPr>
          <w:p>
            <w:pPr>
              <w:pStyle w:val="TableText"/>
            </w:pPr>
            <w:r>
              <w:rPr/>
              <w:t xml:space="preserve">Won’t</w:t>
            </w:r>
          </w:p>
        </w:tc>
        <w:tc>
          <w:tcPr>
            <w:tcW w:w="1238" w:type="dxa"/>
            <w:vAlign w:val="center"/>
          </w:tcPr>
          <w:p>
            <w:pPr>
              <w:pStyle w:val="TableText"/>
            </w:pPr>
            <w:r>
              <w:rPr/>
              <w:t xml:space="preserve">від 40 год</w:t>
            </w:r>
            <w:r>
              <w:br/>
            </w:r>
            <w:r>
              <w:rPr/>
              <w:t xml:space="preserve">+ $124</w:t>
            </w:r>
          </w:p>
        </w:tc>
        <w:tc>
          <w:tcPr>
            <w:tcW w:w="5056" w:type="dxa"/>
            <w:vAlign w:val="center"/>
          </w:tcPr>
          <w:p>
            <w:pPr>
              <w:pStyle w:val="TableText"/>
            </w:pPr>
            <w:r>
              <w:rPr/>
              <w:t xml:space="preserve">Обом достатньо вебверсії; Apple і Google додають $124 у перший рік понад розробку. Без сторів трекер доступний за посиланням, а гроші й час зберігаються.</w:t>
            </w:r>
          </w:p>
        </w:tc>
      </w:tr>
      <w:tr>
        <w:trPr>
          <w:cantSplit/>
        </w:trPr>
        <w:tc>
          <w:tcPr>
            <w:tcW w:w="619" w:type="dxa"/>
            <w:vAlign w:val="center"/>
          </w:tcPr>
          <w:p>
            <w:pPr>
              <w:pStyle w:val="TableText"/>
            </w:pPr>
            <w:r>
              <w:rPr/>
              <w:t xml:space="preserve">11</w:t>
            </w:r>
          </w:p>
        </w:tc>
        <w:tc>
          <w:tcPr>
            <w:tcW w:w="2167" w:type="dxa"/>
            <w:vAlign w:val="center"/>
          </w:tcPr>
          <w:p>
            <w:pPr>
              <w:pStyle w:val="TableText"/>
            </w:pPr>
            <w:r>
              <w:rPr/>
              <w:t xml:space="preserve">Фото чека</w:t>
            </w:r>
          </w:p>
        </w:tc>
        <w:tc>
          <w:tcPr>
            <w:tcW w:w="1238" w:type="dxa"/>
            <w:vAlign w:val="center"/>
          </w:tcPr>
          <w:p>
            <w:pPr>
              <w:pStyle w:val="TableText"/>
            </w:pPr>
            <w:r>
              <w:rPr/>
              <w:t xml:space="preserve">Won’t</w:t>
            </w:r>
          </w:p>
        </w:tc>
        <w:tc>
          <w:tcPr>
            <w:tcW w:w="1238" w:type="dxa"/>
            <w:vAlign w:val="center"/>
          </w:tcPr>
          <w:p>
            <w:pPr>
              <w:pStyle w:val="TableText"/>
            </w:pPr>
            <w:r>
              <w:rPr/>
              <w:t xml:space="preserve">16 год</w:t>
            </w:r>
            <w:r>
              <w:br/>
            </w:r>
            <w:r>
              <w:rPr/>
              <w:t xml:space="preserve">+ можливий API</w:t>
            </w:r>
          </w:p>
        </w:tc>
        <w:tc>
          <w:tcPr>
            <w:tcW w:w="5056" w:type="dxa"/>
            <w:vAlign w:val="center"/>
          </w:tcPr>
          <w:p>
            <w:pPr>
              <w:pStyle w:val="TableText"/>
            </w:pPr>
            <w:r>
              <w:rPr/>
              <w:t xml:space="preserve">Може полегшити Маркові введення готівки, але треба перевіряти розпізнавання, повтори й особисті частини чека. Без фічі працює коротка ручна форма; її незручності спочатку вимірюємо.</w:t>
            </w:r>
          </w:p>
        </w:tc>
      </w:tr>
      <w:tr>
        <w:trPr>
          <w:cantSplit/>
        </w:trPr>
        <w:tc>
          <w:tcPr>
            <w:tcW w:w="619" w:type="dxa"/>
            <w:vAlign w:val="center"/>
          </w:tcPr>
          <w:p>
            <w:pPr>
              <w:pStyle w:val="TableText"/>
            </w:pPr>
            <w:r>
              <w:rPr/>
              <w:t xml:space="preserve">13</w:t>
            </w:r>
          </w:p>
        </w:tc>
        <w:tc>
          <w:tcPr>
            <w:tcW w:w="2167" w:type="dxa"/>
            <w:vAlign w:val="center"/>
          </w:tcPr>
          <w:p>
            <w:pPr>
              <w:pStyle w:val="TableText"/>
            </w:pPr>
            <w:r>
              <w:rPr/>
              <w:t xml:space="preserve">AI-асистент</w:t>
            </w:r>
          </w:p>
        </w:tc>
        <w:tc>
          <w:tcPr>
            <w:tcW w:w="1238" w:type="dxa"/>
            <w:vAlign w:val="center"/>
          </w:tcPr>
          <w:p>
            <w:pPr>
              <w:pStyle w:val="TableText"/>
            </w:pPr>
            <w:r>
              <w:rPr/>
              <w:t xml:space="preserve">Won’t</w:t>
            </w:r>
          </w:p>
        </w:tc>
        <w:tc>
          <w:tcPr>
            <w:tcW w:w="1238" w:type="dxa"/>
            <w:vAlign w:val="center"/>
          </w:tcPr>
          <w:p>
            <w:pPr>
              <w:pStyle w:val="TableText"/>
            </w:pPr>
            <w:r>
              <w:rPr/>
              <w:t xml:space="preserve">16 год</w:t>
            </w:r>
            <w:r>
              <w:br/>
            </w:r>
            <w:r>
              <w:rPr/>
              <w:t xml:space="preserve">+ API</w:t>
            </w:r>
          </w:p>
        </w:tc>
        <w:tc>
          <w:tcPr>
            <w:tcW w:w="5056" w:type="dxa"/>
            <w:vAlign w:val="center"/>
          </w:tcPr>
          <w:p>
            <w:pPr>
              <w:pStyle w:val="TableText"/>
            </w:pPr>
            <w:r>
              <w:rPr/>
              <w:t xml:space="preserve">Може спростити обом нові питання, але додаткова користь понад звіт і Fava не доведена. Без нього базові відповіді лишаються; ціну й приватність оцінено на сторінці 4.</w:t>
            </w:r>
          </w:p>
        </w:tc>
      </w:tr>
      <w:tr>
        <w:trPr>
          <w:cantSplit/>
        </w:trPr>
        <w:tc>
          <w:tcPr>
            <w:tcW w:w="619" w:type="dxa"/>
            <w:vAlign w:val="center"/>
          </w:tcPr>
          <w:p>
            <w:pPr>
              <w:pStyle w:val="TableText"/>
            </w:pPr>
            <w:r>
              <w:rPr/>
              <w:t xml:space="preserve">15</w:t>
            </w:r>
          </w:p>
        </w:tc>
        <w:tc>
          <w:tcPr>
            <w:tcW w:w="2167" w:type="dxa"/>
            <w:vAlign w:val="center"/>
          </w:tcPr>
          <w:p>
            <w:pPr>
              <w:pStyle w:val="TableText"/>
            </w:pPr>
            <w:r>
              <w:rPr/>
              <w:t xml:space="preserve">Кілька валют</w:t>
            </w:r>
          </w:p>
        </w:tc>
        <w:tc>
          <w:tcPr>
            <w:tcW w:w="1238" w:type="dxa"/>
            <w:vAlign w:val="center"/>
          </w:tcPr>
          <w:p>
            <w:pPr>
              <w:pStyle w:val="TableText"/>
            </w:pPr>
            <w:r>
              <w:rPr/>
              <w:t xml:space="preserve">Won’t</w:t>
            </w:r>
          </w:p>
        </w:tc>
        <w:tc>
          <w:tcPr>
            <w:tcW w:w="1238" w:type="dxa"/>
            <w:vAlign w:val="center"/>
          </w:tcPr>
          <w:p>
            <w:pPr>
              <w:pStyle w:val="TableText"/>
            </w:pPr>
            <w:r>
              <w:rPr/>
              <w:t xml:space="preserve">12 год</w:t>
            </w:r>
          </w:p>
        </w:tc>
        <w:tc>
          <w:tcPr>
            <w:tcW w:w="5056" w:type="dxa"/>
            <w:vAlign w:val="center"/>
          </w:tcPr>
          <w:p>
            <w:pPr>
              <w:pStyle w:val="TableText"/>
            </w:pPr>
            <w:r>
              <w:rPr/>
              <w:t xml:space="preserve">У заданому бюджеті обох людей є лише PLN, тому конвертація поки не потрібна. Без неї наявні виписки обліковуються повністю.</w:t>
            </w:r>
          </w:p>
        </w:tc>
      </w:tr>
      <w:tr>
        <w:trPr>
          <w:cantSplit/>
        </w:trPr>
        <w:tc>
          <w:tcPr>
            <w:tcW w:w="619" w:type="dxa"/>
            <w:vAlign w:val="center"/>
          </w:tcPr>
          <w:p>
            <w:pPr>
              <w:pStyle w:val="TableText"/>
            </w:pPr>
            <w:r>
              <w:rPr/>
              <w:t xml:space="preserve">16</w:t>
            </w:r>
          </w:p>
        </w:tc>
        <w:tc>
          <w:tcPr>
            <w:tcW w:w="2167" w:type="dxa"/>
            <w:vAlign w:val="center"/>
          </w:tcPr>
          <w:p>
            <w:pPr>
              <w:pStyle w:val="TableText"/>
            </w:pPr>
            <w:r>
              <w:rPr/>
              <w:t xml:space="preserve">Облік інвестицій</w:t>
            </w:r>
          </w:p>
        </w:tc>
        <w:tc>
          <w:tcPr>
            <w:tcW w:w="1238" w:type="dxa"/>
            <w:vAlign w:val="center"/>
          </w:tcPr>
          <w:p>
            <w:pPr>
              <w:pStyle w:val="TableText"/>
            </w:pPr>
            <w:r>
              <w:rPr/>
              <w:t xml:space="preserve">Won’t</w:t>
            </w:r>
          </w:p>
        </w:tc>
        <w:tc>
          <w:tcPr>
            <w:tcW w:w="1238" w:type="dxa"/>
            <w:vAlign w:val="center"/>
          </w:tcPr>
          <w:p>
            <w:pPr>
              <w:pStyle w:val="TableText"/>
            </w:pPr>
            <w:r>
              <w:rPr/>
              <w:t xml:space="preserve">16 год</w:t>
            </w:r>
          </w:p>
        </w:tc>
        <w:tc>
          <w:tcPr>
            <w:tcW w:w="5056" w:type="dxa"/>
            <w:vAlign w:val="center"/>
          </w:tcPr>
          <w:p>
            <w:pPr>
              <w:pStyle w:val="TableText"/>
            </w:pPr>
            <w:r>
              <w:rPr/>
              <w:t xml:space="preserve">Для обох описано побутовий бюджет, без інвестиційного портфеля. Без цієї фічі можна контролювати витрати й накопичувати подушку на банківському рахунку.</w:t>
            </w:r>
          </w:p>
        </w:tc>
      </w:tr>
      <w:tr>
        <w:trPr>
          <w:cantSplit/>
        </w:trPr>
        <w:tc>
          <w:tcPr>
            <w:tcW w:w="619" w:type="dxa"/>
            <w:vAlign w:val="center"/>
          </w:tcPr>
          <w:p>
            <w:pPr>
              <w:pStyle w:val="TableText"/>
            </w:pPr>
            <w:r>
              <w:rPr/>
              <w:t xml:space="preserve">18</w:t>
            </w:r>
          </w:p>
        </w:tc>
        <w:tc>
          <w:tcPr>
            <w:tcW w:w="2167" w:type="dxa"/>
            <w:vAlign w:val="center"/>
          </w:tcPr>
          <w:p>
            <w:pPr>
              <w:pStyle w:val="TableText"/>
            </w:pPr>
            <w:r>
              <w:rPr/>
              <w:t xml:space="preserve">Автозавантаження з банку</w:t>
            </w:r>
          </w:p>
        </w:tc>
        <w:tc>
          <w:tcPr>
            <w:tcW w:w="1238" w:type="dxa"/>
            <w:vAlign w:val="center"/>
          </w:tcPr>
          <w:p>
            <w:pPr>
              <w:pStyle w:val="TableText"/>
            </w:pPr>
            <w:r>
              <w:rPr/>
              <w:t xml:space="preserve">Won’t</w:t>
            </w:r>
          </w:p>
        </w:tc>
        <w:tc>
          <w:tcPr>
            <w:tcW w:w="1238" w:type="dxa"/>
            <w:vAlign w:val="center"/>
          </w:tcPr>
          <w:p>
            <w:pPr>
              <w:pStyle w:val="TableText"/>
            </w:pPr>
            <w:r>
              <w:rPr/>
              <w:t xml:space="preserve">від 24 год</w:t>
            </w:r>
            <w:r>
              <w:br/>
            </w:r>
            <w:r>
              <w:rPr/>
              <w:t xml:space="preserve">+ невідома ціна API</w:t>
            </w:r>
          </w:p>
        </w:tc>
        <w:tc>
          <w:tcPr>
            <w:tcW w:w="5056" w:type="dxa"/>
            <w:vAlign w:val="center"/>
          </w:tcPr>
          <w:p>
            <w:pPr>
              <w:pStyle w:val="TableText"/>
            </w:pPr>
            <w:r>
              <w:rPr/>
              <w:t xml:space="preserve">Могло б зекономити обом час імпорту, але доступність API саме цих банків і ціна підтримки невідомі. Без нього працює пакетний CSV-імпорт; спочатку перевіряємо, скільки часу він займає.</w:t>
            </w:r>
          </w:p>
        </w:tc>
      </w:tr>
    </w:tbl>
    <w:p>
      <w:pPr>
        <w:pStyle w:val="Normal"/>
      </w:pPr>
      <w:r>
        <w:rPr>
          <w:b/>
        </w:rPr>
        <w:t xml:space="preserve">Перевірка повноти:</w:t>
      </w:r>
      <w:r>
        <w:rPr/>
        <w:t xml:space="preserve"> 18 фіч, кожен номер використано один раз; Must 5, Should 2, Could 4, Won’t 7.</w:t>
      </w:r>
    </w:p>
    <w:p>
      <w:pPr>
        <w:pStyle w:val="SmallText"/>
      </w:pPr>
      <w:r>
        <w:rPr/>
        <w:t xml:space="preserve">Послідовність: власник операції та імпорт → права доступу → персональний звіт і форма. Ручні витрати зберігаються окремо, щоб імпорт їх не стирав. Правила 50/50 допускають особисті винятки, а відшкодування між партнерами не створює повторного доходу чи витрат.</w:t>
      </w:r>
    </w:p>
    <w:p>
      <w:pPr>
        <w:pStyle w:val="Heading1"/>
        <w:pageBreakBefore/>
      </w:pPr>
      <w:r>
        <w:rPr/>
        <w:t xml:space="preserve">Перевірка пріоритетів іншими методами</w:t>
      </w:r>
    </w:p>
    <w:p>
      <w:pPr>
        <w:pStyle w:val="Normal"/>
      </w:pPr>
      <w:r>
        <w:rPr>
          <w:b/>
        </w:rPr>
        <w:t xml:space="preserve">RICE</w:t>
      </w:r>
      <w:r>
        <w:rPr/>
        <w:t xml:space="preserve"> порівнює охоплення, вплив, впевненість в оцінках і зусилля. Обираю його, щоб не переоцінити привабливі AI-фічі без доказів користі. Для двох людей охоплення мало відрізняє ідеї, зате впевненість робить невідомість видимою. </w:t>
      </w:r>
      <w:hyperlink w:history="1" r:id="link2">
        <w:r>
          <w:rPr>
            <w:color w:val="205741"/>
            <w:u w:val="single"/>
          </w:rPr>
          <w:t xml:space="preserve">Джерело: Intercom</w:t>
        </w:r>
      </w:hyperlink>
      <w:r>
        <w:rPr/>
        <w:t xml:space="preserve">.</w:t>
      </w:r>
    </w:p>
    <w:p>
      <w:pPr>
        <w:pStyle w:val="Normal"/>
      </w:pPr>
      <w:r>
        <w:rPr>
          <w:b/>
        </w:rPr>
        <w:t xml:space="preserve">Матриця «цінність і зусилля»</w:t>
      </w:r>
      <w:r>
        <w:rPr/>
        <w:t xml:space="preserve"> допомагає обговорити, яка користь варта кількох вечорів роботи. Вона проста для Олі й Марка, але не виділяє впевненість окремо; для числового прикладу беру RICE. </w:t>
      </w:r>
      <w:hyperlink w:history="1" r:id="link3">
        <w:r>
          <w:rPr>
            <w:color w:val="205741"/>
            <w:u w:val="single"/>
          </w:rPr>
          <w:t xml:space="preserve">Джерело: Atlassian</w:t>
        </w:r>
      </w:hyperlink>
      <w:r>
        <w:rPr/>
        <w:t xml:space="preserve">.</w:t>
      </w:r>
    </w:p>
    <w:p>
      <w:pPr>
        <w:pStyle w:val="Normal"/>
      </w:pPr>
      <w:r>
        <w:rPr/>
        <w:t xml:space="preserve">Ці методи прямо враховують наш обмежений час. Kano теж корисний для розмови про очікування, але сам поділ за задоволенням користувачів не показує витрат реалізації. Тому для цього проєкту обираю порівняння користі й зусиль.</w:t>
      </w:r>
    </w:p>
    <w:p>
      <w:pPr>
        <w:pStyle w:val="Heading2"/>
      </w:pPr>
      <w:r>
        <w:rPr/>
        <w:t xml:space="preserve">Розрахунок RICE для п’яти спірних фіч</w:t>
      </w:r>
    </w:p>
    <w:p>
      <w:pPr>
        <w:pStyle w:val="Normal"/>
      </w:pPr>
      <w:r>
        <w:rPr>
          <w:b/>
        </w:rPr>
        <w:t xml:space="preserve">RICE = R × I × C / E.</w:t>
      </w:r>
      <w:r>
        <w:rPr/>
        <w:t xml:space="preserve"> R - люди, яким фіча допоможе за три місяці; I - вплив: 3 дуже великий, 2 високий, 1 середній, 0,5 низький, 0,25 мінімальний; C - впевненість: 100% висока, 80% середня, 50% низька; E - людино-години розробки й перевірки.</w:t>
      </w:r>
    </w:p>
    <w:p>
      <w:pPr>
        <w:pStyle w:val="SmallText"/>
      </w:pPr>
      <w:r>
        <w:rPr/>
        <w:t xml:space="preserve">Усі числа є припущеннями. Замість оригінальних людино-місяців RICE використовую години однаково для всіх фіч. Це додатковий час поверх базової інфраструктури; 100% впевненості без перевірок не ставлю.</w:t>
      </w:r>
    </w:p>
    <w:tbl>
      <w:tblPr>
        <w:tblW w:w="10318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3611"/>
        <w:gridCol w:w="1445"/>
        <w:gridCol w:w="722"/>
        <w:gridCol w:w="825"/>
        <w:gridCol w:w="1135"/>
        <w:gridCol w:w="1238"/>
        <w:gridCol w:w="1342"/>
      </w:tblGrid>
      <w:tr>
        <w:trPr>
          <w:cantSplit/>
          <w:tblHeader/>
        </w:trPr>
        <w:tc>
          <w:tcPr>
            <w:tcW w:w="3611" w:type="dxa"/>
            <w:vAlign w:val="center"/>
            <w:shd w:fill="EDF3EF" w:val="clear"/>
          </w:tcPr>
          <w:p>
            <w:pPr>
              <w:pStyle w:val="TableHeader"/>
            </w:pPr>
            <w:r>
              <w:rPr>
                <w:b/>
              </w:rPr>
              <w:t xml:space="preserve">№ і фіча</w:t>
            </w:r>
          </w:p>
        </w:tc>
        <w:tc>
          <w:tcPr>
            <w:tcW w:w="1445" w:type="dxa"/>
            <w:vAlign w:val="center"/>
            <w:shd w:fill="EDF3EF" w:val="clear"/>
          </w:tcPr>
          <w:p>
            <w:pPr>
              <w:pStyle w:val="TableHeader"/>
            </w:pPr>
            <w:r>
              <w:rPr>
                <w:b/>
              </w:rPr>
              <w:t xml:space="preserve">MSCW</w:t>
            </w:r>
          </w:p>
        </w:tc>
        <w:tc>
          <w:tcPr>
            <w:tcW w:w="722" w:type="dxa"/>
            <w:vAlign w:val="center"/>
            <w:shd w:fill="EDF3EF" w:val="clear"/>
          </w:tcPr>
          <w:p>
            <w:pPr>
              <w:pStyle w:val="TableHeader"/>
            </w:pPr>
            <w:r>
              <w:rPr>
                <w:b/>
              </w:rPr>
              <w:t xml:space="preserve">R</w:t>
            </w:r>
          </w:p>
        </w:tc>
        <w:tc>
          <w:tcPr>
            <w:tcW w:w="825" w:type="dxa"/>
            <w:vAlign w:val="center"/>
            <w:shd w:fill="EDF3EF" w:val="clear"/>
          </w:tcPr>
          <w:p>
            <w:pPr>
              <w:pStyle w:val="TableHeader"/>
            </w:pPr>
            <w:r>
              <w:rPr>
                <w:b/>
              </w:rPr>
              <w:t xml:space="preserve">I</w:t>
            </w:r>
          </w:p>
        </w:tc>
        <w:tc>
          <w:tcPr>
            <w:tcW w:w="1135" w:type="dxa"/>
            <w:vAlign w:val="center"/>
            <w:shd w:fill="EDF3EF" w:val="clear"/>
          </w:tcPr>
          <w:p>
            <w:pPr>
              <w:pStyle w:val="TableHeader"/>
            </w:pPr>
            <w:r>
              <w:rPr>
                <w:b/>
              </w:rPr>
              <w:t xml:space="preserve">C</w:t>
            </w:r>
          </w:p>
        </w:tc>
        <w:tc>
          <w:tcPr>
            <w:tcW w:w="1238" w:type="dxa"/>
            <w:vAlign w:val="center"/>
            <w:shd w:fill="EDF3EF" w:val="clear"/>
          </w:tcPr>
          <w:p>
            <w:pPr>
              <w:pStyle w:val="TableHeader"/>
            </w:pPr>
            <w:r>
              <w:rPr>
                <w:b/>
              </w:rPr>
              <w:t xml:space="preserve">E, год</w:t>
            </w:r>
          </w:p>
        </w:tc>
        <w:tc>
          <w:tcPr>
            <w:tcW w:w="1342" w:type="dxa"/>
            <w:vAlign w:val="center"/>
            <w:shd w:fill="EDF3EF" w:val="clear"/>
          </w:tcPr>
          <w:p>
            <w:pPr>
              <w:pStyle w:val="TableHeader"/>
              <w:jc w:val="right"/>
            </w:pPr>
            <w:r>
              <w:rPr>
                <w:b/>
              </w:rPr>
              <w:t xml:space="preserve">Бал</w:t>
            </w:r>
          </w:p>
        </w:tc>
      </w:tr>
      <w:tr>
        <w:trPr>
          <w:cantSplit/>
        </w:trPr>
        <w:tc>
          <w:tcPr>
            <w:tcW w:w="3611" w:type="dxa"/>
            <w:vAlign w:val="center"/>
          </w:tcPr>
          <w:p>
            <w:pPr>
              <w:pStyle w:val="TableText"/>
            </w:pPr>
            <w:r>
              <w:rPr/>
              <w:t xml:space="preserve">5 · Ціль заощаджень</w:t>
            </w:r>
          </w:p>
        </w:tc>
        <w:tc>
          <w:tcPr>
            <w:tcW w:w="1445" w:type="dxa"/>
            <w:vAlign w:val="center"/>
          </w:tcPr>
          <w:p>
            <w:pPr>
              <w:pStyle w:val="TableText"/>
            </w:pPr>
            <w:r>
              <w:rPr/>
              <w:t xml:space="preserve">Should</w:t>
            </w:r>
          </w:p>
        </w:tc>
        <w:tc>
          <w:tcPr>
            <w:tcW w:w="722" w:type="dxa"/>
            <w:vAlign w:val="center"/>
          </w:tcPr>
          <w:p>
            <w:pPr>
              <w:pStyle w:val="TableText"/>
            </w:pPr>
            <w:r>
              <w:rPr/>
              <w:t xml:space="preserve">1</w:t>
            </w:r>
          </w:p>
        </w:tc>
        <w:tc>
          <w:tcPr>
            <w:tcW w:w="825" w:type="dxa"/>
            <w:vAlign w:val="center"/>
          </w:tcPr>
          <w:p>
            <w:pPr>
              <w:pStyle w:val="TableText"/>
            </w:pPr>
            <w:r>
              <w:rPr/>
              <w:t xml:space="preserve">2</w:t>
            </w:r>
          </w:p>
        </w:tc>
        <w:tc>
          <w:tcPr>
            <w:tcW w:w="1135" w:type="dxa"/>
            <w:vAlign w:val="center"/>
          </w:tcPr>
          <w:p>
            <w:pPr>
              <w:pStyle w:val="TableText"/>
            </w:pPr>
            <w:r>
              <w:rPr/>
              <w:t xml:space="preserve">80%</w:t>
            </w:r>
          </w:p>
        </w:tc>
        <w:tc>
          <w:tcPr>
            <w:tcW w:w="1238" w:type="dxa"/>
            <w:vAlign w:val="center"/>
          </w:tcPr>
          <w:p>
            <w:pPr>
              <w:pStyle w:val="TableText"/>
            </w:pPr>
            <w:r>
              <w:rPr/>
              <w:t xml:space="preserve">2</w:t>
            </w:r>
          </w:p>
        </w:tc>
        <w:tc>
          <w:tcPr>
            <w:tcW w:w="1342" w:type="dxa"/>
            <w:vAlign w:val="center"/>
          </w:tcPr>
          <w:p>
            <w:pPr>
              <w:pStyle w:val="TableText"/>
              <w:jc w:val="right"/>
            </w:pPr>
            <w:r>
              <w:rPr/>
              <w:t xml:space="preserve">0,800</w:t>
            </w:r>
          </w:p>
        </w:tc>
      </w:tr>
      <w:tr>
        <w:trPr>
          <w:cantSplit/>
        </w:trPr>
        <w:tc>
          <w:tcPr>
            <w:tcW w:w="3611" w:type="dxa"/>
            <w:vAlign w:val="center"/>
          </w:tcPr>
          <w:p>
            <w:pPr>
              <w:pStyle w:val="TableText"/>
            </w:pPr>
            <w:r>
              <w:rPr/>
              <w:t xml:space="preserve">6 · Готівка з телефона</w:t>
            </w:r>
          </w:p>
        </w:tc>
        <w:tc>
          <w:tcPr>
            <w:tcW w:w="1445" w:type="dxa"/>
            <w:vAlign w:val="center"/>
          </w:tcPr>
          <w:p>
            <w:pPr>
              <w:pStyle w:val="TableText"/>
            </w:pPr>
            <w:r>
              <w:rPr/>
              <w:t xml:space="preserve">Must</w:t>
            </w:r>
          </w:p>
        </w:tc>
        <w:tc>
          <w:tcPr>
            <w:tcW w:w="722" w:type="dxa"/>
            <w:vAlign w:val="center"/>
          </w:tcPr>
          <w:p>
            <w:pPr>
              <w:pStyle w:val="TableText"/>
            </w:pPr>
            <w:r>
              <w:rPr/>
              <w:t xml:space="preserve">1</w:t>
            </w:r>
          </w:p>
        </w:tc>
        <w:tc>
          <w:tcPr>
            <w:tcW w:w="825" w:type="dxa"/>
            <w:vAlign w:val="center"/>
          </w:tcPr>
          <w:p>
            <w:pPr>
              <w:pStyle w:val="TableText"/>
            </w:pPr>
            <w:r>
              <w:rPr/>
              <w:t xml:space="preserve">3</w:t>
            </w:r>
          </w:p>
        </w:tc>
        <w:tc>
          <w:tcPr>
            <w:tcW w:w="1135" w:type="dxa"/>
            <w:vAlign w:val="center"/>
          </w:tcPr>
          <w:p>
            <w:pPr>
              <w:pStyle w:val="TableText"/>
            </w:pPr>
            <w:r>
              <w:rPr/>
              <w:t xml:space="preserve">80%</w:t>
            </w:r>
          </w:p>
        </w:tc>
        <w:tc>
          <w:tcPr>
            <w:tcW w:w="1238" w:type="dxa"/>
            <w:vAlign w:val="center"/>
          </w:tcPr>
          <w:p>
            <w:pPr>
              <w:pStyle w:val="TableText"/>
            </w:pPr>
            <w:r>
              <w:rPr/>
              <w:t xml:space="preserve">8</w:t>
            </w:r>
          </w:p>
        </w:tc>
        <w:tc>
          <w:tcPr>
            <w:tcW w:w="1342" w:type="dxa"/>
            <w:vAlign w:val="center"/>
          </w:tcPr>
          <w:p>
            <w:pPr>
              <w:pStyle w:val="TableText"/>
              <w:jc w:val="right"/>
            </w:pPr>
            <w:r>
              <w:rPr/>
              <w:t xml:space="preserve">0,300</w:t>
            </w:r>
          </w:p>
        </w:tc>
      </w:tr>
      <w:tr>
        <w:trPr>
          <w:cantSplit/>
        </w:trPr>
        <w:tc>
          <w:tcPr>
            <w:tcW w:w="3611" w:type="dxa"/>
            <w:vAlign w:val="center"/>
          </w:tcPr>
          <w:p>
            <w:pPr>
              <w:pStyle w:val="TableText"/>
            </w:pPr>
            <w:r>
              <w:rPr/>
              <w:t xml:space="preserve">10 · Ліміти на категорії</w:t>
            </w:r>
          </w:p>
        </w:tc>
        <w:tc>
          <w:tcPr>
            <w:tcW w:w="1445" w:type="dxa"/>
            <w:vAlign w:val="center"/>
          </w:tcPr>
          <w:p>
            <w:pPr>
              <w:pStyle w:val="TableText"/>
            </w:pPr>
            <w:r>
              <w:rPr/>
              <w:t xml:space="preserve">Should</w:t>
            </w:r>
          </w:p>
        </w:tc>
        <w:tc>
          <w:tcPr>
            <w:tcW w:w="722" w:type="dxa"/>
            <w:vAlign w:val="center"/>
          </w:tcPr>
          <w:p>
            <w:pPr>
              <w:pStyle w:val="TableText"/>
            </w:pPr>
            <w:r>
              <w:rPr/>
              <w:t xml:space="preserve">2</w:t>
            </w:r>
          </w:p>
        </w:tc>
        <w:tc>
          <w:tcPr>
            <w:tcW w:w="825" w:type="dxa"/>
            <w:vAlign w:val="center"/>
          </w:tcPr>
          <w:p>
            <w:pPr>
              <w:pStyle w:val="TableText"/>
            </w:pPr>
            <w:r>
              <w:rPr/>
              <w:t xml:space="preserve">2</w:t>
            </w:r>
          </w:p>
        </w:tc>
        <w:tc>
          <w:tcPr>
            <w:tcW w:w="1135" w:type="dxa"/>
            <w:vAlign w:val="center"/>
          </w:tcPr>
          <w:p>
            <w:pPr>
              <w:pStyle w:val="TableText"/>
            </w:pPr>
            <w:r>
              <w:rPr/>
              <w:t xml:space="preserve">50%</w:t>
            </w:r>
          </w:p>
        </w:tc>
        <w:tc>
          <w:tcPr>
            <w:tcW w:w="1238" w:type="dxa"/>
            <w:vAlign w:val="center"/>
          </w:tcPr>
          <w:p>
            <w:pPr>
              <w:pStyle w:val="TableText"/>
            </w:pPr>
            <w:r>
              <w:rPr/>
              <w:t xml:space="preserve">8</w:t>
            </w:r>
          </w:p>
        </w:tc>
        <w:tc>
          <w:tcPr>
            <w:tcW w:w="1342" w:type="dxa"/>
            <w:vAlign w:val="center"/>
          </w:tcPr>
          <w:p>
            <w:pPr>
              <w:pStyle w:val="TableText"/>
              <w:jc w:val="right"/>
            </w:pPr>
            <w:r>
              <w:rPr/>
              <w:t xml:space="preserve">0,250</w:t>
            </w:r>
          </w:p>
        </w:tc>
      </w:tr>
      <w:tr>
        <w:trPr>
          <w:cantSplit/>
        </w:trPr>
        <w:tc>
          <w:tcPr>
            <w:tcW w:w="3611" w:type="dxa"/>
            <w:vAlign w:val="center"/>
          </w:tcPr>
          <w:p>
            <w:pPr>
              <w:pStyle w:val="TableText"/>
            </w:pPr>
            <w:r>
              <w:rPr/>
              <w:t xml:space="preserve">4 · AI-категоризація</w:t>
            </w:r>
          </w:p>
        </w:tc>
        <w:tc>
          <w:tcPr>
            <w:tcW w:w="1445" w:type="dxa"/>
            <w:vAlign w:val="center"/>
          </w:tcPr>
          <w:p>
            <w:pPr>
              <w:pStyle w:val="TableText"/>
            </w:pPr>
            <w:r>
              <w:rPr/>
              <w:t xml:space="preserve">Could</w:t>
            </w:r>
          </w:p>
        </w:tc>
        <w:tc>
          <w:tcPr>
            <w:tcW w:w="722" w:type="dxa"/>
            <w:vAlign w:val="center"/>
          </w:tcPr>
          <w:p>
            <w:pPr>
              <w:pStyle w:val="TableText"/>
            </w:pPr>
            <w:r>
              <w:rPr/>
              <w:t xml:space="preserve">2</w:t>
            </w:r>
          </w:p>
        </w:tc>
        <w:tc>
          <w:tcPr>
            <w:tcW w:w="825" w:type="dxa"/>
            <w:vAlign w:val="center"/>
          </w:tcPr>
          <w:p>
            <w:pPr>
              <w:pStyle w:val="TableText"/>
            </w:pPr>
            <w:r>
              <w:rPr/>
              <w:t xml:space="preserve">0,5</w:t>
            </w:r>
          </w:p>
        </w:tc>
        <w:tc>
          <w:tcPr>
            <w:tcW w:w="1135" w:type="dxa"/>
            <w:vAlign w:val="center"/>
          </w:tcPr>
          <w:p>
            <w:pPr>
              <w:pStyle w:val="TableText"/>
            </w:pPr>
            <w:r>
              <w:rPr/>
              <w:t xml:space="preserve">50%</w:t>
            </w:r>
          </w:p>
        </w:tc>
        <w:tc>
          <w:tcPr>
            <w:tcW w:w="1238" w:type="dxa"/>
            <w:vAlign w:val="center"/>
          </w:tcPr>
          <w:p>
            <w:pPr>
              <w:pStyle w:val="TableText"/>
            </w:pPr>
            <w:r>
              <w:rPr/>
              <w:t xml:space="preserve">8</w:t>
            </w:r>
          </w:p>
        </w:tc>
        <w:tc>
          <w:tcPr>
            <w:tcW w:w="1342" w:type="dxa"/>
            <w:vAlign w:val="center"/>
          </w:tcPr>
          <w:p>
            <w:pPr>
              <w:pStyle w:val="TableText"/>
              <w:jc w:val="right"/>
            </w:pPr>
            <w:r>
              <w:rPr/>
              <w:t xml:space="preserve">0,063</w:t>
            </w:r>
          </w:p>
        </w:tc>
      </w:tr>
      <w:tr>
        <w:trPr>
          <w:cantSplit/>
        </w:trPr>
        <w:tc>
          <w:tcPr>
            <w:tcW w:w="3611" w:type="dxa"/>
            <w:vAlign w:val="center"/>
          </w:tcPr>
          <w:p>
            <w:pPr>
              <w:pStyle w:val="TableText"/>
            </w:pPr>
            <w:r>
              <w:rPr/>
              <w:t xml:space="preserve">13 · AI-асистент</w:t>
            </w:r>
          </w:p>
        </w:tc>
        <w:tc>
          <w:tcPr>
            <w:tcW w:w="1445" w:type="dxa"/>
            <w:vAlign w:val="center"/>
          </w:tcPr>
          <w:p>
            <w:pPr>
              <w:pStyle w:val="TableText"/>
            </w:pPr>
            <w:r>
              <w:rPr/>
              <w:t xml:space="preserve">Won’t</w:t>
            </w:r>
          </w:p>
        </w:tc>
        <w:tc>
          <w:tcPr>
            <w:tcW w:w="722" w:type="dxa"/>
            <w:vAlign w:val="center"/>
          </w:tcPr>
          <w:p>
            <w:pPr>
              <w:pStyle w:val="TableText"/>
            </w:pPr>
            <w:r>
              <w:rPr/>
              <w:t xml:space="preserve">2</w:t>
            </w:r>
          </w:p>
        </w:tc>
        <w:tc>
          <w:tcPr>
            <w:tcW w:w="825" w:type="dxa"/>
            <w:vAlign w:val="center"/>
          </w:tcPr>
          <w:p>
            <w:pPr>
              <w:pStyle w:val="TableText"/>
            </w:pPr>
            <w:r>
              <w:rPr/>
              <w:t xml:space="preserve">0,5</w:t>
            </w:r>
          </w:p>
        </w:tc>
        <w:tc>
          <w:tcPr>
            <w:tcW w:w="1135" w:type="dxa"/>
            <w:vAlign w:val="center"/>
          </w:tcPr>
          <w:p>
            <w:pPr>
              <w:pStyle w:val="TableText"/>
            </w:pPr>
            <w:r>
              <w:rPr/>
              <w:t xml:space="preserve">50%</w:t>
            </w:r>
          </w:p>
        </w:tc>
        <w:tc>
          <w:tcPr>
            <w:tcW w:w="1238" w:type="dxa"/>
            <w:vAlign w:val="center"/>
          </w:tcPr>
          <w:p>
            <w:pPr>
              <w:pStyle w:val="TableText"/>
            </w:pPr>
            <w:r>
              <w:rPr/>
              <w:t xml:space="preserve">16</w:t>
            </w:r>
          </w:p>
        </w:tc>
        <w:tc>
          <w:tcPr>
            <w:tcW w:w="1342" w:type="dxa"/>
            <w:vAlign w:val="center"/>
          </w:tcPr>
          <w:p>
            <w:pPr>
              <w:pStyle w:val="TableText"/>
              <w:jc w:val="right"/>
            </w:pPr>
            <w:r>
              <w:rPr/>
              <w:t xml:space="preserve">0,031</w:t>
            </w:r>
          </w:p>
        </w:tc>
      </w:tr>
    </w:tbl>
    <w:p>
      <w:pPr>
        <w:pStyle w:val="Normal"/>
      </w:pPr>
      <w:r>
        <w:rPr/>
        <w:t xml:space="preserve">Наприклад, готівка: </w:t>
      </w:r>
      <w:r>
        <w:rPr>
          <w:b/>
        </w:rPr>
        <w:t xml:space="preserve">1 × 3 × 0,8 / 8 = 0,300</w:t>
      </w:r>
      <w:r>
        <w:rPr/>
        <w:t xml:space="preserve">. Охоплення для готівки - Марко, для цілі - Оля; для інших фіч припускаю користь обом. Проста ціль займає 2 години; готівка потребує надійного зберігання. Для лімітів реакція користувачів невідома; користь AI понад наявні правила й звіт не виміряна.</w:t>
      </w:r>
    </w:p>
    <w:p>
      <w:pPr>
        <w:pStyle w:val="Normal"/>
      </w:pPr>
      <w:r>
        <w:rPr>
          <w:b/>
        </w:rPr>
        <w:t xml:space="preserve">Розбіжність:</w:t>
      </w:r>
      <w:r>
        <w:rPr/>
        <w:t xml:space="preserve"> RICE ставить ціль із Should вище за готівку з Must через малу оцінку часу. Для обов’язкового складу версії більше довіряю MSCW: Маркові потрібне додавання витрат із телефона, і проста ціль цього не замінює. RICE використовую для додаткових покращень; серед Should спочатку подушка, потім ліміти.</w:t>
      </w:r>
    </w:p>
    <w:p>
      <w:pPr>
        <w:pStyle w:val="Normal"/>
      </w:pPr>
      <w:r>
        <w:rPr>
          <w:b/>
        </w:rPr>
        <w:t xml:space="preserve">Чутливість:</w:t>
      </w:r>
      <w:r>
        <w:rPr/>
        <w:t xml:space="preserve"> якщо ціль потребуватиме 6 годин замість 2, бал стане 1 × 2 × 0,8 / 6 ≈ 0,267 і опуститься нижче готівки. Вищий бал не скасовує залежності, приватність чи бюджет.</w:t>
      </w:r>
    </w:p>
    <w:p>
      <w:pPr>
        <w:pStyle w:val="Heading2"/>
      </w:pPr>
      <w:r>
        <w:rPr/>
        <w:t xml:space="preserve">Чи працюють фреймворки</w:t>
      </w:r>
    </w:p>
    <w:p>
      <w:pPr>
        <w:pStyle w:val="Normal"/>
      </w:pPr>
      <w:r>
        <w:rPr/>
        <w:t xml:space="preserve">На мою думку, так: вони змушують пояснити користь, витрати й відмови. Але суб’єктивність залишається і в числах, тому припущення треба перевіряти після користування. Для двох людей достатньо короткої таблиці й прямої розмови; сам високий бал не гарантує корисного продукту.</w:t>
      </w:r>
    </w:p>
    <w:p>
      <w:pPr>
        <w:pStyle w:val="Heading1"/>
        <w:pageBreakBefore/>
      </w:pPr>
      <w:r>
        <w:rPr/>
        <w:t xml:space="preserve">Роадмап із сигналами переходу</w:t>
      </w:r>
    </w:p>
    <w:p>
      <w:pPr>
        <w:pStyle w:val="SmallText"/>
      </w:pPr>
      <w:r>
        <w:rPr/>
        <w:t xml:space="preserve">Етапи від старту роботи. «До кінця року» трактую як кінець першого року розвитку: календарний грудень 2026 настав би раніше тримісячного етапу. Це явне припущення плану.</w:t>
      </w:r>
    </w:p>
    <w:tbl>
      <w:tblPr>
        <w:tblW w:w="10318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1857"/>
        <w:gridCol w:w="3818"/>
        <w:gridCol w:w="4643"/>
      </w:tblGrid>
      <w:tr>
        <w:trPr>
          <w:cantSplit/>
          <w:tblHeader/>
        </w:trPr>
        <w:tc>
          <w:tcPr>
            <w:tcW w:w="1857" w:type="dxa"/>
            <w:vAlign w:val="center"/>
            <w:shd w:fill="EDF3EF" w:val="clear"/>
          </w:tcPr>
          <w:p>
            <w:pPr>
              <w:pStyle w:val="TableHeader"/>
            </w:pPr>
            <w:r>
              <w:rPr>
                <w:b/>
              </w:rPr>
              <w:t xml:space="preserve">Етап</w:t>
            </w:r>
          </w:p>
        </w:tc>
        <w:tc>
          <w:tcPr>
            <w:tcW w:w="3818" w:type="dxa"/>
            <w:vAlign w:val="center"/>
            <w:shd w:fill="EDF3EF" w:val="clear"/>
          </w:tcPr>
          <w:p>
            <w:pPr>
              <w:pStyle w:val="TableHeader"/>
            </w:pPr>
            <w:r>
              <w:rPr>
                <w:b/>
              </w:rPr>
              <w:t xml:space="preserve">Фічі та результат</w:t>
            </w:r>
          </w:p>
        </w:tc>
        <w:tc>
          <w:tcPr>
            <w:tcW w:w="4643" w:type="dxa"/>
            <w:vAlign w:val="center"/>
            <w:shd w:fill="EDF3EF" w:val="clear"/>
          </w:tcPr>
          <w:p>
            <w:pPr>
              <w:pStyle w:val="TableHeader"/>
            </w:pPr>
            <w:r>
              <w:rPr>
                <w:b/>
              </w:rPr>
              <w:t xml:space="preserve">Сигнал переходу</w:t>
            </w:r>
          </w:p>
        </w:tc>
      </w:tr>
      <w:tr>
        <w:trPr>
          <w:cantSplit/>
        </w:trPr>
        <w:tc>
          <w:tcPr>
            <w:tcW w:w="1857" w:type="dxa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Перший місяць</w:t>
            </w:r>
          </w:p>
        </w:tc>
        <w:tc>
          <w:tcPr>
            <w:tcW w:w="3818" w:type="dxa"/>
            <w:vAlign w:val="center"/>
          </w:tcPr>
          <w:p>
            <w:pPr>
              <w:pStyle w:val="TableText"/>
            </w:pPr>
            <w:r>
              <w:rPr/>
              <w:t xml:space="preserve">2, 12, 17: імпорт обох банків, захищений вхід, свої й позначені спільні дані та звіт на телефоні.</w:t>
            </w:r>
          </w:p>
        </w:tc>
        <w:tc>
          <w:tcPr>
            <w:tcW w:w="4643" w:type="dxa"/>
            <w:vAlign w:val="center"/>
          </w:tcPr>
          <w:p>
            <w:pPr>
              <w:pStyle w:val="TableText"/>
            </w:pPr>
            <w:r>
              <w:rPr/>
              <w:t xml:space="preserve">Bean-check мовчить, усі чотири контрольні суми збігаються. Марко двічі сам входить і знаходить місячний підсумок; чужі особисті дані й доступ без входу закриті.</w:t>
            </w:r>
          </w:p>
        </w:tc>
      </w:tr>
      <w:tr>
        <w:trPr>
          <w:cantSplit/>
        </w:trPr>
        <w:tc>
          <w:tcPr>
            <w:tcW w:w="1857" w:type="dxa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До трьох місяців</w:t>
            </w:r>
          </w:p>
        </w:tc>
        <w:tc>
          <w:tcPr>
            <w:tcW w:w="3818" w:type="dxa"/>
            <w:vAlign w:val="center"/>
          </w:tcPr>
          <w:p>
            <w:pPr>
              <w:pStyle w:val="TableText"/>
            </w:pPr>
            <w:r>
              <w:rPr/>
              <w:t xml:space="preserve">6, 9: готівка й розрахунок 50/50; потім 5 - подушка, 10 - ліміти, якщо вистачає часу.</w:t>
            </w:r>
          </w:p>
        </w:tc>
        <w:tc>
          <w:tcPr>
            <w:tcW w:w="4643" w:type="dxa"/>
            <w:vAlign w:val="center"/>
          </w:tcPr>
          <w:p>
            <w:pPr>
              <w:pStyle w:val="TableText"/>
            </w:pPr>
            <w:r>
              <w:rPr/>
              <w:t xml:space="preserve">Марко три тижні веде свою частину обліку без допомоги. Готівкова операція зберігається після перезапуску й імпорту; один місячний розрахунок 50/50 звірений обома.</w:t>
            </w:r>
          </w:p>
        </w:tc>
      </w:tr>
      <w:tr>
        <w:trPr>
          <w:cantSplit/>
        </w:trPr>
        <w:tc>
          <w:tcPr>
            <w:tcW w:w="1857" w:type="dxa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До кінця першого року</w:t>
            </w:r>
          </w:p>
        </w:tc>
        <w:tc>
          <w:tcPr>
            <w:tcW w:w="3818" w:type="dxa"/>
            <w:vAlign w:val="center"/>
          </w:tcPr>
          <w:p>
            <w:pPr>
              <w:pStyle w:val="TableText"/>
            </w:pPr>
            <w:r>
              <w:rPr/>
              <w:t xml:space="preserve">1, 14, 8, 3 - за фактичною потребою; 4 й 11 - лише окремі експерименти з переглядом кошторису. Одне покращення за раз.</w:t>
            </w:r>
          </w:p>
        </w:tc>
        <w:tc>
          <w:tcPr>
            <w:tcW w:w="4643" w:type="dxa"/>
            <w:vAlign w:val="center"/>
          </w:tcPr>
          <w:p>
            <w:pPr>
              <w:pStyle w:val="TableText"/>
            </w:pPr>
            <w:r>
              <w:rPr/>
              <w:t xml:space="preserve">Після двох стабільних місячних циклів виміряно конкретну незручність. Проба скорочує час відповідної дії хоча б на 20%, зберігає правильність і вкладається в $200; тоді беремо наступне покращення.</w:t>
            </w:r>
          </w:p>
        </w:tc>
      </w:tr>
    </w:tbl>
    <w:p>
      <w:pPr>
        <w:pStyle w:val="SmallText"/>
      </w:pPr>
      <w:r>
        <w:rPr/>
        <w:t xml:space="preserve">Для теми й трендів перевіряємо корисність під час двох місячних переглядів, а не економію часу. Робоча ціль внесення даних для двох: до 10 хв/тиждень плюс до 15 хв на місячний імпорт; її ще треба виміряти. Перший етап оцінено у 18 годин, тому з резервом потрібні ближче до 5-6 год/тиждень; за суворих 4 год переносимо завершення етапу. Якщо сигнал не досягнуто, спочатку виправляємо проблему й відкладаємо додаткові фічі.</w:t>
      </w:r>
    </w:p>
    <w:p>
      <w:pPr>
        <w:pStyle w:val="Heading1"/>
      </w:pPr>
      <w:r>
        <w:rPr/>
        <w:t xml:space="preserve">Рішення про AI асистента</w:t>
      </w:r>
    </w:p>
    <w:p>
      <w:pPr>
        <w:pStyle w:val="Normal"/>
      </w:pPr>
      <w:r>
        <w:rPr>
          <w:b/>
        </w:rPr>
        <w:t xml:space="preserve">1. Не додаю у тримісячну версію.</w:t>
      </w:r>
      <w:r>
        <w:rPr/>
        <w:t xml:space="preserve"> Фіча 13 - Won’t; річної дати запуску не обіцяю. Повернуся до неї після двох місяців спостережень, якщо регулярно потрібні питання, яких не закривають звіт і збережені запити. Спочатку перевірю, чи достатньо одного нового запиту.</w:t>
      </w:r>
    </w:p>
    <w:p>
      <w:pPr>
        <w:pStyle w:val="Normal"/>
      </w:pPr>
      <w:r>
        <w:rPr>
          <w:b/>
        </w:rPr>
        <w:t xml:space="preserve">2. Користь понад Fava:</w:t>
      </w:r>
      <w:r>
        <w:rPr/>
        <w:t xml:space="preserve"> нове питання звичайною мовою без пошуку фільтрів, наприклад «порівняй мої витрати на доставку за серпень і вересень». Збережені запити вже показують категорії, заощадження, фіксовані й змінні витрати. Програма має перевіряти доступ і рахувати суми; модель лише визначає параметри та пояснює результат. Це зручність, а не більша точність чи скорочення внесення даних.</w:t>
      </w:r>
    </w:p>
    <w:p>
      <w:pPr>
        <w:pStyle w:val="Normal"/>
      </w:pPr>
      <w:r>
        <w:rPr>
          <w:b/>
        </w:rPr>
        <w:t xml:space="preserve">3. Ціна можливого сценарію:</w:t>
      </w:r>
      <w:r>
        <w:rPr/>
        <w:t xml:space="preserve"> </w:t>
      </w:r>
      <w:hyperlink w:history="1" r:id="link4">
        <w:r>
          <w:rPr>
            <w:color w:val="205741"/>
            <w:u w:val="single"/>
          </w:rPr>
          <w:t xml:space="preserve">GPT-6 Luna</w:t>
        </w:r>
      </w:hyperlink>
      <w:r>
        <w:rPr/>
        <w:t xml:space="preserve">, Standard: $0,10 за 1 млн вхідних і $0,50 за 1 млн вихідних токенів, перевірено 21.10.2026. Припускаю 40 питань на місяць від обох, на одне - 4 000 вхідних токенів з інструкціями й дозволеними даними та 500 вихідних, сумарно за всі обміни, без додаткових сервісів і з вимкненим reasoning.</w:t>
      </w:r>
    </w:p>
    <w:p>
      <w:pPr>
        <w:pStyle w:val="Normal"/>
      </w:pPr>
      <w:r>
        <w:rPr>
          <w:b/>
        </w:rPr>
        <w:t xml:space="preserve">40 × (4 000 × 0,10 + 500 × 0,50) / 1 000 000 = $0,026/місяць</w:t>
      </w:r>
      <w:r>
        <w:rPr/>
        <w:t xml:space="preserve">, близько $0,03 до додаткових нарахувань. API дешевий; головна ціна - орієнтовні 16 годин розробки й перевірки та обслуговування. Через відкладення в обраному бюджеті API коштує $0.</w:t>
      </w:r>
    </w:p>
    <w:p>
      <w:pPr>
        <w:pStyle w:val="Normal"/>
      </w:pPr>
      <w:r>
        <w:rPr>
          <w:b/>
        </w:rPr>
        <w:t xml:space="preserve">4. Приватність:</w:t>
      </w:r>
      <w:r>
        <w:rPr/>
        <w:t xml:space="preserve"> передані дані потрапляють провайдеру. Надсилатиму лише потрібні підсумки або мінімальну дозволену вибірку, без реквізитів і зайвих описів; права доступу перевірятиму до відправлення. Потрібні згода, HTTPS і ключ на сервері; особисті витрати партнера недоступні. Для Responses API - </w:t>
      </w:r>
      <w:r>
        <w:rPr/>
        <w:t xml:space="preserve">store=false</w:t>
      </w:r>
      <w:r>
        <w:rPr/>
        <w:t xml:space="preserve">, без постійної історії. API-дані за замовчуванням не використовують для навчання без добровільної згоди, але моніторингові журнали можуть зберігатися до 30 днів із винятками; нульового зберігання не обіцяю. </w:t>
      </w:r>
      <w:hyperlink w:history="1" r:id="link5">
        <w:r>
          <w:rPr>
            <w:color w:val="205741"/>
            <w:u w:val="single"/>
          </w:rPr>
          <w:t xml:space="preserve">Умови OpenAI</w:t>
        </w:r>
      </w:hyperlink>
      <w:r>
        <w:rPr/>
        <w:t xml:space="preserve">.</w:t>
      </w:r>
    </w:p>
    <w:p>
      <w:pPr>
        <w:pStyle w:val="Heading1"/>
        <w:pageBreakBefore/>
      </w:pPr>
      <w:r>
        <w:rPr/>
        <w:t xml:space="preserve">Бюджет на перші дванадцять місяців</w:t>
      </w:r>
    </w:p>
    <w:p>
      <w:pPr>
        <w:pStyle w:val="Normal"/>
      </w:pPr>
      <w:r>
        <w:rPr/>
        <w:t xml:space="preserve">Для продуктового сценарію обираю помісячний хостинг без передоплати за весь рік, адресу провайдера й наявний код. Платний тариф дає змогу налаштувати планові резервні копії. </w:t>
      </w:r>
      <w:r>
        <w:rPr>
          <w:b/>
        </w:rPr>
        <w:t xml:space="preserve">Ціни перевірено 21.10.2026.</w:t>
      </w:r>
    </w:p>
    <w:tbl>
      <w:tblPr>
        <w:tblW w:w="10318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3508"/>
        <w:gridCol w:w="2992"/>
        <w:gridCol w:w="1445"/>
        <w:gridCol w:w="2373"/>
      </w:tblGrid>
      <w:tr>
        <w:trPr>
          <w:cantSplit/>
          <w:tblHeader/>
        </w:trPr>
        <w:tc>
          <w:tcPr>
            <w:tcW w:w="3508" w:type="dxa"/>
            <w:vAlign w:val="center"/>
            <w:shd w:fill="EDF3EF" w:val="clear"/>
          </w:tcPr>
          <w:p>
            <w:pPr>
              <w:pStyle w:val="TableHeader"/>
            </w:pPr>
            <w:r>
              <w:rPr>
                <w:b/>
              </w:rPr>
              <w:t xml:space="preserve">Стаття</w:t>
            </w:r>
          </w:p>
        </w:tc>
        <w:tc>
          <w:tcPr>
            <w:tcW w:w="2992" w:type="dxa"/>
            <w:vAlign w:val="center"/>
            <w:shd w:fill="EDF3EF" w:val="clear"/>
          </w:tcPr>
          <w:p>
            <w:pPr>
              <w:pStyle w:val="TableHeader"/>
            </w:pPr>
            <w:r>
              <w:rPr>
                <w:b/>
              </w:rPr>
              <w:t xml:space="preserve">Розрахунок</w:t>
            </w:r>
          </w:p>
        </w:tc>
        <w:tc>
          <w:tcPr>
            <w:tcW w:w="1445" w:type="dxa"/>
            <w:vAlign w:val="center"/>
            <w:shd w:fill="EDF3EF" w:val="clear"/>
          </w:tcPr>
          <w:p>
            <w:pPr>
              <w:pStyle w:val="TableHeader"/>
              <w:jc w:val="right"/>
            </w:pPr>
            <w:r>
              <w:rPr>
                <w:b/>
              </w:rPr>
              <w:t xml:space="preserve">USD/рік</w:t>
            </w:r>
          </w:p>
        </w:tc>
        <w:tc>
          <w:tcPr>
            <w:tcW w:w="2373" w:type="dxa"/>
            <w:vAlign w:val="center"/>
            <w:shd w:fill="EDF3EF" w:val="clear"/>
          </w:tcPr>
          <w:p>
            <w:pPr>
              <w:pStyle w:val="TableHeader"/>
            </w:pPr>
            <w:r>
              <w:rPr>
                <w:b/>
              </w:rPr>
              <w:t xml:space="preserve">Джерело або підстава</w:t>
            </w:r>
          </w:p>
        </w:tc>
      </w:tr>
      <w:tr>
        <w:trPr>
          <w:cantSplit/>
        </w:trPr>
        <w:tc>
          <w:tcPr>
            <w:tcW w:w="3508" w:type="dxa"/>
            <w:vAlign w:val="center"/>
          </w:tcPr>
          <w:p>
            <w:pPr>
              <w:pStyle w:val="TableText"/>
            </w:pPr>
            <w:r>
              <w:rPr/>
              <w:t xml:space="preserve">PythonAnywhere Developer</w:t>
            </w:r>
          </w:p>
        </w:tc>
        <w:tc>
          <w:tcPr>
            <w:tcW w:w="2992" w:type="dxa"/>
            <w:vAlign w:val="center"/>
          </w:tcPr>
          <w:p>
            <w:pPr>
              <w:pStyle w:val="TableText"/>
            </w:pPr>
            <w:r>
              <w:rPr/>
              <w:t xml:space="preserve">$10 × 12 місяців</w:t>
            </w:r>
          </w:p>
        </w:tc>
        <w:tc>
          <w:tcPr>
            <w:tcW w:w="1445" w:type="dxa"/>
            <w:vAlign w:val="center"/>
          </w:tcPr>
          <w:p>
            <w:pPr>
              <w:pStyle w:val="TableText"/>
              <w:jc w:val="right"/>
            </w:pPr>
            <w:r>
              <w:rPr/>
              <w:t xml:space="preserve">120,00</w:t>
            </w:r>
          </w:p>
        </w:tc>
        <w:tc>
          <w:tcPr>
            <w:tcW w:w="2373" w:type="dxa"/>
            <w:vAlign w:val="center"/>
          </w:tcPr>
          <w:p>
            <w:pPr>
              <w:pStyle w:val="TableText"/>
            </w:pPr>
            <w:hyperlink w:history="1" r:id="link6">
              <w:r>
                <w:rPr>
                  <w:color w:val="205741"/>
                  <w:u w:val="single"/>
                </w:rPr>
                <w:t xml:space="preserve">Офіційний тариф</w:t>
              </w:r>
            </w:hyperlink>
          </w:p>
        </w:tc>
      </w:tr>
      <w:tr>
        <w:trPr>
          <w:cantSplit/>
        </w:trPr>
        <w:tc>
          <w:tcPr>
            <w:tcW w:w="3508" w:type="dxa"/>
            <w:vAlign w:val="center"/>
          </w:tcPr>
          <w:p>
            <w:pPr>
              <w:pStyle w:val="TableText"/>
            </w:pPr>
            <w:r>
              <w:rPr/>
              <w:t xml:space="preserve">Адреса трекера та HTTPS</w:t>
            </w:r>
          </w:p>
        </w:tc>
        <w:tc>
          <w:tcPr>
            <w:tcW w:w="2992" w:type="dxa"/>
            <w:vAlign w:val="center"/>
          </w:tcPr>
          <w:p>
            <w:pPr>
              <w:pStyle w:val="TableText"/>
            </w:pPr>
            <w:r>
              <w:rPr/>
              <w:t xml:space="preserve">Адреса pythonanywhere.com і SSL включені</w:t>
            </w:r>
          </w:p>
        </w:tc>
        <w:tc>
          <w:tcPr>
            <w:tcW w:w="1445" w:type="dxa"/>
            <w:vAlign w:val="center"/>
          </w:tcPr>
          <w:p>
            <w:pPr>
              <w:pStyle w:val="TableText"/>
              <w:jc w:val="right"/>
            </w:pPr>
            <w:r>
              <w:rPr/>
              <w:t xml:space="preserve">0,00</w:t>
            </w:r>
          </w:p>
        </w:tc>
        <w:tc>
          <w:tcPr>
            <w:tcW w:w="2373" w:type="dxa"/>
            <w:vAlign w:val="center"/>
          </w:tcPr>
          <w:p>
            <w:pPr>
              <w:pStyle w:val="TableText"/>
            </w:pPr>
            <w:hyperlink w:history="1" r:id="link7">
              <w:r>
                <w:rPr>
                  <w:color w:val="205741"/>
                  <w:u w:val="single"/>
                </w:rPr>
                <w:t xml:space="preserve">Тариф провайдера</w:t>
              </w:r>
            </w:hyperlink>
          </w:p>
        </w:tc>
      </w:tr>
      <w:tr>
        <w:trPr>
          <w:cantSplit/>
        </w:trPr>
        <w:tc>
          <w:tcPr>
            <w:tcW w:w="3508" w:type="dxa"/>
            <w:vAlign w:val="center"/>
          </w:tcPr>
          <w:p>
            <w:pPr>
              <w:pStyle w:val="TableText"/>
            </w:pPr>
            <w:r>
              <w:rPr/>
              <w:t xml:space="preserve">Дані й резервні копії</w:t>
            </w:r>
          </w:p>
        </w:tc>
        <w:tc>
          <w:tcPr>
            <w:tcW w:w="2992" w:type="dxa"/>
            <w:vAlign w:val="center"/>
          </w:tcPr>
          <w:p>
            <w:pPr>
              <w:pStyle w:val="TableText"/>
            </w:pPr>
            <w:r>
              <w:rPr/>
              <w:t xml:space="preserve">Включені 5 GB, копія на наявному комп’ютері</w:t>
            </w:r>
          </w:p>
        </w:tc>
        <w:tc>
          <w:tcPr>
            <w:tcW w:w="1445" w:type="dxa"/>
            <w:vAlign w:val="center"/>
          </w:tcPr>
          <w:p>
            <w:pPr>
              <w:pStyle w:val="TableText"/>
              <w:jc w:val="right"/>
            </w:pPr>
            <w:r>
              <w:rPr/>
              <w:t xml:space="preserve">0,00</w:t>
            </w:r>
          </w:p>
        </w:tc>
        <w:tc>
          <w:tcPr>
            <w:tcW w:w="2373" w:type="dxa"/>
            <w:vAlign w:val="center"/>
          </w:tcPr>
          <w:p>
            <w:pPr>
              <w:pStyle w:val="TableText"/>
            </w:pPr>
            <w:r>
              <w:rPr/>
              <w:t xml:space="preserve">Тариф; без окремого сховища</w:t>
            </w:r>
          </w:p>
        </w:tc>
      </w:tr>
      <w:tr>
        <w:trPr>
          <w:cantSplit/>
        </w:trPr>
        <w:tc>
          <w:tcPr>
            <w:tcW w:w="3508" w:type="dxa"/>
            <w:vAlign w:val="center"/>
          </w:tcPr>
          <w:p>
            <w:pPr>
              <w:pStyle w:val="TableText"/>
            </w:pPr>
            <w:r>
              <w:rPr/>
              <w:t xml:space="preserve">Облік, Fava, код і вхід</w:t>
            </w:r>
          </w:p>
        </w:tc>
        <w:tc>
          <w:tcPr>
            <w:tcW w:w="2992" w:type="dxa"/>
            <w:vAlign w:val="center"/>
          </w:tcPr>
          <w:p>
            <w:pPr>
              <w:pStyle w:val="TableText"/>
            </w:pPr>
            <w:r>
              <w:rPr/>
              <w:t xml:space="preserve">Без нових платних підписок</w:t>
            </w:r>
          </w:p>
        </w:tc>
        <w:tc>
          <w:tcPr>
            <w:tcW w:w="1445" w:type="dxa"/>
            <w:vAlign w:val="center"/>
          </w:tcPr>
          <w:p>
            <w:pPr>
              <w:pStyle w:val="TableText"/>
              <w:jc w:val="right"/>
            </w:pPr>
            <w:r>
              <w:rPr/>
              <w:t xml:space="preserve">0,00</w:t>
            </w:r>
          </w:p>
        </w:tc>
        <w:tc>
          <w:tcPr>
            <w:tcW w:w="2373" w:type="dxa"/>
            <w:vAlign w:val="center"/>
          </w:tcPr>
          <w:p>
            <w:pPr>
              <w:pStyle w:val="TableText"/>
            </w:pPr>
            <w:r>
              <w:rPr/>
              <w:t xml:space="preserve">Наявний проєкт; </w:t>
            </w:r>
            <w:hyperlink w:history="1" r:id="link8">
              <w:r>
                <w:rPr>
                  <w:color w:val="205741"/>
                  <w:u w:val="single"/>
                </w:rPr>
                <w:t xml:space="preserve">Fava MIT</w:t>
              </w:r>
            </w:hyperlink>
          </w:p>
        </w:tc>
      </w:tr>
      <w:tr>
        <w:trPr>
          <w:cantSplit/>
        </w:trPr>
        <w:tc>
          <w:tcPr>
            <w:tcW w:w="3508" w:type="dxa"/>
            <w:vAlign w:val="center"/>
          </w:tcPr>
          <w:p>
            <w:pPr>
              <w:pStyle w:val="TableText"/>
            </w:pPr>
            <w:r>
              <w:rPr/>
              <w:t xml:space="preserve">Стори та API моделей</w:t>
            </w:r>
          </w:p>
        </w:tc>
        <w:tc>
          <w:tcPr>
            <w:tcW w:w="2992" w:type="dxa"/>
            <w:vAlign w:val="center"/>
          </w:tcPr>
          <w:p>
            <w:pPr>
              <w:pStyle w:val="TableText"/>
            </w:pPr>
            <w:r>
              <w:rPr/>
              <w:t xml:space="preserve">Не підключаємо</w:t>
            </w:r>
          </w:p>
        </w:tc>
        <w:tc>
          <w:tcPr>
            <w:tcW w:w="1445" w:type="dxa"/>
            <w:vAlign w:val="center"/>
          </w:tcPr>
          <w:p>
            <w:pPr>
              <w:pStyle w:val="TableText"/>
              <w:jc w:val="right"/>
            </w:pPr>
            <w:r>
              <w:rPr/>
              <w:t xml:space="preserve">0,00</w:t>
            </w:r>
          </w:p>
        </w:tc>
        <w:tc>
          <w:tcPr>
            <w:tcW w:w="2373" w:type="dxa"/>
            <w:vAlign w:val="center"/>
          </w:tcPr>
          <w:p>
            <w:pPr>
              <w:pStyle w:val="TableText"/>
            </w:pPr>
            <w:r>
              <w:rPr/>
              <w:t xml:space="preserve">Відкладені фічі 7 і 13</w:t>
            </w:r>
          </w:p>
        </w:tc>
      </w:tr>
      <w:tr>
        <w:trPr>
          <w:cantSplit/>
        </w:trPr>
        <w:tc>
          <w:tcPr>
            <w:tcW w:w="3508" w:type="dxa"/>
            <w:vAlign w:val="center"/>
          </w:tcPr>
          <w:p>
            <w:pPr>
              <w:pStyle w:val="TableText"/>
            </w:pPr>
            <w:r>
              <w:rPr/>
              <w:t xml:space="preserve">Резерв</w:t>
            </w:r>
          </w:p>
        </w:tc>
        <w:tc>
          <w:tcPr>
            <w:tcW w:w="2992" w:type="dxa"/>
            <w:vAlign w:val="center"/>
          </w:tcPr>
          <w:p>
            <w:pPr>
              <w:pStyle w:val="TableText"/>
            </w:pPr>
            <w:r>
              <w:rPr/>
              <w:t xml:space="preserve">25% від $120 на можливі додаткові нарахування</w:t>
            </w:r>
          </w:p>
        </w:tc>
        <w:tc>
          <w:tcPr>
            <w:tcW w:w="1445" w:type="dxa"/>
            <w:vAlign w:val="center"/>
          </w:tcPr>
          <w:p>
            <w:pPr>
              <w:pStyle w:val="TableText"/>
              <w:jc w:val="right"/>
            </w:pPr>
            <w:r>
              <w:rPr/>
              <w:t xml:space="preserve">30,00</w:t>
            </w:r>
          </w:p>
        </w:tc>
        <w:tc>
          <w:tcPr>
            <w:tcW w:w="2373" w:type="dxa"/>
            <w:vAlign w:val="center"/>
          </w:tcPr>
          <w:p>
            <w:pPr>
              <w:pStyle w:val="TableText"/>
            </w:pPr>
            <w:r>
              <w:rPr/>
              <w:t xml:space="preserve">Власне припущення</w:t>
            </w:r>
          </w:p>
        </w:tc>
      </w:tr>
      <w:tr>
        <w:trPr>
          <w:cantSplit/>
        </w:trPr>
        <w:tc>
          <w:tcPr>
            <w:tcW w:w="3508" w:type="dxa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Разом із резервом</w:t>
            </w:r>
          </w:p>
        </w:tc>
        <w:tc>
          <w:tcPr>
            <w:tcW w:w="2992" w:type="dxa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Ліміт $200; вільно $50</w:t>
            </w:r>
          </w:p>
        </w:tc>
        <w:tc>
          <w:tcPr>
            <w:tcW w:w="1445" w:type="dxa"/>
            <w:vAlign w:val="center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150,00</w:t>
            </w:r>
          </w:p>
        </w:tc>
        <w:tc>
          <w:tcPr>
            <w:tcW w:w="2373" w:type="dxa"/>
            <w:vAlign w:val="center"/>
          </w:tcPr>
          <w:p>
            <w:pPr>
              <w:pStyle w:val="TableText"/>
            </w:pPr>
            <w:r>
              <w:rPr/>
              <w:t xml:space="preserve">Базові платежі $120</w:t>
            </w:r>
          </w:p>
        </w:tc>
      </w:tr>
    </w:tbl>
    <w:p>
      <w:pPr>
        <w:pStyle w:val="SmallText"/>
      </w:pPr>
      <w:r>
        <w:rPr/>
        <w:t xml:space="preserve">Резерв ще не витрачено; фактичну окупність рахуємо за платежами. Власний час розробки не оплачується в цьому грошовому кошторисі. </w:t>
      </w:r>
      <w:hyperlink w:history="1" r:id="link9">
        <w:r>
          <w:rPr>
            <w:color w:val="205741"/>
            <w:u w:val="single"/>
          </w:rPr>
          <w:t xml:space="preserve">Apple $99/рік</w:t>
        </w:r>
      </w:hyperlink>
      <w:r>
        <w:rPr/>
        <w:t xml:space="preserve"> + </w:t>
      </w:r>
      <w:hyperlink w:history="1" r:id="link10">
        <w:r>
          <w:rPr>
            <w:color w:val="205741"/>
            <w:u w:val="single"/>
          </w:rPr>
          <w:t xml:space="preserve">Google Play $25 одноразово</w:t>
        </w:r>
      </w:hyperlink>
      <w:r>
        <w:rPr/>
        <w:t xml:space="preserve"> дали б із хостингом $244 без резерву, тому стори відкинуто. Власний стандартний </w:t>
      </w:r>
      <w:hyperlink w:history="1" r:id="link11">
        <w:r>
          <w:rPr>
            <w:color w:val="205741"/>
            <w:u w:val="single"/>
          </w:rPr>
          <w:t xml:space="preserve">.com у Porkbun коштує $11,08 за перший рік</w:t>
        </w:r>
      </w:hyperlink>
      <w:r>
        <w:rPr/>
        <w:t xml:space="preserve">; це перевірена альтернатива, але не покупка в нашому плані. З ним бюджет був би $161,08.</w:t>
      </w:r>
    </w:p>
    <w:p>
      <w:pPr>
        <w:pStyle w:val="Heading1"/>
      </w:pPr>
      <w:r>
        <w:rPr/>
        <w:t xml:space="preserve">Окупність за змінними витратами</w:t>
      </w:r>
    </w:p>
    <w:tbl>
      <w:tblPr>
        <w:tblW w:w="10318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4127"/>
        <w:gridCol w:w="3095"/>
        <w:gridCol w:w="3096"/>
      </w:tblGrid>
      <w:tr>
        <w:trPr>
          <w:cantSplit/>
          <w:tblHeader/>
        </w:trPr>
        <w:tc>
          <w:tcPr>
            <w:tcW w:w="4127" w:type="dxa"/>
            <w:vAlign w:val="center"/>
            <w:shd w:fill="EDF3EF" w:val="clear"/>
          </w:tcPr>
          <w:p>
            <w:pPr>
              <w:pStyle w:val="TableHeader"/>
            </w:pPr>
            <w:r>
              <w:rPr>
                <w:b/>
              </w:rPr>
              <w:t xml:space="preserve">Контрольні дані з умови</w:t>
            </w:r>
          </w:p>
        </w:tc>
        <w:tc>
          <w:tcPr>
            <w:tcW w:w="3095" w:type="dxa"/>
            <w:vAlign w:val="center"/>
            <w:shd w:fill="EDF3EF" w:val="clear"/>
          </w:tcPr>
          <w:p>
            <w:pPr>
              <w:pStyle w:val="TableHeader"/>
              <w:jc w:val="right"/>
            </w:pPr>
            <w:r>
              <w:rPr>
                <w:b/>
              </w:rPr>
              <w:t xml:space="preserve">Серпень, PLN</w:t>
            </w:r>
          </w:p>
        </w:tc>
        <w:tc>
          <w:tcPr>
            <w:tcW w:w="3096" w:type="dxa"/>
            <w:vAlign w:val="center"/>
            <w:shd w:fill="EDF3EF" w:val="clear"/>
          </w:tcPr>
          <w:p>
            <w:pPr>
              <w:pStyle w:val="TableHeader"/>
              <w:jc w:val="right"/>
            </w:pPr>
            <w:r>
              <w:rPr>
                <w:b/>
              </w:rPr>
              <w:t xml:space="preserve">Вересень, PLN</w:t>
            </w:r>
          </w:p>
        </w:tc>
      </w:tr>
      <w:tr>
        <w:trPr>
          <w:cantSplit/>
        </w:trPr>
        <w:tc>
          <w:tcPr>
            <w:tcW w:w="4127" w:type="dxa"/>
            <w:vAlign w:val="center"/>
          </w:tcPr>
          <w:p>
            <w:pPr>
              <w:pStyle w:val="TableText"/>
            </w:pPr>
            <w:r>
              <w:rPr/>
              <w:t xml:space="preserve">Оля</w:t>
            </w:r>
          </w:p>
        </w:tc>
        <w:tc>
          <w:tcPr>
            <w:tcW w:w="3095" w:type="dxa"/>
            <w:vAlign w:val="center"/>
          </w:tcPr>
          <w:p>
            <w:pPr>
              <w:pStyle w:val="TableText"/>
              <w:jc w:val="right"/>
            </w:pPr>
            <w:r>
              <w:rPr/>
              <w:t xml:space="preserve">2 195,21</w:t>
            </w:r>
          </w:p>
        </w:tc>
        <w:tc>
          <w:tcPr>
            <w:tcW w:w="3096" w:type="dxa"/>
            <w:vAlign w:val="center"/>
          </w:tcPr>
          <w:p>
            <w:pPr>
              <w:pStyle w:val="TableText"/>
              <w:jc w:val="right"/>
            </w:pPr>
            <w:r>
              <w:rPr/>
              <w:t xml:space="preserve">2 582,42</w:t>
            </w:r>
          </w:p>
        </w:tc>
      </w:tr>
      <w:tr>
        <w:trPr>
          <w:cantSplit/>
        </w:trPr>
        <w:tc>
          <w:tcPr>
            <w:tcW w:w="4127" w:type="dxa"/>
            <w:vAlign w:val="center"/>
          </w:tcPr>
          <w:p>
            <w:pPr>
              <w:pStyle w:val="TableText"/>
            </w:pPr>
            <w:r>
              <w:rPr/>
              <w:t xml:space="preserve">Марко</w:t>
            </w:r>
          </w:p>
        </w:tc>
        <w:tc>
          <w:tcPr>
            <w:tcW w:w="3095" w:type="dxa"/>
            <w:vAlign w:val="center"/>
          </w:tcPr>
          <w:p>
            <w:pPr>
              <w:pStyle w:val="TableText"/>
              <w:jc w:val="right"/>
            </w:pPr>
            <w:r>
              <w:rPr/>
              <w:t xml:space="preserve">1 855,57</w:t>
            </w:r>
          </w:p>
        </w:tc>
        <w:tc>
          <w:tcPr>
            <w:tcW w:w="3096" w:type="dxa"/>
            <w:vAlign w:val="center"/>
          </w:tcPr>
          <w:p>
            <w:pPr>
              <w:pStyle w:val="TableText"/>
              <w:jc w:val="right"/>
            </w:pPr>
            <w:r>
              <w:rPr/>
              <w:t xml:space="preserve">2 432,83</w:t>
            </w:r>
          </w:p>
        </w:tc>
      </w:tr>
      <w:tr>
        <w:trPr>
          <w:cantSplit/>
        </w:trPr>
        <w:tc>
          <w:tcPr>
            <w:tcW w:w="4127" w:type="dxa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Разом</w:t>
            </w:r>
          </w:p>
        </w:tc>
        <w:tc>
          <w:tcPr>
            <w:tcW w:w="3095" w:type="dxa"/>
            <w:vAlign w:val="center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4 050,78</w:t>
            </w:r>
          </w:p>
        </w:tc>
        <w:tc>
          <w:tcPr>
            <w:tcW w:w="3096" w:type="dxa"/>
            <w:vAlign w:val="center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5 015,25</w:t>
            </w:r>
          </w:p>
        </w:tc>
      </w:tr>
    </w:tbl>
    <w:p>
      <w:pPr>
        <w:pStyle w:val="Normal"/>
      </w:pPr>
      <w:r>
        <w:rPr/>
        <w:t xml:space="preserve">Середні витрати на двох за місяць: </w:t>
      </w:r>
      <w:r>
        <w:rPr>
          <w:b/>
        </w:rPr>
        <w:t xml:space="preserve">(4 050,78 + 5 015,25) / 2 = 4 533,015 PLN</w:t>
      </w:r>
      <w:r>
        <w:rPr/>
        <w:t xml:space="preserve">. Річна база без проміжного округлення: </w:t>
      </w:r>
      <w:r>
        <w:rPr>
          <w:b/>
        </w:rPr>
        <w:t xml:space="preserve">4 533,015 × 12 = 54 396,18 PLN</w:t>
      </w:r>
      <w:r>
        <w:rPr/>
        <w:t xml:space="preserve">. Це календарні місяці, окремо від періодів між зарплатами.</w:t>
      </w:r>
    </w:p>
    <w:p>
      <w:pPr>
        <w:pStyle w:val="Normal"/>
      </w:pPr>
      <w:hyperlink w:history="1" r:id="link12">
        <w:r>
          <w:rPr>
            <w:b/>
            <w:color w:val="205741"/>
            <w:u w:val="single"/>
          </w:rPr>
          <w:t xml:space="preserve">NBP, таблиця 205/A/NBP/2026 від 21.10.2026: 1 USD = 3,8889 PLN.</w:t>
        </w:r>
      </w:hyperlink>
      <w:r>
        <w:rPr/>
        <w:t xml:space="preserve"> Переводимо PLN у USD діленням: </w:t>
      </w:r>
      <w:r>
        <w:rPr>
          <w:b/>
        </w:rPr>
        <w:t xml:space="preserve">54 396,18 / 3,8889 ≈ $13 987,55</w:t>
      </w:r>
      <w:r>
        <w:rPr/>
        <w:t xml:space="preserve"> річних змінних витрат.</w:t>
      </w:r>
    </w:p>
    <w:p>
      <w:pPr>
        <w:pStyle w:val="Normal"/>
      </w:pPr>
      <w:r>
        <w:rPr>
          <w:b/>
        </w:rPr>
        <w:t xml:space="preserve">Поріг окупності = $150 / (54 396,18 / 3,8889) × 100% ≈ 1,07%.</w:t>
      </w:r>
      <w:r>
        <w:br/>
      </w:r>
      <w:r>
        <w:rPr/>
        <w:t xml:space="preserve">Це 583,34 PLN на рік, або 48,61 PLN на місяць на двох. Практична ціль - </w:t>
      </w:r>
      <w:r>
        <w:rPr>
          <w:b/>
        </w:rPr>
        <w:t xml:space="preserve">50 PLN економії щомісяця</w:t>
      </w:r>
      <w:r>
        <w:rPr/>
        <w:t xml:space="preserve">: 600 PLN за рік перевищують планові витрати з резервом.</w:t>
      </w:r>
    </w:p>
    <w:p>
      <w:pPr>
        <w:pStyle w:val="Normal"/>
      </w:pPr>
      <w:r>
        <w:rPr/>
        <w:t xml:space="preserve">Для $120 без резерву поріг близько 0,86%; для всього ліміту $200 - 1,43%. Річна база за двома місяцями є оцінкою, а не точним прогнозом; сезонність і зміни поведінки можуть її змінити. Фактичну економію ще треба спостерігати, не приписуючи будь-яке скорочення витрат самому трекеру.</w:t>
      </w:r>
    </w:p>
    <w:p>
      <w:pPr>
        <w:pStyle w:val="SmallText"/>
      </w:pPr>
      <w:r>
        <w:rPr>
          <w:b/>
        </w:rPr>
        <w:t xml:space="preserve">Практична частина домашки:</w:t>
      </w:r>
      <w:r>
        <w:rPr/>
        <w:t xml:space="preserve"> власних грошей не витрачаємо, демо коштує $0 на безкоштовному хостингу. </w:t>
      </w:r>
      <w:hyperlink w:history="1" r:id="link13">
        <w:r>
          <w:rPr>
            <w:color w:val="205741"/>
            <w:u w:val="single"/>
          </w:rPr>
          <w:t xml:space="preserve">PythonAnywhere Beginner</w:t>
        </w:r>
      </w:hyperlink>
      <w:r>
        <w:rPr/>
        <w:t xml:space="preserve"> має один застосунок із місячним строком і 512 MiB, без планових завдань у нових акаунтах; потрібні контроль доступності й ручні копії. Демо має працювати до 9 листопада включно. Річні $150 вище - продуктовий сценарій; жодної оплати не виконано.</w:t>
      </w:r>
    </w:p>
    <w:sectPr>
      <w:footerReference w:type="default" r:id="footer"/>
      <w:pgSz w:w="11906" w:h="16838"/>
      <w:pgMar w:top="794" w:right="794" w:bottom="794" w:left="794" w:header="350" w:footer="350" w:gutter="0"/>
    </w:sectPr>
  </w:body>
</w:document>
</file>

<file path=word/footer1.xml><?xml version="1.0" encoding="utf-8"?>
<w:ftr xmlns:w="http://schemas.openxmlformats.org/wordprocessingml/2006/main">
  <w:p>
    <w:pPr>
      <w:jc w:val="right"/>
      <w:rPr>
        <w:sz w:val="16"/>
      </w:rPr>
    </w:pPr>
    <w:r>
      <w:rPr/>
      <w:t xml:space="preserve">Оля і Марко · </w:t>
    </w:r>
    <w:fldSimple w:instr=" PAGE ">
      <w:r>
        <w:rPr/>
        <w:t xml:space="preserve">1</w:t>
      </w:r>
    </w:fldSimple>
    <w:r>
      <w:rPr/>
      <w:t xml:space="preserve"> / </w:t>
    </w:r>
    <w:fldSimple w:instr=" NUMPAGES ">
      <w:r>
        <w:rPr/>
        <w:t xml:space="preserve">5</w:t>
      </w:r>
    </w:fldSimple>
  </w:p>
</w:ft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lang w:val="uk-UA"/>
        <w:sz w:val="19"/>
        <w:color w:val="17201C"/>
      </w:rPr>
    </w:rPrDefault>
  </w:docDefaults>
  <w:style w:type="paragraph" w:styleId="Normal" w:default="1">
    <w:name w:val="Normal"/>
    <w:qFormat/>
    <w:pPr>
      <w:spacing w:before="0" w:after="100" w:line="260" w:lineRule="auto"/>
    </w:pPr>
    <w:rPr>
      <w:sz w:val="19"/>
    </w:rPr>
  </w:style>
  <w:style w:type="paragraph" w:styleId="Title">
    <w:name w:val="Title"/>
    <w:qFormat/>
    <w:pPr>
      <w:spacing w:before="0" w:after="180" w:line="260" w:lineRule="auto"/>
      <w:keepNext/>
      <w:keepLines/>
    </w:pPr>
    <w:rPr>
      <w:sz w:val="46"/>
      <w:b/>
      <w:color w:val="000000"/>
    </w:rPr>
  </w:style>
  <w:style w:type="paragraph" w:styleId="Heading1">
    <w:name w:val="heading 1"/>
    <w:qFormat/>
    <w:pPr>
      <w:spacing w:before="90" w:after="100" w:line="260" w:lineRule="auto"/>
      <w:keepNext/>
      <w:keepLines/>
      <w:outlineLvl w:val="0"/>
    </w:pPr>
    <w:rPr>
      <w:sz w:val="30"/>
      <w:b/>
      <w:color w:val="000000"/>
    </w:rPr>
  </w:style>
  <w:style w:type="paragraph" w:styleId="Heading2">
    <w:name w:val="heading 2"/>
    <w:qFormat/>
    <w:pPr>
      <w:spacing w:before="130" w:after="70" w:line="260" w:lineRule="auto"/>
      <w:keepNext/>
      <w:keepLines/>
      <w:outlineLvl w:val="1"/>
    </w:pPr>
    <w:rPr>
      <w:sz w:val="21"/>
      <w:b/>
      <w:color w:val="000000"/>
    </w:rPr>
  </w:style>
  <w:style w:type="paragraph" w:styleId="SmallText">
    <w:name w:val="Small Text"/>
    <w:qFormat/>
    <w:pPr>
      <w:spacing w:before="0" w:after="90" w:line="260" w:lineRule="auto"/>
    </w:pPr>
    <w:rPr>
      <w:sz w:val="17"/>
    </w:rPr>
  </w:style>
  <w:style w:type="paragraph" w:styleId="TableText">
    <w:name w:val="Table Text"/>
    <w:qFormat/>
    <w:pPr>
      <w:spacing w:before="0" w:after="0" w:line="240" w:lineRule="auto"/>
    </w:pPr>
    <w:rPr>
      <w:sz w:val="17"/>
    </w:rPr>
  </w:style>
  <w:style w:type="paragraph" w:styleId="TableHeader">
    <w:name w:val="Table Header"/>
    <w:qFormat/>
    <w:pPr>
      <w:spacing w:before="0" w:after="0" w:line="240" w:lineRule="auto"/>
    </w:pPr>
    <w:rPr>
      <w:sz w:val="16"/>
      <w:b/>
      <w:color w:val="000000"/>
    </w:rPr>
  </w:style>
</w:styles>
</file>

<file path=word/_rels/document.xml.rels><?xml version='1.0' encoding='utf-8'?>
<Relationships xmlns="http://schemas.openxmlformats.org/package/2006/relationships"><Relationship Id="styles" Type="http://schemas.openxmlformats.org/officeDocument/2006/relationships/styles" Target="styles.xml" /><Relationship Id="footer" Type="http://schemas.openxmlformats.org/officeDocument/2006/relationships/footer" Target="footer1.xml" /><Relationship Id="link2" Type="http://schemas.openxmlformats.org/officeDocument/2006/relationships/hyperlink" Target="https://www.intercom.com/blog/rice-simple-prioritization-for-product-managers" TargetMode="External" /><Relationship Id="link3" Type="http://schemas.openxmlformats.org/officeDocument/2006/relationships/hyperlink" Target="https://www.atlassian.com/agile/product-management/prioritization-framework/" TargetMode="External" /><Relationship Id="link4" Type="http://schemas.openxmlformats.org/officeDocument/2006/relationships/hyperlink" Target="https://developers.openai.com/api/docs/models/gpt-6-luna" TargetMode="External" /><Relationship Id="link5" Type="http://schemas.openxmlformats.org/officeDocument/2006/relationships/hyperlink" Target="https://developers.openai.com/api/docs/guides/your-data" TargetMode="External" /><Relationship Id="link6" Type="http://schemas.openxmlformats.org/officeDocument/2006/relationships/hyperlink" Target="https://www.pythonanywhere.com/pricing/" TargetMode="External" /><Relationship Id="link7" Type="http://schemas.openxmlformats.org/officeDocument/2006/relationships/hyperlink" Target="https://www.pythonanywhere.com/pricing/" TargetMode="External" /><Relationship Id="link8" Type="http://schemas.openxmlformats.org/officeDocument/2006/relationships/hyperlink" Target="https://github.com/beancount/fava/blob/main/LICENSE" TargetMode="External" /><Relationship Id="link9" Type="http://schemas.openxmlformats.org/officeDocument/2006/relationships/hyperlink" Target="https://developer.apple.com/programs/enroll/" TargetMode="External" /><Relationship Id="link10" Type="http://schemas.openxmlformats.org/officeDocument/2006/relationships/hyperlink" Target="https://support.google.com/googleplay/android-developer/answer/6112435?hl=en" TargetMode="External" /><Relationship Id="link11" Type="http://schemas.openxmlformats.org/officeDocument/2006/relationships/hyperlink" Target="https://porkbun.com/tld/com" TargetMode="External" /><Relationship Id="link12" Type="http://schemas.openxmlformats.org/officeDocument/2006/relationships/hyperlink" Target="https://nbp.pl/statystyka-i-sprawozdawczosc/kursy/tabela-a/" TargetMode="External" /><Relationship Id="link13" Type="http://schemas.openxmlformats.org/officeDocument/2006/relationships/hyperlink" Target="https://help.pythonanywhere.com/pages/FreeAccountsFeatures/" TargetMode="External" /></Relationships>
</file>