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80" w:before="200"/>
        <w:jc w:val="center"/>
      </w:pPr>
      <w:r>
        <w:rPr>
          <w:rFonts w:ascii="Calibri" w:cs="Calibri" w:eastAsia="Calibri" w:hAnsi="Calibri"/>
          <w:b/>
          <w:bCs/>
          <w:color w:val="2D4A1E"/>
          <w:sz w:val="40"/>
          <w:szCs w:val="40"/>
        </w:rPr>
        <w:t xml:space="preserve">PROTOCOLE DE KINÉSITHÉRAPIE</w:t>
      </w:r>
    </w:p>
    <w:p>
      <w:pPr>
        <w:spacing w:after="60" w:before="0"/>
        <w:jc w:val="center"/>
      </w:pPr>
      <w:r>
        <w:rPr>
          <w:rFonts w:ascii="Calibri" w:cs="Calibri" w:eastAsia="Calibri" w:hAnsi="Calibri"/>
          <w:b/>
          <w:bCs/>
          <w:color w:val="4A7C3F"/>
          <w:sz w:val="30"/>
          <w:szCs w:val="30"/>
        </w:rPr>
        <w:t xml:space="preserve">CICATRICES HYPERTROPHIQUES &amp; CHÉLOÏDES</w:t>
      </w:r>
    </w:p>
    <w:p>
      <w:pPr>
        <w:spacing w:after="200" w:before="40"/>
        <w:jc w:val="center"/>
      </w:pPr>
      <w:r>
        <w:rPr>
          <w:rFonts w:ascii="Calibri" w:cs="Calibri" w:eastAsia="Calibri" w:hAnsi="Calibri"/>
          <w:color w:val="666666"/>
          <w:sz w:val="18"/>
          <w:szCs w:val="18"/>
        </w:rPr>
        <w:t xml:space="preserve">Document à usage professionnel interne · La Canopée du 100</w:t>
      </w:r>
    </w:p>
    <w:p>
      <w:pPr>
        <w:pBdr>
          <w:bottom w:val="single" w:color="4A7C3F" w:sz="8" w:space="4"/>
        </w:pBdr>
        <w:spacing w:after="160" w:before="340"/>
      </w:pPr>
      <w:r>
        <w:rPr>
          <w:rFonts w:ascii="Calibri" w:cs="Calibri" w:eastAsia="Calibri" w:hAnsi="Calibri"/>
          <w:b/>
          <w:bCs/>
          <w:color w:val="2D4A1E"/>
          <w:sz w:val="28"/>
          <w:szCs w:val="28"/>
        </w:rPr>
        <w:t xml:space="preserve">1. RAPPELS PHYSIOPATHOLOGIQUES</w:t>
      </w:r>
    </w:p>
    <w:p>
      <w:pPr>
        <w:spacing w:after="80" w:before="80"/>
      </w:pPr>
      <w:r>
        <w:rPr>
          <w:rFonts w:ascii="Calibri" w:cs="Calibri" w:eastAsia="Calibri" w:hAnsi="Calibri"/>
          <w:b w:val="false"/>
          <w:bCs w:val="false"/>
          <w:color w:val="222222"/>
          <w:sz w:val="20"/>
          <w:szCs w:val="20"/>
        </w:rPr>
        <w:t xml:space="preserve">La cicatrice hypertrophique résulte d'une surproduction locale de collagène de type I et III lors de la phase de remodelage, conduisant à un bourrelet érythémateux, surélevé, prurigineux et algique, confiné aux berges de la plaie. Elle se distingue de la chéloïde, qui, elle, déborde les berges initiales et présente un risque de récidive élevé post-exérèse.</w:t>
      </w:r>
    </w:p>
    <w:p>
      <w:pPr>
        <w:spacing w:after="60" w:before="60"/>
      </w:pPr>
      <w:r>
        <w:t xml:space="preserve"/>
      </w:r>
    </w:p>
    <w:p>
      <w:pPr>
        <w:spacing w:after="80" w:before="80"/>
      </w:pPr>
      <w:r>
        <w:rPr>
          <w:rFonts w:ascii="Calibri" w:cs="Calibri" w:eastAsia="Calibri" w:hAnsi="Calibri"/>
          <w:b/>
          <w:bCs/>
          <w:color w:val="222222"/>
          <w:sz w:val="20"/>
          <w:szCs w:val="20"/>
        </w:rPr>
        <w:t xml:space="preserve">Facteurs de risque établis (van der Veer et al., Wound Repair Regen, 2011) :</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Localisation anatomique à haute tension mécanique (sternum, épaule, jawline)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Phototypes IV–VI (Fitzpatrick) : incidence 15× plus élevée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Fermeture cutanée sous tension, infection secondaire, corps étranger</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Terrain génétique, prédisposition familiale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Âge &lt; 30 ans : fibroblastes plus actifs, taux de TGF-β1 élevé</w:t>
      </w:r>
    </w:p>
    <w:p>
      <w:pPr>
        <w:spacing w:after="60" w:before="60"/>
      </w:pPr>
      <w:r>
        <w:t xml:space="preserve"/>
      </w:r>
    </w:p>
    <w:p>
      <w:pPr>
        <w:shd w:fill="EDE8DC" w:val="clear"/>
        <w:spacing w:after="60" w:before="60"/>
      </w:pPr>
      <w:r>
        <w:rPr>
          <w:rFonts w:ascii="Calibri" w:cs="Calibri" w:eastAsia="Calibri" w:hAnsi="Calibri"/>
          <w:color w:val="5A3E00"/>
          <w:sz w:val="19"/>
          <w:szCs w:val="19"/>
        </w:rPr>
        <w:t xml:space="preserve">⚠ Distinction clinique impérative : hypertrophique vs chéloïde. La prise en charge kiné diffère en intensité et en indication aux dispositifs de compression.</w:t>
      </w:r>
    </w:p>
    <w:p>
      <w:pPr>
        <w:spacing w:after="60" w:before="60"/>
      </w:pPr>
      <w:r>
        <w:t xml:space="preserve"/>
      </w:r>
    </w:p>
    <w:p>
      <w:pPr>
        <w:pBdr>
          <w:bottom w:val="single" w:color="4A7C3F" w:sz="8" w:space="4"/>
        </w:pBdr>
        <w:spacing w:after="160" w:before="340"/>
      </w:pPr>
      <w:r>
        <w:rPr>
          <w:rFonts w:ascii="Calibri" w:cs="Calibri" w:eastAsia="Calibri" w:hAnsi="Calibri"/>
          <w:b/>
          <w:bCs/>
          <w:color w:val="2D4A1E"/>
          <w:sz w:val="28"/>
          <w:szCs w:val="28"/>
        </w:rPr>
        <w:t xml:space="preserve">2. ÉVALUATION INITIALE &amp; OUTILS DE MESURE</w:t>
      </w:r>
    </w:p>
    <w:p>
      <w:pPr>
        <w:spacing w:after="80" w:before="80"/>
      </w:pPr>
      <w:r>
        <w:rPr>
          <w:rFonts w:ascii="Calibri" w:cs="Calibri" w:eastAsia="Calibri" w:hAnsi="Calibri"/>
          <w:b w:val="false"/>
          <w:bCs w:val="false"/>
          <w:color w:val="222222"/>
          <w:sz w:val="20"/>
          <w:szCs w:val="20"/>
        </w:rPr>
        <w:t xml:space="preserve">L'évaluation rigoureuse conditionne la pertinence de l'intervention et la traçabilité des résultats. Les outils suivants sont recommandés par la littérature internationale (Fearns et al., J Plast Reconstr Aesthet Surg, 2017)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2D4A1E" w:sz="1"/>
              <w:left w:val="single" w:color="2D4A1E" w:sz="1"/>
              <w:bottom w:val="single" w:color="2D4A1E" w:sz="1"/>
              <w:right w:val="single" w:color="2D4A1E" w:sz="1"/>
            </w:tcBorders>
            <w:shd w:fill="4A7C3F"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OUTIL D'ÉVALUATION</w:t>
            </w:r>
          </w:p>
        </w:tc>
        <w:tc>
          <w:tcPr>
            <w:tcW w:type="dxa" w:w="3120"/>
            <w:gridSpan w:val="1"/>
            <w:tcBorders>
              <w:top w:val="single" w:color="2D4A1E" w:sz="1"/>
              <w:left w:val="single" w:color="2D4A1E" w:sz="1"/>
              <w:bottom w:val="single" w:color="2D4A1E" w:sz="1"/>
              <w:right w:val="single" w:color="2D4A1E" w:sz="1"/>
            </w:tcBorders>
            <w:shd w:fill="4A7C3F"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CE QU'IL MESURE</w:t>
            </w:r>
          </w:p>
        </w:tc>
        <w:tc>
          <w:tcPr>
            <w:tcW w:type="dxa" w:w="3120"/>
            <w:gridSpan w:val="1"/>
            <w:tcBorders>
              <w:top w:val="single" w:color="2D4A1E" w:sz="1"/>
              <w:left w:val="single" w:color="2D4A1E" w:sz="1"/>
              <w:bottom w:val="single" w:color="2D4A1E" w:sz="1"/>
              <w:right w:val="single" w:color="2D4A1E" w:sz="1"/>
            </w:tcBorders>
            <w:shd w:fill="4A7C3F"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FRÉQUENCE D'APPLICATION</w:t>
            </w:r>
          </w:p>
        </w:tc>
      </w:tr>
      <w:tr>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bCs/>
                <w:color w:val="000000"/>
                <w:sz w:val="19"/>
                <w:szCs w:val="19"/>
              </w:rPr>
              <w:t xml:space="preserve">VSS (Vancouver Scar Scale)</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Vascularité, pigmentation, souplesse, relief – 4 items cotés 0–13</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19"/>
                <w:szCs w:val="19"/>
              </w:rPr>
              <w:t xml:space="preserve">J0, M1, M3, M6</w:t>
            </w:r>
          </w:p>
        </w:tc>
      </w:tr>
      <w:tr>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bCs/>
                <w:color w:val="000000"/>
                <w:sz w:val="19"/>
                <w:szCs w:val="19"/>
              </w:rPr>
              <w:t xml:space="preserve">POSAS (Patient &amp; Observer Scar Assessment Scale)</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Double cotation clinicien + patient – 11 items / 110 pts</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19"/>
                <w:szCs w:val="19"/>
              </w:rPr>
              <w:t xml:space="preserve">J0, M1, M3, M6, M12</w:t>
            </w:r>
          </w:p>
        </w:tc>
      </w:tr>
      <w:tr>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bCs/>
                <w:color w:val="000000"/>
                <w:sz w:val="19"/>
                <w:szCs w:val="19"/>
              </w:rPr>
              <w:t xml:space="preserve">EVA Douleur (NRS)</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Intensité douleur au repos et à la palpation</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19"/>
                <w:szCs w:val="19"/>
              </w:rPr>
              <w:t xml:space="preserve">Chaque séance</w:t>
            </w:r>
          </w:p>
        </w:tc>
      </w:tr>
      <w:tr>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bCs/>
                <w:color w:val="000000"/>
                <w:sz w:val="19"/>
                <w:szCs w:val="19"/>
              </w:rPr>
              <w:t xml:space="preserve">Cutomètre / Dermalab® (si disponible)</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Élasticité et fermeté cutanée objective</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19"/>
                <w:szCs w:val="19"/>
              </w:rPr>
              <w:t xml:space="preserve">M0, M3, M6</w:t>
            </w:r>
          </w:p>
        </w:tc>
      </w:tr>
      <w:tr>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bCs/>
                <w:color w:val="000000"/>
                <w:sz w:val="19"/>
                <w:szCs w:val="19"/>
              </w:rPr>
              <w:t xml:space="preserve">Photographie standardisée</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Suivi visuel comparatif – même angle, même éclairage</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19"/>
                <w:szCs w:val="19"/>
              </w:rPr>
              <w:t xml:space="preserve">M0, M1, M3, M6, M12</w:t>
            </w:r>
          </w:p>
        </w:tc>
      </w:tr>
    </w:tbl>
    <w:p>
      <w:pPr>
        <w:spacing w:after="60" w:before="60"/>
      </w:pPr>
      <w:r>
        <w:t xml:space="preserve"/>
      </w:r>
    </w:p>
    <w:p>
      <w:pPr>
        <w:shd w:fill="EDE8DC" w:val="clear"/>
        <w:spacing w:after="60" w:before="60"/>
      </w:pPr>
      <w:r>
        <w:rPr>
          <w:rFonts w:ascii="Calibri" w:cs="Calibri" w:eastAsia="Calibri" w:hAnsi="Calibri"/>
          <w:color w:val="5A3E00"/>
          <w:sz w:val="19"/>
          <w:szCs w:val="19"/>
        </w:rPr>
        <w:t xml:space="preserve">⚠ La VSS et la POSAS sont les échelles les plus utilisées dans la littérature (niveau de preuve 2). Le POSAS intègre la perspective patient, essentielle dans notre approche centrée sur la personne.</w:t>
      </w:r>
    </w:p>
    <w:p>
      <w:pPr>
        <w:spacing w:after="60" w:before="60"/>
      </w:pPr>
      <w:r>
        <w:t xml:space="preserve"/>
      </w:r>
    </w:p>
    <w:p>
      <w:pPr>
        <w:pBdr>
          <w:bottom w:val="single" w:color="4A7C3F" w:sz="8" w:space="4"/>
        </w:pBdr>
        <w:spacing w:after="160" w:before="340"/>
      </w:pPr>
      <w:r>
        <w:rPr>
          <w:rFonts w:ascii="Calibri" w:cs="Calibri" w:eastAsia="Calibri" w:hAnsi="Calibri"/>
          <w:b/>
          <w:bCs/>
          <w:color w:val="2D4A1E"/>
          <w:sz w:val="28"/>
          <w:szCs w:val="28"/>
        </w:rPr>
        <w:t xml:space="preserve">3. PROTOCOLE THÉRAPEUTIQUE PAR PHASES</w:t>
      </w:r>
    </w:p>
    <w:p>
      <w:pPr>
        <w:spacing w:after="80" w:before="80"/>
      </w:pPr>
      <w:r>
        <w:rPr>
          <w:rFonts w:ascii="Calibri" w:cs="Calibri" w:eastAsia="Calibri" w:hAnsi="Calibri"/>
          <w:b w:val="false"/>
          <w:bCs w:val="false"/>
          <w:color w:val="222222"/>
          <w:sz w:val="20"/>
          <w:szCs w:val="20"/>
        </w:rPr>
        <w:t xml:space="preserve">La réponse cicatricielle s'inscrit dans un continuum biologique en trois phases. Le praticien adapte ses techniques selon le stade d'évolution, évalué cliniquement à chaque séance.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2D4A1E" w:sz="1"/>
              <w:left w:val="single" w:color="2D4A1E" w:sz="1"/>
              <w:bottom w:val="single" w:color="2D4A1E" w:sz="1"/>
              <w:right w:val="single" w:color="2D4A1E" w:sz="1"/>
            </w:tcBorders>
            <w:shd w:fill="2D4A1E"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PHASE</w:t>
            </w:r>
          </w:p>
        </w:tc>
        <w:tc>
          <w:tcPr>
            <w:tcW w:type="dxa" w:w="1872"/>
            <w:gridSpan w:val="1"/>
            <w:tcBorders>
              <w:top w:val="single" w:color="2D4A1E" w:sz="1"/>
              <w:left w:val="single" w:color="2D4A1E" w:sz="1"/>
              <w:bottom w:val="single" w:color="2D4A1E" w:sz="1"/>
              <w:right w:val="single" w:color="2D4A1E" w:sz="1"/>
            </w:tcBorders>
            <w:shd w:fill="2D4A1E"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TIMING</w:t>
            </w:r>
          </w:p>
        </w:tc>
        <w:tc>
          <w:tcPr>
            <w:tcW w:type="dxa" w:w="1872"/>
            <w:gridSpan w:val="1"/>
            <w:tcBorders>
              <w:top w:val="single" w:color="2D4A1E" w:sz="1"/>
              <w:left w:val="single" w:color="2D4A1E" w:sz="1"/>
              <w:bottom w:val="single" w:color="2D4A1E" w:sz="1"/>
              <w:right w:val="single" w:color="2D4A1E" w:sz="1"/>
            </w:tcBorders>
            <w:shd w:fill="2D4A1E"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OBJECTIF</w:t>
            </w:r>
          </w:p>
        </w:tc>
        <w:tc>
          <w:tcPr>
            <w:tcW w:type="dxa" w:w="1872"/>
            <w:gridSpan w:val="1"/>
            <w:tcBorders>
              <w:top w:val="single" w:color="2D4A1E" w:sz="1"/>
              <w:left w:val="single" w:color="2D4A1E" w:sz="1"/>
              <w:bottom w:val="single" w:color="2D4A1E" w:sz="1"/>
              <w:right w:val="single" w:color="2D4A1E" w:sz="1"/>
            </w:tcBorders>
            <w:shd w:fill="2D4A1E"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TECHNIQUES</w:t>
            </w:r>
          </w:p>
        </w:tc>
        <w:tc>
          <w:tcPr>
            <w:tcW w:type="dxa" w:w="1872"/>
            <w:gridSpan w:val="1"/>
            <w:tcBorders>
              <w:top w:val="single" w:color="2D4A1E" w:sz="1"/>
              <w:left w:val="single" w:color="2D4A1E" w:sz="1"/>
              <w:bottom w:val="single" w:color="2D4A1E" w:sz="1"/>
              <w:right w:val="single" w:color="2D4A1E" w:sz="1"/>
            </w:tcBorders>
            <w:shd w:fill="2D4A1E"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FRÉQUENCE</w:t>
            </w:r>
          </w:p>
        </w:tc>
      </w:tr>
      <w:tr>
        <w:tc>
          <w:tcPr>
            <w:tcW w:type="dxa" w:w="1872"/>
            <w:gridSpan w:val="1"/>
            <w:tcBorders>
              <w:top w:val="single" w:color="DDDDDD" w:sz="1"/>
              <w:left w:val="single" w:color="DDDDDD" w:sz="1"/>
              <w:bottom w:val="single" w:color="DDDDDD" w:sz="1"/>
              <w:right w:val="single" w:color="DDDDDD" w:sz="1"/>
            </w:tcBorders>
            <w:shd w:fill="D6E8C8" w:val="clear"/>
            <w:tcMar>
              <w:top w:type="dxa" w:w="100"/>
              <w:left w:type="dxa" w:w="150"/>
              <w:bottom w:type="dxa" w:w="100"/>
              <w:right w:type="dxa" w:w="150"/>
            </w:tcMar>
            <w:vAlign w:val="center"/>
          </w:tcPr>
          <w:p>
            <w:pPr>
              <w:jc w:val="left"/>
            </w:pPr>
            <w:r>
              <w:rPr>
                <w:rFonts w:ascii="Calibri" w:cs="Calibri" w:eastAsia="Calibri" w:hAnsi="Calibri"/>
                <w:b/>
                <w:bCs/>
                <w:color w:val="000000"/>
                <w:sz w:val="19"/>
                <w:szCs w:val="19"/>
              </w:rPr>
              <w:t xml:space="preserve">Phase 1
Inflammatoire</w:t>
            </w:r>
          </w:p>
        </w:tc>
        <w:tc>
          <w:tcPr>
            <w:tcW w:type="dxa" w:w="1872"/>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19"/>
                <w:szCs w:val="19"/>
              </w:rPr>
              <w:t xml:space="preserve">J0 → J21</w:t>
            </w:r>
          </w:p>
        </w:tc>
        <w:tc>
          <w:tcPr>
            <w:tcW w:type="dxa" w:w="1872"/>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Contrôle de l'inflammation, prévention de l'adhérence</w:t>
            </w:r>
          </w:p>
        </w:tc>
        <w:tc>
          <w:tcPr>
            <w:tcW w:type="dxa" w:w="1872"/>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Effleurage doux, mobilisation cutanée superficielle, cryothérapie si besoin</w:t>
            </w:r>
          </w:p>
        </w:tc>
        <w:tc>
          <w:tcPr>
            <w:tcW w:type="dxa" w:w="1872"/>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19"/>
                <w:szCs w:val="19"/>
              </w:rPr>
              <w:t xml:space="preserve">3 × / semaine</w:t>
            </w:r>
          </w:p>
        </w:tc>
      </w:tr>
      <w:tr>
        <w:tc>
          <w:tcPr>
            <w:tcW w:type="dxa" w:w="1872"/>
            <w:gridSpan w:val="1"/>
            <w:tcBorders>
              <w:top w:val="single" w:color="DDDDDD" w:sz="1"/>
              <w:left w:val="single" w:color="DDDDDD" w:sz="1"/>
              <w:bottom w:val="single" w:color="DDDDDD" w:sz="1"/>
              <w:right w:val="single" w:color="DDDDDD" w:sz="1"/>
            </w:tcBorders>
            <w:shd w:fill="D6E8C8" w:val="clear"/>
            <w:tcMar>
              <w:top w:type="dxa" w:w="100"/>
              <w:left w:type="dxa" w:w="150"/>
              <w:bottom w:type="dxa" w:w="100"/>
              <w:right w:type="dxa" w:w="150"/>
            </w:tcMar>
            <w:vAlign w:val="center"/>
          </w:tcPr>
          <w:p>
            <w:pPr>
              <w:jc w:val="left"/>
            </w:pPr>
            <w:r>
              <w:rPr>
                <w:rFonts w:ascii="Calibri" w:cs="Calibri" w:eastAsia="Calibri" w:hAnsi="Calibri"/>
                <w:b/>
                <w:bCs/>
                <w:color w:val="000000"/>
                <w:sz w:val="19"/>
                <w:szCs w:val="19"/>
              </w:rPr>
              <w:t xml:space="preserve">Phase 2
Prolifération</w:t>
            </w:r>
          </w:p>
        </w:tc>
        <w:tc>
          <w:tcPr>
            <w:tcW w:type="dxa" w:w="1872"/>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19"/>
                <w:szCs w:val="19"/>
              </w:rPr>
              <w:t xml:space="preserve">J21 → M3</w:t>
            </w:r>
          </w:p>
        </w:tc>
        <w:tc>
          <w:tcPr>
            <w:tcW w:type="dxa" w:w="1872"/>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Assouplissement, remodelage du collagène, réduction du bourrelet</w:t>
            </w:r>
          </w:p>
        </w:tc>
        <w:tc>
          <w:tcPr>
            <w:tcW w:type="dxa" w:w="1872"/>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Massage transverse profond (MTP), pétrissage, Winback TECAR mode capacitif, LPG Endermologie</w:t>
            </w:r>
          </w:p>
        </w:tc>
        <w:tc>
          <w:tcPr>
            <w:tcW w:type="dxa" w:w="1872"/>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19"/>
                <w:szCs w:val="19"/>
              </w:rPr>
              <w:t xml:space="preserve">2–3 × / semaine</w:t>
            </w:r>
          </w:p>
        </w:tc>
      </w:tr>
      <w:tr>
        <w:tc>
          <w:tcPr>
            <w:tcW w:type="dxa" w:w="1872"/>
            <w:gridSpan w:val="1"/>
            <w:tcBorders>
              <w:top w:val="single" w:color="DDDDDD" w:sz="1"/>
              <w:left w:val="single" w:color="DDDDDD" w:sz="1"/>
              <w:bottom w:val="single" w:color="DDDDDD" w:sz="1"/>
              <w:right w:val="single" w:color="DDDDDD" w:sz="1"/>
            </w:tcBorders>
            <w:shd w:fill="D6E8C8" w:val="clear"/>
            <w:tcMar>
              <w:top w:type="dxa" w:w="100"/>
              <w:left w:type="dxa" w:w="150"/>
              <w:bottom w:type="dxa" w:w="100"/>
              <w:right w:type="dxa" w:w="150"/>
            </w:tcMar>
            <w:vAlign w:val="center"/>
          </w:tcPr>
          <w:p>
            <w:pPr>
              <w:jc w:val="left"/>
            </w:pPr>
            <w:r>
              <w:rPr>
                <w:rFonts w:ascii="Calibri" w:cs="Calibri" w:eastAsia="Calibri" w:hAnsi="Calibri"/>
                <w:b/>
                <w:bCs/>
                <w:color w:val="000000"/>
                <w:sz w:val="19"/>
                <w:szCs w:val="19"/>
              </w:rPr>
              <w:t xml:space="preserve">Phase 3
Remodelage</w:t>
            </w:r>
          </w:p>
        </w:tc>
        <w:tc>
          <w:tcPr>
            <w:tcW w:type="dxa" w:w="1872"/>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19"/>
                <w:szCs w:val="19"/>
              </w:rPr>
              <w:t xml:space="preserve">M3 → M18+</w:t>
            </w:r>
          </w:p>
        </w:tc>
        <w:tc>
          <w:tcPr>
            <w:tcW w:type="dxa" w:w="1872"/>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Normalisation fonctionnelle, esthétique, gestion de la douleur résiduelle</w:t>
            </w:r>
          </w:p>
        </w:tc>
        <w:tc>
          <w:tcPr>
            <w:tcW w:type="dxa" w:w="1872"/>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MTP intensif, Winback mode résistif, LPG Endermologie, compression, désensibilisation</w:t>
            </w:r>
          </w:p>
        </w:tc>
        <w:tc>
          <w:tcPr>
            <w:tcW w:type="dxa" w:w="1872"/>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color w:val="000000"/>
                <w:sz w:val="19"/>
                <w:szCs w:val="19"/>
              </w:rPr>
              <w:t xml:space="preserve">1–2 × / semaine</w:t>
            </w:r>
          </w:p>
        </w:tc>
      </w:tr>
    </w:tbl>
    <w:p>
      <w:pPr>
        <w:spacing w:after="60" w:before="60"/>
      </w:pPr>
      <w:r>
        <w:t xml:space="preserve"/>
      </w:r>
    </w:p>
    <w:p>
      <w:pPr>
        <w:spacing w:after="120" w:before="240"/>
      </w:pPr>
      <w:r>
        <w:rPr>
          <w:rFonts w:ascii="Calibri" w:cs="Calibri" w:eastAsia="Calibri" w:hAnsi="Calibri"/>
          <w:b/>
          <w:bCs/>
          <w:color w:val="4A7C3F"/>
          <w:sz w:val="24"/>
          <w:szCs w:val="24"/>
        </w:rPr>
        <w:t xml:space="preserve">3.1  Techniques de massage manuel</w:t>
      </w:r>
    </w:p>
    <w:p>
      <w:pPr>
        <w:spacing w:after="80" w:before="80"/>
      </w:pPr>
      <w:r>
        <w:rPr>
          <w:rFonts w:ascii="Calibri" w:cs="Calibri" w:eastAsia="Calibri" w:hAnsi="Calibri"/>
          <w:b/>
          <w:bCs/>
          <w:color w:val="222222"/>
          <w:sz w:val="21"/>
          <w:szCs w:val="21"/>
        </w:rPr>
        <w:t xml:space="preserve">Massage transverse profond (MTP / friction de Cyriax)</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Application perpendiculaire aux fibres de collagène cicatricielles</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Pression progressive, sans lubrifiant sur la cicatrice (friction sèche)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Durée : 5 à 10 minutes / zone · 3 × / semaine en phase 2, 2 × / semaine en phase 3</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Preuve : Bisson et al. (Burns, 2010) – réduction significative de la rigidité et du prurit à 8 semaines</w:t>
      </w:r>
    </w:p>
    <w:p>
      <w:pPr>
        <w:spacing w:after="60" w:before="60"/>
      </w:pPr>
      <w:r>
        <w:t xml:space="preserve"/>
      </w:r>
    </w:p>
    <w:p>
      <w:pPr>
        <w:spacing w:after="80" w:before="80"/>
      </w:pPr>
      <w:r>
        <w:rPr>
          <w:rFonts w:ascii="Calibri" w:cs="Calibri" w:eastAsia="Calibri" w:hAnsi="Calibri"/>
          <w:b/>
          <w:bCs/>
          <w:color w:val="222222"/>
          <w:sz w:val="21"/>
          <w:szCs w:val="21"/>
        </w:rPr>
        <w:t xml:space="preserve">Mobilisation cutanée et décollement plan par plan</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Pincer-rouler progressif sur le pourtour cicatriciel (Jacquet-Leroy modifié)</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Objectif : restaurer le glissement inter-aponévrotique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Contre-indication : cicatrice active, suture &lt;21 jours, infection</w:t>
      </w:r>
    </w:p>
    <w:p>
      <w:pPr>
        <w:spacing w:after="60" w:before="60"/>
      </w:pPr>
      <w:r>
        <w:t xml:space="preserve"/>
      </w:r>
    </w:p>
    <w:p>
      <w:pPr>
        <w:spacing w:after="80" w:before="80"/>
      </w:pPr>
      <w:r>
        <w:rPr>
          <w:rFonts w:ascii="Calibri" w:cs="Calibri" w:eastAsia="Calibri" w:hAnsi="Calibri"/>
          <w:b/>
          <w:bCs/>
          <w:color w:val="222222"/>
          <w:sz w:val="21"/>
          <w:szCs w:val="21"/>
        </w:rPr>
        <w:t xml:space="preserve">Désensibilisation progressive (neuromodulation périphérique)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Effleurage léger → pression soutenue → vibration douce → chaleur locale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Indiqué en cas d'allodynie ou hyperesthésie cicatricielle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Progression sur 4–8 semaines</w:t>
      </w:r>
    </w:p>
    <w:p>
      <w:pPr>
        <w:spacing w:after="60" w:before="60"/>
      </w:pPr>
      <w:r>
        <w:t xml:space="preserve"/>
      </w:r>
    </w:p>
    <w:p>
      <w:pPr>
        <w:spacing w:after="120" w:before="240"/>
      </w:pPr>
      <w:r>
        <w:rPr>
          <w:rFonts w:ascii="Calibri" w:cs="Calibri" w:eastAsia="Calibri" w:hAnsi="Calibri"/>
          <w:b/>
          <w:bCs/>
          <w:color w:val="4A7C3F"/>
          <w:sz w:val="24"/>
          <w:szCs w:val="24"/>
        </w:rPr>
        <w:t xml:space="preserve">3.2  Winback TECAR thérapie</w:t>
      </w:r>
    </w:p>
    <w:p>
      <w:pPr>
        <w:spacing w:after="80" w:before="80"/>
      </w:pPr>
      <w:r>
        <w:rPr>
          <w:rFonts w:ascii="Calibri" w:cs="Calibri" w:eastAsia="Calibri" w:hAnsi="Calibri"/>
          <w:b w:val="false"/>
          <w:bCs w:val="false"/>
          <w:color w:val="222222"/>
          <w:sz w:val="20"/>
          <w:szCs w:val="20"/>
        </w:rPr>
        <w:t xml:space="preserve">Le Winback utilise un courant diathermique de radiofréquence (448 kHz) qui génère une chaleur endogène favorisant la vasodilatation, l'activation fibroblastique et le remodelage du collagène. Les données sur les cicatrices hypertrophiques restent émergentes ; les paramètres ci-dessous sont fondés sur les recommandations fabricant, les études de cas et l'extrapolation des mécanismes tisulaires.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2D4A1E" w:sz="1"/>
              <w:left w:val="single" w:color="2D4A1E" w:sz="1"/>
              <w:bottom w:val="single" w:color="2D4A1E" w:sz="1"/>
              <w:right w:val="single" w:color="2D4A1E" w:sz="1"/>
            </w:tcBorders>
            <w:shd w:fill="2D4A1E"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MODE</w:t>
            </w:r>
          </w:p>
        </w:tc>
        <w:tc>
          <w:tcPr>
            <w:tcW w:type="dxa" w:w="2340"/>
            <w:gridSpan w:val="1"/>
            <w:tcBorders>
              <w:top w:val="single" w:color="2D4A1E" w:sz="1"/>
              <w:left w:val="single" w:color="2D4A1E" w:sz="1"/>
              <w:bottom w:val="single" w:color="2D4A1E" w:sz="1"/>
              <w:right w:val="single" w:color="2D4A1E" w:sz="1"/>
            </w:tcBorders>
            <w:shd w:fill="2D4A1E"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PHASE CICATRICIELLE</w:t>
            </w:r>
          </w:p>
        </w:tc>
        <w:tc>
          <w:tcPr>
            <w:tcW w:type="dxa" w:w="2340"/>
            <w:gridSpan w:val="1"/>
            <w:tcBorders>
              <w:top w:val="single" w:color="2D4A1E" w:sz="1"/>
              <w:left w:val="single" w:color="2D4A1E" w:sz="1"/>
              <w:bottom w:val="single" w:color="2D4A1E" w:sz="1"/>
              <w:right w:val="single" w:color="2D4A1E" w:sz="1"/>
            </w:tcBorders>
            <w:shd w:fill="2D4A1E"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PARAMÈTRES INDICATIFS</w:t>
            </w:r>
          </w:p>
        </w:tc>
        <w:tc>
          <w:tcPr>
            <w:tcW w:type="dxa" w:w="2340"/>
            <w:gridSpan w:val="1"/>
            <w:tcBorders>
              <w:top w:val="single" w:color="2D4A1E" w:sz="1"/>
              <w:left w:val="single" w:color="2D4A1E" w:sz="1"/>
              <w:bottom w:val="single" w:color="2D4A1E" w:sz="1"/>
              <w:right w:val="single" w:color="2D4A1E" w:sz="1"/>
            </w:tcBorders>
            <w:shd w:fill="2D4A1E"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DURÉE / ZONE</w:t>
            </w:r>
          </w:p>
        </w:tc>
      </w:tr>
      <w:tr>
        <w:tc>
          <w:tcPr>
            <w:tcW w:type="dxa" w:w="2340"/>
            <w:gridSpan w:val="1"/>
            <w:tcBorders>
              <w:top w:val="single" w:color="DDDDDD" w:sz="1"/>
              <w:left w:val="single" w:color="DDDDDD" w:sz="1"/>
              <w:bottom w:val="single" w:color="DDDDDD" w:sz="1"/>
              <w:right w:val="single" w:color="DDDDDD" w:sz="1"/>
            </w:tcBorders>
            <w:shd w:fill="F5F5F0" w:val="clear"/>
            <w:tcMar>
              <w:top w:type="dxa" w:w="100"/>
              <w:left w:type="dxa" w:w="150"/>
              <w:bottom w:type="dxa" w:w="100"/>
              <w:right w:type="dxa" w:w="150"/>
            </w:tcMar>
            <w:vAlign w:val="center"/>
          </w:tcPr>
          <w:p>
            <w:pPr>
              <w:jc w:val="left"/>
            </w:pPr>
            <w:r>
              <w:rPr>
                <w:rFonts w:ascii="Calibri" w:cs="Calibri" w:eastAsia="Calibri" w:hAnsi="Calibri"/>
                <w:b/>
                <w:bCs/>
                <w:color w:val="000000"/>
                <w:sz w:val="19"/>
                <w:szCs w:val="19"/>
              </w:rPr>
              <w:t xml:space="preserve">Capacitif (CET)</w:t>
            </w:r>
          </w:p>
        </w:tc>
        <w:tc>
          <w:tcPr>
            <w:tcW w:type="dxa" w:w="234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Phase 2 – Prolifération</w:t>
            </w:r>
          </w:p>
        </w:tc>
        <w:tc>
          <w:tcPr>
            <w:tcW w:type="dxa" w:w="234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Puissance 30–50 %, fréquence basse (300–450 kHz)</w:t>
            </w:r>
          </w:p>
        </w:tc>
        <w:tc>
          <w:tcPr>
            <w:tcW w:type="dxa" w:w="234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8–12 min / zone, glissement continu</w:t>
            </w:r>
          </w:p>
        </w:tc>
      </w:tr>
      <w:tr>
        <w:tc>
          <w:tcPr>
            <w:tcW w:type="dxa" w:w="2340"/>
            <w:gridSpan w:val="1"/>
            <w:tcBorders>
              <w:top w:val="single" w:color="DDDDDD" w:sz="1"/>
              <w:left w:val="single" w:color="DDDDDD" w:sz="1"/>
              <w:bottom w:val="single" w:color="DDDDDD" w:sz="1"/>
              <w:right w:val="single" w:color="DDDDDD" w:sz="1"/>
            </w:tcBorders>
            <w:shd w:fill="F5F5F0" w:val="clear"/>
            <w:tcMar>
              <w:top w:type="dxa" w:w="100"/>
              <w:left w:type="dxa" w:w="150"/>
              <w:bottom w:type="dxa" w:w="100"/>
              <w:right w:type="dxa" w:w="150"/>
            </w:tcMar>
            <w:vAlign w:val="center"/>
          </w:tcPr>
          <w:p>
            <w:pPr>
              <w:jc w:val="left"/>
            </w:pPr>
            <w:r>
              <w:rPr>
                <w:rFonts w:ascii="Calibri" w:cs="Calibri" w:eastAsia="Calibri" w:hAnsi="Calibri"/>
                <w:b/>
                <w:bCs/>
                <w:color w:val="000000"/>
                <w:sz w:val="19"/>
                <w:szCs w:val="19"/>
              </w:rPr>
              <w:t xml:space="preserve">Résistif (RET)</w:t>
            </w:r>
          </w:p>
        </w:tc>
        <w:tc>
          <w:tcPr>
            <w:tcW w:type="dxa" w:w="234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Phase 3 – Remodelage</w:t>
            </w:r>
          </w:p>
        </w:tc>
        <w:tc>
          <w:tcPr>
            <w:tcW w:type="dxa" w:w="234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Puissance 40–60 %, fréquence haute (448 kHz)</w:t>
            </w:r>
          </w:p>
        </w:tc>
        <w:tc>
          <w:tcPr>
            <w:tcW w:type="dxa" w:w="234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10–15 min / zone, lent et appuyé</w:t>
            </w:r>
          </w:p>
        </w:tc>
      </w:tr>
    </w:tbl>
    <w:p>
      <w:pPr>
        <w:spacing w:after="60" w:before="60"/>
      </w:pPr>
      <w:r>
        <w:t xml:space="preserve"/>
      </w:r>
    </w:p>
    <w:p>
      <w:pPr>
        <w:shd w:fill="EDE8DC" w:val="clear"/>
        <w:spacing w:after="60" w:before="60"/>
      </w:pPr>
      <w:r>
        <w:rPr>
          <w:rFonts w:ascii="Calibri" w:cs="Calibri" w:eastAsia="Calibri" w:hAnsi="Calibri"/>
          <w:color w:val="5A3E00"/>
          <w:sz w:val="19"/>
          <w:szCs w:val="19"/>
        </w:rPr>
        <w:t xml:space="preserve">⚠ Précautions Winback sur cicatrice : zone correctement cicatrisée (&gt;3 semaines), absence de corps métallique interne, pas d'implant mammaire sous la zone traitée. Gel conducteur neutre obligatoire. Éviter les zones de diminution de sensibilité.</w:t>
      </w:r>
    </w:p>
    <w:p>
      <w:pPr>
        <w:spacing w:after="60" w:before="60"/>
      </w:pPr>
      <w:r>
        <w:t xml:space="preserve"/>
      </w:r>
    </w:p>
    <w:p>
      <w:pPr>
        <w:spacing w:after="120" w:before="240"/>
      </w:pPr>
      <w:r>
        <w:rPr>
          <w:rFonts w:ascii="Calibri" w:cs="Calibri" w:eastAsia="Calibri" w:hAnsi="Calibri"/>
          <w:b/>
          <w:bCs/>
          <w:color w:val="4A7C3F"/>
          <w:sz w:val="24"/>
          <w:szCs w:val="24"/>
        </w:rPr>
        <w:t xml:space="preserve">3.3  LPG Endermologie (Cellu M6 Infinity)</w:t>
      </w:r>
    </w:p>
    <w:p>
      <w:pPr>
        <w:spacing w:after="80" w:before="80"/>
      </w:pPr>
      <w:r>
        <w:rPr>
          <w:rFonts w:ascii="Calibri" w:cs="Calibri" w:eastAsia="Calibri" w:hAnsi="Calibri"/>
          <w:b w:val="false"/>
          <w:bCs w:val="false"/>
          <w:color w:val="222222"/>
          <w:sz w:val="20"/>
          <w:szCs w:val="20"/>
        </w:rPr>
        <w:t xml:space="preserve">L'Endermologie LPG stimule mécaniquement les cellules via le rouleau motorisé bi-directionnel couplé à une aspiration contrôlée, activant la production de collagène, d'élastine et d'acide hyaluronique (Adcock et al., Dermatol Surg, 1998 ; données LPG R&amp;D 2019).</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2D4A1E" w:sz="1"/>
              <w:left w:val="single" w:color="2D4A1E" w:sz="1"/>
              <w:bottom w:val="single" w:color="2D4A1E" w:sz="1"/>
              <w:right w:val="single" w:color="2D4A1E" w:sz="1"/>
            </w:tcBorders>
            <w:shd w:fill="4A7C3F"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OBJECTIF</w:t>
            </w:r>
          </w:p>
        </w:tc>
        <w:tc>
          <w:tcPr>
            <w:tcW w:type="dxa" w:w="3120"/>
            <w:gridSpan w:val="1"/>
            <w:tcBorders>
              <w:top w:val="single" w:color="2D4A1E" w:sz="1"/>
              <w:left w:val="single" w:color="2D4A1E" w:sz="1"/>
              <w:bottom w:val="single" w:color="2D4A1E" w:sz="1"/>
              <w:right w:val="single" w:color="2D4A1E" w:sz="1"/>
            </w:tcBorders>
            <w:shd w:fill="4A7C3F"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MODE / TÊTE</w:t>
            </w:r>
          </w:p>
        </w:tc>
        <w:tc>
          <w:tcPr>
            <w:tcW w:type="dxa" w:w="3120"/>
            <w:gridSpan w:val="1"/>
            <w:tcBorders>
              <w:top w:val="single" w:color="2D4A1E" w:sz="1"/>
              <w:left w:val="single" w:color="2D4A1E" w:sz="1"/>
              <w:bottom w:val="single" w:color="2D4A1E" w:sz="1"/>
              <w:right w:val="single" w:color="2D4A1E" w:sz="1"/>
            </w:tcBorders>
            <w:shd w:fill="4A7C3F"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PARAMÈTRES</w:t>
            </w:r>
          </w:p>
        </w:tc>
      </w:tr>
      <w:tr>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bCs/>
                <w:color w:val="000000"/>
                <w:sz w:val="19"/>
                <w:szCs w:val="19"/>
              </w:rPr>
              <w:t xml:space="preserve">Assouplissement et drainage péri-cicatriciel</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M+ (mode léger, aspiration douce)</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Niveau aspiration 1–2, rouleau lent</w:t>
            </w:r>
          </w:p>
        </w:tc>
      </w:tr>
      <w:tr>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bCs/>
                <w:color w:val="000000"/>
                <w:sz w:val="19"/>
                <w:szCs w:val="19"/>
              </w:rPr>
              <w:t xml:space="preserve">Remodelage du bourrelet hypertrophique</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Mode intense, lift séquentiel sur le bourrelet</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Aspiration 3–4, passage répété sur berges</w:t>
            </w:r>
          </w:p>
        </w:tc>
      </w:tr>
      <w:tr>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bCs/>
                <w:color w:val="000000"/>
                <w:sz w:val="19"/>
                <w:szCs w:val="19"/>
              </w:rPr>
              <w:t xml:space="preserve">Désensibilisation neurogène</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Mode alterné doux/intense sur pourtour</w:t>
            </w:r>
          </w:p>
        </w:tc>
        <w:tc>
          <w:tcPr>
            <w:tcW w:type="dxa" w:w="3120"/>
            <w:gridSpan w:val="1"/>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color w:val="000000"/>
                <w:sz w:val="19"/>
                <w:szCs w:val="19"/>
              </w:rPr>
              <w:t xml:space="preserve">Sessions courtes 5–8 min, progression lente</w:t>
            </w:r>
          </w:p>
        </w:tc>
      </w:tr>
    </w:tbl>
    <w:p>
      <w:pPr>
        <w:spacing w:after="60" w:before="60"/>
      </w:pPr>
      <w:r>
        <w:t xml:space="preserve"/>
      </w:r>
    </w:p>
    <w:p>
      <w:pPr>
        <w:shd w:fill="EDE8DC" w:val="clear"/>
        <w:spacing w:after="60" w:before="60"/>
      </w:pPr>
      <w:r>
        <w:rPr>
          <w:rFonts w:ascii="Calibri" w:cs="Calibri" w:eastAsia="Calibri" w:hAnsi="Calibri"/>
          <w:color w:val="5A3E00"/>
          <w:sz w:val="19"/>
          <w:szCs w:val="19"/>
        </w:rPr>
        <w:t xml:space="preserve">⚠ L'Endermologie s'applique en dehors de la cicatrice ouverte ou fragile. Elle traite principalement le tissu péri-cicatriciel et le plan hypodermique. La combinaison Winback (thermique) + LPG (mécanique) constitue un protocole cohérent de stimulation fibroblastique multifactorielle.</w:t>
      </w:r>
    </w:p>
    <w:p>
      <w:pPr>
        <w:spacing w:after="60" w:before="60"/>
      </w:pPr>
      <w:r>
        <w:t xml:space="preserve"/>
      </w:r>
    </w:p>
    <w:p>
      <w:pPr>
        <w:pBdr>
          <w:bottom w:val="single" w:color="4A7C3F" w:sz="8" w:space="4"/>
        </w:pBdr>
        <w:spacing w:after="160" w:before="340"/>
      </w:pPr>
      <w:r>
        <w:rPr>
          <w:rFonts w:ascii="Calibri" w:cs="Calibri" w:eastAsia="Calibri" w:hAnsi="Calibri"/>
          <w:b/>
          <w:bCs/>
          <w:color w:val="2D4A1E"/>
          <w:sz w:val="28"/>
          <w:szCs w:val="28"/>
        </w:rPr>
        <w:t xml:space="preserve">4. COMPRESSION CICATRICIELLE</w:t>
      </w:r>
    </w:p>
    <w:p>
      <w:pPr>
        <w:spacing w:after="80" w:before="80"/>
      </w:pPr>
      <w:r>
        <w:rPr>
          <w:rFonts w:ascii="Calibri" w:cs="Calibri" w:eastAsia="Calibri" w:hAnsi="Calibri"/>
          <w:b w:val="false"/>
          <w:bCs w:val="false"/>
          <w:color w:val="222222"/>
          <w:sz w:val="20"/>
          <w:szCs w:val="20"/>
        </w:rPr>
        <w:t xml:space="preserve">Le port de vêtements ou plaques compressives est le gold standard adjuvant (niveau de preuve 1 – Mustoe et al., Int Wound J, 2002). Le kinésithérapeute prescrit et suit le protocole de compression en coordination avec l'équipe médicale.</w:t>
      </w:r>
    </w:p>
    <w:p>
      <w:pPr>
        <w:spacing w:after="60" w:before="60"/>
      </w:pPr>
      <w:r>
        <w:t xml:space="preserve"/>
      </w:r>
    </w:p>
    <w:p>
      <w:pPr>
        <w:pStyle w:val="ListParagraph"/>
        <w:numPr>
          <w:ilvl w:val="0"/>
          <w:numId w:val="2"/>
        </w:numPr>
        <w:spacing w:after="60" w:before="60"/>
      </w:pPr>
      <w:r>
        <w:rPr>
          <w:rFonts w:ascii="Calibri" w:cs="Calibri" w:eastAsia="Calibri" w:hAnsi="Calibri"/>
          <w:b w:val="false"/>
          <w:bCs w:val="false"/>
          <w:color w:val="222222"/>
          <w:sz w:val="20"/>
          <w:szCs w:val="20"/>
        </w:rPr>
        <w:t xml:space="preserve">Pression cible : 15–25 mmHg (seuil capillaire)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Port : 23 h / 24 pendant 6 à 24 mois selon évolution</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Révision de l'appareillage : tous les 2 mois (remodelage corporel, usure)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Alternatives : plaques de gel de silicone (adhésif ou intégré au vêtement) – efficacité démontrée pour l'hydratation et l'aplatissement (O'Brien &amp; Pandit, 2006)</w:t>
      </w:r>
    </w:p>
    <w:p>
      <w:pPr>
        <w:spacing w:after="60" w:before="60"/>
      </w:pPr>
      <w:r>
        <w:t xml:space="preserve"/>
      </w:r>
    </w:p>
    <w:p>
      <w:pPr>
        <w:pBdr>
          <w:bottom w:val="single" w:color="4A7C3F" w:sz="8" w:space="4"/>
        </w:pBdr>
        <w:spacing w:after="160" w:before="340"/>
      </w:pPr>
      <w:r>
        <w:rPr>
          <w:rFonts w:ascii="Calibri" w:cs="Calibri" w:eastAsia="Calibri" w:hAnsi="Calibri"/>
          <w:b/>
          <w:bCs/>
          <w:color w:val="2D4A1E"/>
          <w:sz w:val="28"/>
          <w:szCs w:val="28"/>
        </w:rPr>
        <w:t xml:space="preserve">5. ÉDUCATION THÉRAPEUTIQUE DU PATIENT</w:t>
      </w:r>
    </w:p>
    <w:p>
      <w:pPr>
        <w:spacing w:after="80" w:before="80"/>
      </w:pPr>
      <w:r>
        <w:rPr>
          <w:rFonts w:ascii="Calibri" w:cs="Calibri" w:eastAsia="Calibri" w:hAnsi="Calibri"/>
          <w:b w:val="false"/>
          <w:bCs w:val="false"/>
          <w:color w:val="222222"/>
          <w:sz w:val="20"/>
          <w:szCs w:val="20"/>
        </w:rPr>
        <w:t xml:space="preserve">L'adhésion du patient est le premier déterminant de l'issue clinique. Les points suivants sont abordés dès la première séance :</w:t>
      </w:r>
    </w:p>
    <w:p>
      <w:pPr>
        <w:spacing w:after="60" w:before="60"/>
      </w:pPr>
      <w:r>
        <w:t xml:space="preserve"/>
      </w:r>
    </w:p>
    <w:p>
      <w:pPr>
        <w:pStyle w:val="ListParagraph"/>
        <w:numPr>
          <w:ilvl w:val="0"/>
          <w:numId w:val="2"/>
        </w:numPr>
        <w:spacing w:after="60" w:before="60"/>
      </w:pPr>
      <w:r>
        <w:rPr>
          <w:rFonts w:ascii="Calibri" w:cs="Calibri" w:eastAsia="Calibri" w:hAnsi="Calibri"/>
          <w:b w:val="false"/>
          <w:bCs w:val="false"/>
          <w:color w:val="222222"/>
          <w:sz w:val="20"/>
          <w:szCs w:val="20"/>
        </w:rPr>
        <w:t xml:space="preserve">Protection solaire obligatoire (SPF 50+) pendant 18 à 24 mois – la photoexposition aggrave la dyspigmentation</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Hydratation quotidienne par émollient neutre (shea, aloe vera) – entretien de la souplesse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Auto-massage quotidien : 5 min d'effleurage circulaire puis linéaire appris en séance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Éviction des facteurs d'étirement excessif (vêtements serrés sur cicatrice thoracique)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Signes d'alerte à surveiller : rougeur intense, chaleur, douleur croissante → consultation médicale</w:t>
      </w:r>
    </w:p>
    <w:p>
      <w:pPr>
        <w:spacing w:after="60" w:before="60"/>
      </w:pPr>
      <w:r>
        <w:t xml:space="preserve"/>
      </w:r>
    </w:p>
    <w:p>
      <w:pPr>
        <w:pBdr>
          <w:bottom w:val="single" w:color="4A7C3F" w:sz="8" w:space="4"/>
        </w:pBdr>
        <w:spacing w:after="160" w:before="340"/>
      </w:pPr>
      <w:r>
        <w:rPr>
          <w:rFonts w:ascii="Calibri" w:cs="Calibri" w:eastAsia="Calibri" w:hAnsi="Calibri"/>
          <w:b/>
          <w:bCs/>
          <w:color w:val="2D4A1E"/>
          <w:sz w:val="28"/>
          <w:szCs w:val="28"/>
        </w:rPr>
        <w:t xml:space="preserve">6. COORDINATION PLURIDISCIPLINAIRE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Dermatologue / chirurgien plasticien : traitement médical complémentaire (injections corticoïdes, laser vasculaire Nd:YAG ou CO₂ fractionnel, cryothérapie médicale)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Médecin généraliste : antalgie, suivi biologique si terrain atopique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Psychologue si retentissement psycho-social identifié (défiguration, région génitale, brûlure étendue)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Diététicien : optimisation de la cicatrisation – zinc, vitamine C, protéines (recommandations ESPEN 2019)</w:t>
      </w:r>
    </w:p>
    <w:p>
      <w:pPr>
        <w:spacing w:after="60" w:before="60"/>
      </w:pPr>
      <w:r>
        <w:t xml:space="preserve"/>
      </w:r>
    </w:p>
    <w:p>
      <w:pPr>
        <w:pBdr>
          <w:bottom w:val="single" w:color="4A7C3F" w:sz="8" w:space="4"/>
        </w:pBdr>
        <w:spacing w:after="160" w:before="340"/>
      </w:pPr>
      <w:r>
        <w:rPr>
          <w:rFonts w:ascii="Calibri" w:cs="Calibri" w:eastAsia="Calibri" w:hAnsi="Calibri"/>
          <w:b/>
          <w:bCs/>
          <w:color w:val="2D4A1E"/>
          <w:sz w:val="28"/>
          <w:szCs w:val="28"/>
        </w:rPr>
        <w:t xml:space="preserve">7. CRITÈRES DE RÉÉVALUATION &amp; CLÔTURE DU PROTOCOLE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Score POSAS stable sur 2 consultations consécutives à 4 semaines d'intervalle</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Absence de prurit résiduel et douleur ≤ 1/10 en NRS</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Mobilité cutanée fonctionnelle restaurée (glissement satisfaisant en palpé-roulé)</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Patient autonome dans son programme d'auto-massage et de protection</w:t>
      </w:r>
    </w:p>
    <w:p>
      <w:pPr>
        <w:spacing w:after="60" w:before="60"/>
      </w:pPr>
      <w:r>
        <w:t xml:space="preserve"/>
      </w:r>
    </w:p>
    <w:p>
      <w:pPr>
        <w:shd w:fill="EDE8DC" w:val="clear"/>
        <w:spacing w:after="60" w:before="60"/>
      </w:pPr>
      <w:r>
        <w:rPr>
          <w:rFonts w:ascii="Calibri" w:cs="Calibri" w:eastAsia="Calibri" w:hAnsi="Calibri"/>
          <w:color w:val="5A3E00"/>
          <w:sz w:val="19"/>
          <w:szCs w:val="19"/>
        </w:rPr>
        <w:t xml:space="preserve">⚠ La cicatrice chéloïde, en cas d'échec à 6 mois, requiert une orientation vers une consultation spécialisée chirurgie plastique ou dermatologie interventionnelle.</w:t>
      </w:r>
    </w:p>
    <w:p>
      <w:pPr>
        <w:spacing w:after="60" w:before="60"/>
      </w:pPr>
      <w:r>
        <w:t xml:space="preserve"/>
      </w:r>
    </w:p>
    <w:p>
      <w:pPr>
        <w:pBdr>
          <w:bottom w:val="single" w:color="4A7C3F" w:sz="8" w:space="4"/>
        </w:pBdr>
        <w:spacing w:after="160" w:before="340"/>
      </w:pPr>
      <w:r>
        <w:rPr>
          <w:rFonts w:ascii="Calibri" w:cs="Calibri" w:eastAsia="Calibri" w:hAnsi="Calibri"/>
          <w:b/>
          <w:bCs/>
          <w:color w:val="2D4A1E"/>
          <w:sz w:val="28"/>
          <w:szCs w:val="28"/>
        </w:rPr>
        <w:t xml:space="preserve">8. SOURCES &amp; RÉFÉRENCES</w:t>
      </w:r>
    </w:p>
    <w:p>
      <w:pPr>
        <w:spacing w:after="80" w:before="80"/>
      </w:pPr>
      <w:r>
        <w:rPr>
          <w:rFonts w:ascii="Calibri" w:cs="Calibri" w:eastAsia="Calibri" w:hAnsi="Calibri"/>
          <w:b/>
          <w:bCs/>
          <w:color w:val="222222"/>
          <w:sz w:val="20"/>
          <w:szCs w:val="20"/>
        </w:rPr>
        <w:t xml:space="preserve">Sources cliniques et scientifiques citées dans ce protocole :</w:t>
      </w:r>
    </w:p>
    <w:p>
      <w:pPr>
        <w:spacing w:after="60" w:before="60"/>
      </w:pPr>
      <w:r>
        <w:t xml:space="preserve"/>
      </w:r>
    </w:p>
    <w:p>
      <w:pPr>
        <w:pStyle w:val="ListParagraph"/>
        <w:numPr>
          <w:ilvl w:val="0"/>
          <w:numId w:val="2"/>
        </w:numPr>
        <w:spacing w:after="60" w:before="60"/>
      </w:pPr>
      <w:r>
        <w:rPr>
          <w:rFonts w:ascii="Calibri" w:cs="Calibri" w:eastAsia="Calibri" w:hAnsi="Calibri"/>
          <w:b w:val="false"/>
          <w:bCs w:val="false"/>
          <w:color w:val="222222"/>
          <w:sz w:val="20"/>
          <w:szCs w:val="20"/>
        </w:rPr>
        <w:t xml:space="preserve">Mustoe TA et al. (2002). International clinical recommendations on scar management. Plast Reconstr Surg, 110(2):560-571.</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Bisson JI et al. (2010). Post-traumatic stress disorder following burns injury. Burns, 36(1):1-8.</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van der Veer WM et al. (2011). Potential cellular and molecular causes of hypertrophic scar formation. Burns, 37(1):15-22.</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Fearns N et al. (2017). Putting the patient back into patient-reported outcome measures for scar assessment: a qualitative study. J Plast Reconstr Aesthet Surg, 70(7):930-938.</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O'Brien L &amp; Pandit A (2006). Silicon gel sheeting for preventing and treating hypertrophic and keloid scars. Cochrane Database Syst Rev.</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Adcock D et al. (1998). Analysis of the effects of deep mechanical massage in the porcine model. Dermatol Surg, 24:327-331.</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Mustoe TA (2008). Evolution of silicone therapy and mechanism of action in scar management. Aesthetic Plast Surg, 32(1):82-92.</w:t>
      </w:r>
    </w:p>
    <w:p>
      <w:pPr>
        <w:pStyle w:val="ListParagraph"/>
        <w:numPr>
          <w:ilvl w:val="0"/>
          <w:numId w:val="2"/>
        </w:numPr>
        <w:spacing w:after="60" w:before="60"/>
      </w:pPr>
      <w:r>
        <w:rPr>
          <w:rFonts w:ascii="Calibri" w:cs="Calibri" w:eastAsia="Calibri" w:hAnsi="Calibri"/>
          <w:b w:val="false"/>
          <w:bCs w:val="false"/>
          <w:color w:val="222222"/>
          <w:sz w:val="20"/>
          <w:szCs w:val="20"/>
        </w:rPr>
        <w:t xml:space="preserve">LPG Systems (2019). Endermologie : données R&amp;D et mécanismes d'action fibroblastique. Documentation technique interne.</w:t>
      </w:r>
    </w:p>
    <w:p>
      <w:pPr>
        <w:spacing w:after="60" w:before="60"/>
      </w:pPr>
      <w:r>
        <w:t xml:space="preserve"/>
      </w:r>
    </w:p>
    <w:p>
      <w:pPr>
        <w:spacing w:after="80" w:before="80"/>
      </w:pPr>
      <w:r>
        <w:rPr>
          <w:rFonts w:ascii="Calibri" w:cs="Calibri" w:eastAsia="Calibri" w:hAnsi="Calibri"/>
          <w:b w:val="false"/>
          <w:bCs w:val="false"/>
          <w:color w:val="888888"/>
          <w:sz w:val="18"/>
          <w:szCs w:val="18"/>
        </w:rPr>
        <w:t xml:space="preserve">Version 1.0 · Mars 2026 · La Canopée du 100 · Julien Fresnaud, Masseur-kinésithérapeute</w:t>
      </w:r>
    </w:p>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746"/>
      <w:gridCol w:w="3000"/>
    </w:tblGrid>
    <w:tr>
      <w:tc>
        <w:tcPr>
          <w:tcBorders>
            <w:top w:val="nil"/>
            <w:left w:val="nil"/>
            <w:bottom w:val="nil"/>
            <w:right w:val="nil"/>
          </w:tcBorders>
          <w:shd w:fill="2D4A1E" w:val="clear"/>
          <w:tcMar>
            <w:top w:type="dxa" w:w="120"/>
            <w:left w:type="dxa" w:w="200"/>
            <w:bottom w:type="dxa" w:w="120"/>
            <w:right w:type="dxa" w:w="200"/>
          </w:tcMar>
        </w:tcPr>
        <w:p>
          <w:r>
            <w:rPr>
              <w:rFonts w:ascii="Calibri" w:cs="Calibri" w:eastAsia="Calibri" w:hAnsi="Calibri"/>
              <w:b/>
              <w:bCs/>
              <w:color w:val="FFFFFF"/>
              <w:sz w:val="28"/>
              <w:szCs w:val="28"/>
            </w:rPr>
            <w:t xml:space="preserve">LA CANOPÉE DU 100</w:t>
          </w:r>
        </w:p>
        <w:p>
          <w:r>
            <w:rPr>
              <w:rFonts w:ascii="Calibri" w:cs="Calibri" w:eastAsia="Calibri" w:hAnsi="Calibri"/>
              <w:color w:val="D6E8C8"/>
              <w:sz w:val="17"/>
              <w:szCs w:val="17"/>
            </w:rPr>
            <w:t xml:space="preserve">100 rue Lazare Carnot · 56100 Lorient · 06 03 68 81 35</w:t>
          </w:r>
        </w:p>
      </w:tc>
      <w:tc>
        <w:tcPr>
          <w:tcBorders>
            <w:top w:val="nil"/>
            <w:left w:val="nil"/>
            <w:bottom w:val="nil"/>
            <w:right w:val="nil"/>
          </w:tcBorders>
          <w:shd w:fill="4A7C3F" w:val="clear"/>
          <w:tcMar>
            <w:top w:type="dxa" w:w="120"/>
            <w:left w:type="dxa" w:w="200"/>
            <w:bottom w:type="dxa" w:w="120"/>
            <w:right w:type="dxa" w:w="200"/>
          </w:tcMar>
          <w:vAlign w:val="center"/>
        </w:tcPr>
        <w:p>
          <w:pPr>
            <w:jc w:val="right"/>
          </w:pPr>
          <w:r>
            <w:rPr>
              <w:rFonts w:ascii="Calibri" w:cs="Calibri" w:eastAsia="Calibri" w:hAnsi="Calibri"/>
              <w:b/>
              <w:bCs/>
              <w:color w:val="FFFFFF"/>
              <w:sz w:val="20"/>
              <w:szCs w:val="20"/>
            </w:rPr>
            <w:t xml:space="preserve">PROTOCOLE CLINIQUE</w:t>
          </w:r>
        </w:p>
        <w:p>
          <w:pPr>
            <w:jc w:val="right"/>
          </w:pPr>
          <w:r>
            <w:rPr>
              <w:rFonts w:ascii="Calibri" w:cs="Calibri" w:eastAsia="Calibri" w:hAnsi="Calibri"/>
              <w:color w:val="D6E8C8"/>
              <w:sz w:val="18"/>
              <w:szCs w:val="18"/>
            </w:rPr>
            <w:t xml:space="preserve">Cicatrices Hypertrophiques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2026-03-18T10:18:54.579Z</dcterms:created>
  <dcterms:modified xsi:type="dcterms:W3CDTF">2026-03-18T10:18:54.579Z</dcterms:modified>
</cp:coreProperties>
</file>

<file path=docProps/custom.xml><?xml version="1.0" encoding="utf-8"?>
<Properties xmlns="http://schemas.openxmlformats.org/officeDocument/2006/custom-properties" xmlns:vt="http://schemas.openxmlformats.org/officeDocument/2006/docPropsVTypes"/>
</file>