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rafael@lacerda.ch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pageBreakBefore w:val="0"/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in 4 years of experience in industry.</w:t>
      </w:r>
    </w:p>
    <w:p w:rsidR="00000000" w:rsidDel="00000000" w:rsidP="00000000" w:rsidRDefault="00000000" w:rsidRPr="00000000" w14:paraId="00000007">
      <w:pPr>
        <w:pageBreakBefore w:val="0"/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0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              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1F">
      <w:pPr>
        <w:pageBreakBefore w:val="0"/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in taxonomy: category tree generation, document classification.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embeddings for: Entities; Long Documents (content-based &amp; usage-based).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papers update; keyphrase extraction.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PyTorch, Scikit-Learn, Spark, Spacy, ElasticSearch, MLFlow, Databricks,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2D">
      <w:pPr>
        <w:pageBreakBefore w:val="0"/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Reduced inference time in production by ~70% through caching and precomputation.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 analytical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990" w:right="-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Treasury Analyst in Real Estate Investment (Jul 2014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Apr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2016)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 of Customer Service in a Rocket Internet venture (Jan 2013  — Nov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PyTorch, Tensorflow, Keras, Numpy, Pandas, Scikit-learn, Spacy, NLTK, Matplotlib.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Solr, ElasticSearch.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space, Dynamic Time Warping.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Autoencoders, Transformers.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Linking, BERT.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in spatial and temporal dimensions.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ind w:left="9360" w:firstLine="0"/>
      <w:jc w:val="left"/>
      <w:rPr/>
    </w:pPr>
    <w:r w:rsidDel="00000000" w:rsidR="00000000" w:rsidRPr="00000000">
      <w:rPr>
        <w:rtl w:val="0"/>
      </w:rPr>
      <w:t xml:space="preserve">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fael@lacerda.ch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