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jc w:val="center"/>
      </w:pPr>
      <w:r>
        <w:rPr>
          <w:b w:val="0"/>
        </w:rPr>
        <w:t>ƯỚC LƯỢNG PRODUCT BACKLOG</w:t>
      </w:r>
    </w:p>
    <w:p>
      <w:pPr>
        <w:spacing w:before="160" w:after="80" w:line="240" w:lineRule="auto"/>
      </w:pPr>
      <w:r>
        <w:t>1. Nhiệm vụ 1: Kiểm tra dữ liệu</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6"/>
        <w:gridCol w:w="2556"/>
        <w:gridCol w:w="2556"/>
        <w:gridCol w:w="2556"/>
      </w:tblGrid>
      <w:tr>
        <w:tc>
          <w:tcPr>
            <w:tcW w:type="dxa" w:w="1296"/>
            <w:vAlign w:val="center"/>
          </w:tcPr>
          <w:p>
            <w:pPr>
              <w:spacing w:after="0"/>
            </w:pPr>
            <w:r/>
            <w:r>
              <w:rPr>
                <w:rFonts w:ascii="Times New Roman" w:hAnsi="Times New Roman"/>
                <w:b w:val="0"/>
                <w:color w:val="000000"/>
                <w:sz w:val="22"/>
              </w:rPr>
              <w:t>Mã Story</w:t>
            </w:r>
          </w:p>
        </w:tc>
        <w:tc>
          <w:tcPr>
            <w:tcW w:type="dxa" w:w="1152"/>
            <w:vAlign w:val="center"/>
          </w:tcPr>
          <w:p>
            <w:pPr>
              <w:spacing w:after="0"/>
            </w:pPr>
            <w:r/>
            <w:r>
              <w:rPr>
                <w:rFonts w:ascii="Times New Roman" w:hAnsi="Times New Roman"/>
                <w:b w:val="0"/>
                <w:color w:val="000000"/>
                <w:sz w:val="22"/>
              </w:rPr>
              <w:t>Đủ rõ</w:t>
            </w:r>
          </w:p>
        </w:tc>
        <w:tc>
          <w:tcPr>
            <w:tcW w:type="dxa" w:w="1512"/>
            <w:vAlign w:val="center"/>
          </w:tcPr>
          <w:p>
            <w:pPr>
              <w:spacing w:after="0"/>
            </w:pPr>
            <w:r/>
            <w:r>
              <w:rPr>
                <w:rFonts w:ascii="Times New Roman" w:hAnsi="Times New Roman"/>
                <w:b w:val="0"/>
                <w:color w:val="000000"/>
                <w:sz w:val="22"/>
              </w:rPr>
              <w:t>Cần làm rõ</w:t>
            </w:r>
          </w:p>
        </w:tc>
        <w:tc>
          <w:tcPr>
            <w:tcW w:type="dxa" w:w="6768"/>
            <w:vAlign w:val="center"/>
          </w:tcPr>
          <w:p>
            <w:pPr>
              <w:spacing w:after="0"/>
            </w:pPr>
            <w:r/>
            <w:r>
              <w:rPr>
                <w:rFonts w:ascii="Times New Roman" w:hAnsi="Times New Roman"/>
                <w:b w:val="0"/>
                <w:color w:val="000000"/>
                <w:sz w:val="22"/>
              </w:rPr>
              <w:t>Thông tin/câu hỏi còn thiếu</w:t>
            </w:r>
          </w:p>
        </w:tc>
      </w:tr>
      <w:tr>
        <w:tc>
          <w:tcPr>
            <w:tcW w:type="dxa" w:w="1296"/>
            <w:vAlign w:val="center"/>
          </w:tcPr>
          <w:p>
            <w:pPr>
              <w:spacing w:after="0"/>
            </w:pPr>
            <w:r/>
            <w:r>
              <w:rPr>
                <w:rFonts w:ascii="Times New Roman" w:hAnsi="Times New Roman"/>
                <w:b w:val="0"/>
                <w:color w:val="000000"/>
                <w:sz w:val="22"/>
              </w:rPr>
              <w:t>LS01</w:t>
            </w:r>
          </w:p>
        </w:tc>
        <w:tc>
          <w:tcPr>
            <w:tcW w:type="dxa" w:w="1152"/>
            <w:vAlign w:val="center"/>
          </w:tcPr>
          <w:p>
            <w:pPr>
              <w:spacing w:after="0"/>
            </w:pPr>
            <w:r/>
            <w:r>
              <w:rPr>
                <w:rFonts w:ascii="Times New Roman" w:hAnsi="Times New Roman"/>
                <w:b w:val="0"/>
                <w:color w:val="000000"/>
                <w:sz w:val="22"/>
              </w:rPr>
              <w:t>☒</w:t>
            </w:r>
          </w:p>
        </w:tc>
        <w:tc>
          <w:tcPr>
            <w:tcW w:type="dxa" w:w="1512"/>
            <w:vAlign w:val="center"/>
          </w:tcPr>
          <w:p>
            <w:pPr>
              <w:spacing w:after="0"/>
            </w:pPr>
            <w:r/>
            <w:r>
              <w:rPr>
                <w:rFonts w:ascii="Times New Roman" w:hAnsi="Times New Roman"/>
                <w:b w:val="0"/>
                <w:color w:val="000000"/>
                <w:sz w:val="22"/>
              </w:rPr>
              <w:t>☐</w:t>
            </w:r>
          </w:p>
        </w:tc>
        <w:tc>
          <w:tcPr>
            <w:tcW w:type="dxa" w:w="6768"/>
            <w:vAlign w:val="center"/>
          </w:tcPr>
          <w:p>
            <w:pPr>
              <w:spacing w:after="0"/>
            </w:pPr>
            <w:r/>
            <w:r>
              <w:rPr>
                <w:rFonts w:ascii="Times New Roman" w:hAnsi="Times New Roman"/>
                <w:b w:val="0"/>
                <w:color w:val="000000"/>
                <w:sz w:val="22"/>
              </w:rPr>
              <w:t>—</w:t>
            </w:r>
          </w:p>
        </w:tc>
      </w:tr>
      <w:tr>
        <w:tc>
          <w:tcPr>
            <w:tcW w:type="dxa" w:w="1296"/>
            <w:vAlign w:val="center"/>
          </w:tcPr>
          <w:p>
            <w:pPr>
              <w:spacing w:after="0"/>
            </w:pPr>
            <w:r/>
            <w:r>
              <w:rPr>
                <w:rFonts w:ascii="Times New Roman" w:hAnsi="Times New Roman"/>
                <w:b w:val="0"/>
                <w:color w:val="000000"/>
                <w:sz w:val="22"/>
              </w:rPr>
              <w:t>LS03</w:t>
            </w:r>
          </w:p>
        </w:tc>
        <w:tc>
          <w:tcPr>
            <w:tcW w:type="dxa" w:w="1152"/>
            <w:vAlign w:val="center"/>
          </w:tcPr>
          <w:p>
            <w:pPr>
              <w:spacing w:after="0"/>
            </w:pPr>
            <w:r/>
            <w:r>
              <w:rPr>
                <w:rFonts w:ascii="Times New Roman" w:hAnsi="Times New Roman"/>
                <w:b w:val="0"/>
                <w:color w:val="000000"/>
                <w:sz w:val="22"/>
              </w:rPr>
              <w:t>☐</w:t>
            </w:r>
          </w:p>
        </w:tc>
        <w:tc>
          <w:tcPr>
            <w:tcW w:type="dxa" w:w="1512"/>
            <w:vAlign w:val="center"/>
          </w:tcPr>
          <w:p>
            <w:pPr>
              <w:spacing w:after="0"/>
            </w:pPr>
            <w:r/>
            <w:r>
              <w:rPr>
                <w:rFonts w:ascii="Times New Roman" w:hAnsi="Times New Roman"/>
                <w:b w:val="0"/>
                <w:color w:val="000000"/>
                <w:sz w:val="22"/>
              </w:rPr>
              <w:t>☒</w:t>
            </w:r>
          </w:p>
        </w:tc>
        <w:tc>
          <w:tcPr>
            <w:tcW w:type="dxa" w:w="6768"/>
            <w:vAlign w:val="center"/>
          </w:tcPr>
          <w:p>
            <w:pPr>
              <w:spacing w:after="0"/>
            </w:pPr>
            <w:r/>
            <w:r>
              <w:rPr>
                <w:rFonts w:ascii="Times New Roman" w:hAnsi="Times New Roman"/>
                <w:b w:val="0"/>
                <w:color w:val="000000"/>
                <w:sz w:val="22"/>
              </w:rPr>
              <w:t>Khi hai khách cùng đặt sản phẩm cuối gần như đồng thời, hệ thống xử lý thế nào để chỉ một đơn được xác nhận và không vượt tồn kho?</w:t>
            </w:r>
          </w:p>
        </w:tc>
      </w:tr>
    </w:tbl>
    <w:p>
      <w:pPr>
        <w:spacing w:after="80" w:line="240" w:lineRule="auto"/>
      </w:pPr>
    </w:p>
    <w:p>
      <w:pPr>
        <w:spacing w:before="160" w:after="80" w:line="240" w:lineRule="auto"/>
      </w:pPr>
      <w:r>
        <w:t>2. Nhiệm vụ 2: Product Backlog đã ước lượng</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5"/>
        <w:gridCol w:w="2045"/>
        <w:gridCol w:w="2045"/>
        <w:gridCol w:w="2045"/>
        <w:gridCol w:w="2045"/>
      </w:tblGrid>
      <w:tr>
        <w:tc>
          <w:tcPr>
            <w:tcW w:type="dxa" w:w="1008"/>
            <w:vAlign w:val="center"/>
          </w:tcPr>
          <w:p>
            <w:pPr>
              <w:spacing w:after="0"/>
            </w:pPr>
            <w:r/>
            <w:r>
              <w:rPr>
                <w:rFonts w:ascii="Times New Roman" w:hAnsi="Times New Roman"/>
                <w:b w:val="0"/>
                <w:color w:val="000000"/>
                <w:sz w:val="22"/>
              </w:rPr>
              <w:t>Mã Story</w:t>
            </w:r>
          </w:p>
        </w:tc>
        <w:tc>
          <w:tcPr>
            <w:tcW w:type="dxa" w:w="1080"/>
            <w:vAlign w:val="center"/>
          </w:tcPr>
          <w:p>
            <w:pPr>
              <w:spacing w:after="0"/>
            </w:pPr>
            <w:r/>
            <w:r>
              <w:rPr>
                <w:rFonts w:ascii="Times New Roman" w:hAnsi="Times New Roman"/>
                <w:b w:val="0"/>
                <w:color w:val="000000"/>
                <w:sz w:val="22"/>
              </w:rPr>
              <w:t>Mức ưu tiên</w:t>
            </w:r>
          </w:p>
        </w:tc>
        <w:tc>
          <w:tcPr>
            <w:tcW w:type="dxa" w:w="1584"/>
            <w:vAlign w:val="center"/>
          </w:tcPr>
          <w:p>
            <w:pPr>
              <w:spacing w:after="0"/>
            </w:pPr>
            <w:r/>
            <w:r>
              <w:rPr>
                <w:rFonts w:ascii="Times New Roman" w:hAnsi="Times New Roman"/>
                <w:b w:val="0"/>
                <w:color w:val="000000"/>
                <w:sz w:val="22"/>
              </w:rPr>
              <w:t>Kết quả phiếu</w:t>
            </w:r>
          </w:p>
        </w:tc>
        <w:tc>
          <w:tcPr>
            <w:tcW w:type="dxa" w:w="1080"/>
            <w:vAlign w:val="center"/>
          </w:tcPr>
          <w:p>
            <w:pPr>
              <w:spacing w:after="0"/>
            </w:pPr>
            <w:r/>
            <w:r>
              <w:rPr>
                <w:rFonts w:ascii="Times New Roman" w:hAnsi="Times New Roman"/>
                <w:b w:val="0"/>
                <w:color w:val="000000"/>
                <w:sz w:val="22"/>
              </w:rPr>
              <w:t>SP cuối cùng</w:t>
            </w:r>
          </w:p>
        </w:tc>
        <w:tc>
          <w:tcPr>
            <w:tcW w:type="dxa" w:w="5976"/>
            <w:vAlign w:val="center"/>
          </w:tcPr>
          <w:p>
            <w:pPr>
              <w:spacing w:after="0"/>
            </w:pPr>
            <w:r/>
            <w:r>
              <w:rPr>
                <w:rFonts w:ascii="Times New Roman" w:hAnsi="Times New Roman"/>
                <w:b w:val="0"/>
                <w:color w:val="000000"/>
                <w:sz w:val="22"/>
              </w:rPr>
              <w:t>Lý do ngắn</w:t>
            </w:r>
          </w:p>
        </w:tc>
      </w:tr>
      <w:tr>
        <w:tc>
          <w:tcPr>
            <w:tcW w:type="dxa" w:w="1008"/>
            <w:vAlign w:val="center"/>
          </w:tcPr>
          <w:p>
            <w:pPr>
              <w:spacing w:after="0"/>
            </w:pPr>
            <w:r/>
            <w:r>
              <w:rPr>
                <w:rFonts w:ascii="Times New Roman" w:hAnsi="Times New Roman"/>
                <w:b w:val="0"/>
                <w:color w:val="000000"/>
                <w:sz w:val="22"/>
              </w:rPr>
              <w:t>LS01</w:t>
            </w:r>
          </w:p>
        </w:tc>
        <w:tc>
          <w:tcPr>
            <w:tcW w:type="dxa" w:w="1080"/>
            <w:vAlign w:val="center"/>
          </w:tcPr>
          <w:p>
            <w:pPr>
              <w:spacing w:after="0"/>
            </w:pPr>
            <w:r/>
            <w:r>
              <w:rPr>
                <w:rFonts w:ascii="Times New Roman" w:hAnsi="Times New Roman"/>
                <w:b w:val="0"/>
                <w:color w:val="000000"/>
                <w:sz w:val="22"/>
              </w:rPr>
              <w:t>1</w:t>
            </w:r>
          </w:p>
        </w:tc>
        <w:tc>
          <w:tcPr>
            <w:tcW w:type="dxa" w:w="1584"/>
            <w:vAlign w:val="center"/>
          </w:tcPr>
          <w:p>
            <w:pPr>
              <w:spacing w:after="0"/>
            </w:pPr>
            <w:r/>
            <w:r>
              <w:rPr>
                <w:rFonts w:ascii="Times New Roman" w:hAnsi="Times New Roman"/>
                <w:b w:val="0"/>
                <w:color w:val="000000"/>
                <w:sz w:val="22"/>
              </w:rPr>
              <w:t>3 - 3 - 5 - 3</w:t>
            </w:r>
          </w:p>
        </w:tc>
        <w:tc>
          <w:tcPr>
            <w:tcW w:type="dxa" w:w="1080"/>
            <w:vAlign w:val="center"/>
          </w:tcPr>
          <w:p>
            <w:pPr>
              <w:spacing w:after="0"/>
            </w:pPr>
            <w:r/>
            <w:r>
              <w:rPr>
                <w:rFonts w:ascii="Times New Roman" w:hAnsi="Times New Roman"/>
                <w:b w:val="0"/>
                <w:color w:val="000000"/>
                <w:sz w:val="22"/>
              </w:rPr>
              <w:t>3</w:t>
            </w:r>
          </w:p>
        </w:tc>
        <w:tc>
          <w:tcPr>
            <w:tcW w:type="dxa" w:w="5976"/>
            <w:vAlign w:val="center"/>
          </w:tcPr>
          <w:p>
            <w:pPr>
              <w:spacing w:after="0"/>
            </w:pPr>
            <w:r/>
            <w:r>
              <w:rPr>
                <w:rFonts w:ascii="Times New Roman" w:hAnsi="Times New Roman"/>
                <w:b w:val="0"/>
                <w:color w:val="000000"/>
                <w:sz w:val="22"/>
              </w:rPr>
              <w:t>Ba phiếu là 3 SP; phiếu 5 xuất phát từ lo ngại về thời gian và trạng thái. Sau khi xác nhận chỉ cần trạng thái “Sắp diễn ra”, LS01 tương đương LS02 (3 SP).</w:t>
            </w:r>
          </w:p>
        </w:tc>
      </w:tr>
      <w:tr>
        <w:tc>
          <w:tcPr>
            <w:tcW w:type="dxa" w:w="1008"/>
            <w:vAlign w:val="center"/>
          </w:tcPr>
          <w:p>
            <w:pPr>
              <w:spacing w:after="0"/>
            </w:pPr>
            <w:r/>
            <w:r>
              <w:rPr>
                <w:rFonts w:ascii="Times New Roman" w:hAnsi="Times New Roman"/>
                <w:b w:val="0"/>
                <w:color w:val="000000"/>
                <w:sz w:val="22"/>
              </w:rPr>
              <w:t>LS02</w:t>
            </w:r>
          </w:p>
        </w:tc>
        <w:tc>
          <w:tcPr>
            <w:tcW w:type="dxa" w:w="1080"/>
            <w:vAlign w:val="center"/>
          </w:tcPr>
          <w:p>
            <w:pPr>
              <w:spacing w:after="0"/>
            </w:pPr>
            <w:r/>
            <w:r>
              <w:rPr>
                <w:rFonts w:ascii="Times New Roman" w:hAnsi="Times New Roman"/>
                <w:b w:val="0"/>
                <w:color w:val="000000"/>
                <w:sz w:val="22"/>
              </w:rPr>
              <w:t>2</w:t>
            </w:r>
          </w:p>
        </w:tc>
        <w:tc>
          <w:tcPr>
            <w:tcW w:type="dxa" w:w="1584"/>
            <w:vAlign w:val="center"/>
          </w:tcPr>
          <w:p>
            <w:pPr>
              <w:spacing w:after="0"/>
            </w:pPr>
            <w:r/>
            <w:r>
              <w:rPr>
                <w:rFonts w:ascii="Times New Roman" w:hAnsi="Times New Roman"/>
                <w:b w:val="0"/>
                <w:color w:val="000000"/>
                <w:sz w:val="22"/>
              </w:rPr>
              <w:t>3 - 3 - 3 - 3</w:t>
            </w:r>
          </w:p>
        </w:tc>
        <w:tc>
          <w:tcPr>
            <w:tcW w:type="dxa" w:w="1080"/>
            <w:vAlign w:val="center"/>
          </w:tcPr>
          <w:p>
            <w:pPr>
              <w:spacing w:after="0"/>
            </w:pPr>
            <w:r/>
            <w:r>
              <w:rPr>
                <w:rFonts w:ascii="Times New Roman" w:hAnsi="Times New Roman"/>
                <w:b w:val="0"/>
                <w:color w:val="000000"/>
                <w:sz w:val="22"/>
              </w:rPr>
              <w:t>3</w:t>
            </w:r>
          </w:p>
        </w:tc>
        <w:tc>
          <w:tcPr>
            <w:tcW w:type="dxa" w:w="5976"/>
            <w:vAlign w:val="center"/>
          </w:tcPr>
          <w:p>
            <w:pPr>
              <w:spacing w:after="0"/>
            </w:pPr>
            <w:r/>
            <w:r>
              <w:rPr>
                <w:rFonts w:ascii="Times New Roman" w:hAnsi="Times New Roman"/>
                <w:b w:val="0"/>
                <w:color w:val="000000"/>
                <w:sz w:val="22"/>
              </w:rPr>
              <w:t>Reference Story; các phiếu đã trùng nhau.</w:t>
            </w:r>
          </w:p>
        </w:tc>
      </w:tr>
      <w:tr>
        <w:tc>
          <w:tcPr>
            <w:tcW w:type="dxa" w:w="1008"/>
            <w:vAlign w:val="center"/>
          </w:tcPr>
          <w:p>
            <w:pPr>
              <w:spacing w:after="0"/>
            </w:pPr>
            <w:r/>
            <w:r>
              <w:rPr>
                <w:rFonts w:ascii="Times New Roman" w:hAnsi="Times New Roman"/>
                <w:b w:val="0"/>
                <w:color w:val="000000"/>
                <w:sz w:val="22"/>
              </w:rPr>
              <w:t>LS03</w:t>
            </w:r>
          </w:p>
        </w:tc>
        <w:tc>
          <w:tcPr>
            <w:tcW w:type="dxa" w:w="1080"/>
            <w:vAlign w:val="center"/>
          </w:tcPr>
          <w:p>
            <w:pPr>
              <w:spacing w:after="0"/>
            </w:pPr>
            <w:r/>
            <w:r>
              <w:rPr>
                <w:rFonts w:ascii="Times New Roman" w:hAnsi="Times New Roman"/>
                <w:b w:val="0"/>
                <w:color w:val="000000"/>
                <w:sz w:val="22"/>
              </w:rPr>
              <w:t>3</w:t>
            </w:r>
          </w:p>
        </w:tc>
        <w:tc>
          <w:tcPr>
            <w:tcW w:type="dxa" w:w="1584"/>
            <w:vAlign w:val="center"/>
          </w:tcPr>
          <w:p>
            <w:pPr>
              <w:spacing w:after="0"/>
            </w:pPr>
            <w:r/>
            <w:r>
              <w:rPr>
                <w:rFonts w:ascii="Times New Roman" w:hAnsi="Times New Roman"/>
                <w:b w:val="0"/>
                <w:color w:val="000000"/>
                <w:sz w:val="22"/>
              </w:rPr>
              <w:t>5 - 8 - 8 - 5</w:t>
            </w:r>
          </w:p>
        </w:tc>
        <w:tc>
          <w:tcPr>
            <w:tcW w:type="dxa" w:w="1080"/>
            <w:vAlign w:val="center"/>
          </w:tcPr>
          <w:p>
            <w:pPr>
              <w:spacing w:after="0"/>
            </w:pPr>
            <w:r/>
            <w:r>
              <w:rPr>
                <w:rFonts w:ascii="Times New Roman" w:hAnsi="Times New Roman"/>
                <w:b w:val="0"/>
                <w:color w:val="000000"/>
                <w:sz w:val="22"/>
              </w:rPr>
              <w:t>8</w:t>
            </w:r>
          </w:p>
        </w:tc>
        <w:tc>
          <w:tcPr>
            <w:tcW w:type="dxa" w:w="5976"/>
            <w:vAlign w:val="center"/>
          </w:tcPr>
          <w:p>
            <w:pPr>
              <w:spacing w:after="0"/>
            </w:pPr>
            <w:r/>
            <w:r>
              <w:rPr>
                <w:rFonts w:ascii="Times New Roman" w:hAnsi="Times New Roman"/>
                <w:b w:val="0"/>
                <w:color w:val="000000"/>
                <w:sz w:val="22"/>
              </w:rPr>
              <w:t>Chênh lệch do đánh giá khác nhau về rủi ro đặt hàng đồng thời và xử lý giảm/hoàn tồn. Với quy tắc chỉ một đơn giữ được sản phẩm cuối mới thành công, LS03 phức tạp và rủi ro hơn LS02 (3 SP), nên chốt 8 SP.</w:t>
            </w:r>
          </w:p>
        </w:tc>
      </w:tr>
    </w:tbl>
    <w:p>
      <w:pPr>
        <w:spacing w:after="80" w:line="240" w:lineRule="auto"/>
      </w:pPr>
    </w:p>
    <w:p>
      <w:pPr>
        <w:spacing w:before="160" w:after="80" w:line="240" w:lineRule="auto"/>
      </w:pPr>
      <w:r>
        <w:t>3. Nhiệm vụ 3: Phát hiện cách hiểu sai</w:t>
      </w:r>
    </w:p>
    <w:p>
      <w:pPr>
        <w:spacing w:after="80" w:line="240" w:lineRule="auto"/>
      </w:pPr>
      <w:r>
        <w:t>Story Point dùng để ước lượng tương đối khối lượng công việc, độ phức tạp, mức độ không chắc chắn và rủi ro, chứ không đo số giờ cố định. Nhóm theo dõi Velocity là số Story Point hoàn thành trung bình qua các Sprint trước để dự báo lượng việc phù hợp cho Sprint tiếp theo, không quy đổi SP thành giờ.</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val="0"/>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val="0"/>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