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t>Phần 1. Phân loại ý kiến</w:t>
      </w:r>
    </w:p>
    <w:p>
      <w:pPr>
        <w:widowControl/>
      </w:pPr>
      <w:r>
        <w:t>Các ý kiến được phân loại theo nội dung thực chất, không chỉ dựa vào cột Start–Stop–Continue đã ghi ban đầu.</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92"/>
        <w:gridCol w:w="1800"/>
        <w:gridCol w:w="7416"/>
      </w:tblGrid>
      <w:tr>
        <w:tc>
          <w:tcPr>
            <w:tcW w:type="dxa" w:w="3312"/>
            <w:vAlign w:val="center"/>
          </w:tcPr>
          <w:p>
            <w:pPr>
              <w:spacing w:after="40" w:line="240" w:lineRule="auto"/>
            </w:pPr>
            <w:r/>
            <w:r>
              <w:rPr>
                <w:rFonts w:ascii="Times New Roman" w:hAnsi="Times New Roman" w:eastAsia="Times New Roman"/>
                <w:b w:val="0"/>
                <w:color w:val="000000"/>
                <w:sz w:val="21"/>
              </w:rPr>
              <w:t>Mã</w:t>
            </w:r>
          </w:p>
        </w:tc>
        <w:tc>
          <w:tcPr>
            <w:tcW w:type="dxa" w:w="3312"/>
            <w:vAlign w:val="center"/>
          </w:tcPr>
          <w:p>
            <w:pPr>
              <w:spacing w:after="40" w:line="240" w:lineRule="auto"/>
            </w:pPr>
            <w:r/>
            <w:r>
              <w:rPr>
                <w:rFonts w:ascii="Times New Roman" w:hAnsi="Times New Roman" w:eastAsia="Times New Roman"/>
                <w:b w:val="0"/>
                <w:color w:val="000000"/>
                <w:sz w:val="21"/>
              </w:rPr>
              <w:t>Phân loại</w:t>
            </w:r>
          </w:p>
        </w:tc>
        <w:tc>
          <w:tcPr>
            <w:tcW w:type="dxa" w:w="3312"/>
            <w:vAlign w:val="center"/>
          </w:tcPr>
          <w:p>
            <w:pPr>
              <w:spacing w:after="40" w:line="240" w:lineRule="auto"/>
            </w:pPr>
            <w:r/>
            <w:r>
              <w:rPr>
                <w:rFonts w:ascii="Times New Roman" w:hAnsi="Times New Roman" w:eastAsia="Times New Roman"/>
                <w:b w:val="0"/>
                <w:color w:val="000000"/>
                <w:sz w:val="21"/>
              </w:rPr>
              <w:t>Cách xử lý</w:t>
            </w:r>
          </w:p>
        </w:tc>
      </w:tr>
      <w:tr>
        <w:tc>
          <w:tcPr>
            <w:tcW w:type="dxa" w:w="792"/>
            <w:vAlign w:val="center"/>
          </w:tcPr>
          <w:p>
            <w:pPr>
              <w:spacing w:after="40" w:line="240" w:lineRule="auto"/>
            </w:pPr>
            <w:r/>
            <w:r>
              <w:rPr>
                <w:rFonts w:ascii="Times New Roman" w:hAnsi="Times New Roman" w:eastAsia="Times New Roman"/>
                <w:b w:val="0"/>
                <w:color w:val="000000"/>
                <w:sz w:val="21"/>
              </w:rPr>
              <w:t>R-01</w:t>
            </w:r>
          </w:p>
        </w:tc>
        <w:tc>
          <w:tcPr>
            <w:tcW w:type="dxa" w:w="1800"/>
            <w:vAlign w:val="center"/>
          </w:tcPr>
          <w:p>
            <w:pPr>
              <w:spacing w:after="40" w:line="240" w:lineRule="auto"/>
            </w:pPr>
            <w:r/>
            <w:r>
              <w:rPr>
                <w:rFonts w:ascii="Times New Roman" w:hAnsi="Times New Roman" w:eastAsia="Times New Roman"/>
                <w:b w:val="0"/>
                <w:color w:val="000000"/>
                <w:sz w:val="21"/>
              </w:rPr>
              <w:t>Phản hồi sản phẩm</w:t>
            </w:r>
          </w:p>
        </w:tc>
        <w:tc>
          <w:tcPr>
            <w:tcW w:type="dxa" w:w="7416"/>
            <w:vAlign w:val="center"/>
          </w:tcPr>
          <w:p>
            <w:pPr>
              <w:spacing w:after="40" w:line="240" w:lineRule="auto"/>
            </w:pPr>
            <w:r/>
            <w:r>
              <w:rPr>
                <w:rFonts w:ascii="Times New Roman" w:hAnsi="Times New Roman" w:eastAsia="Times New Roman"/>
                <w:b w:val="0"/>
                <w:color w:val="000000"/>
                <w:sz w:val="21"/>
              </w:rPr>
              <w:t>Chuyển sang Product Backlog để Product Owner và các bên liên quan xem xét mức độ ưu tiên. Đây là đề xuất tính năng cho khách tự hủy đơn, không phải cách làm việc của nhóm.</w:t>
            </w:r>
          </w:p>
        </w:tc>
      </w:tr>
      <w:tr>
        <w:tc>
          <w:tcPr>
            <w:tcW w:type="dxa" w:w="792"/>
            <w:vAlign w:val="center"/>
          </w:tcPr>
          <w:p>
            <w:pPr>
              <w:spacing w:after="40" w:line="240" w:lineRule="auto"/>
            </w:pPr>
            <w:r/>
            <w:r>
              <w:rPr>
                <w:rFonts w:ascii="Times New Roman" w:hAnsi="Times New Roman" w:eastAsia="Times New Roman"/>
                <w:b w:val="0"/>
                <w:color w:val="000000"/>
                <w:sz w:val="21"/>
              </w:rPr>
              <w:t>R-02</w:t>
            </w:r>
          </w:p>
        </w:tc>
        <w:tc>
          <w:tcPr>
            <w:tcW w:type="dxa" w:w="1800"/>
            <w:vAlign w:val="center"/>
          </w:tcPr>
          <w:p>
            <w:pPr>
              <w:spacing w:after="40" w:line="240" w:lineRule="auto"/>
            </w:pPr>
            <w:r/>
            <w:r>
              <w:rPr>
                <w:rFonts w:ascii="Times New Roman" w:hAnsi="Times New Roman" w:eastAsia="Times New Roman"/>
                <w:b w:val="0"/>
                <w:color w:val="000000"/>
                <w:sz w:val="21"/>
              </w:rPr>
              <w:t>Cách làm việc</w:t>
            </w:r>
          </w:p>
        </w:tc>
        <w:tc>
          <w:tcPr>
            <w:tcW w:type="dxa" w:w="7416"/>
            <w:vAlign w:val="center"/>
          </w:tcPr>
          <w:p>
            <w:pPr>
              <w:spacing w:after="40" w:line="240" w:lineRule="auto"/>
            </w:pPr>
            <w:r/>
            <w:r>
              <w:rPr>
                <w:rFonts w:ascii="Times New Roman" w:hAnsi="Times New Roman" w:eastAsia="Times New Roman"/>
                <w:b w:val="0"/>
                <w:color w:val="000000"/>
                <w:sz w:val="21"/>
              </w:rPr>
              <w:t>Giữ ở Start nhưng viết cụ thể hơn: khi có thay đổi ảnh hưởng đến nhóm, người đề xuất thông báo trong kênh chung và cập nhật tài liệu liên quan trước khi áp dụng.</w:t>
            </w:r>
          </w:p>
        </w:tc>
      </w:tr>
      <w:tr>
        <w:tc>
          <w:tcPr>
            <w:tcW w:type="dxa" w:w="792"/>
            <w:vAlign w:val="center"/>
          </w:tcPr>
          <w:p>
            <w:pPr>
              <w:spacing w:after="40" w:line="240" w:lineRule="auto"/>
            </w:pPr>
            <w:r/>
            <w:r>
              <w:rPr>
                <w:rFonts w:ascii="Times New Roman" w:hAnsi="Times New Roman" w:eastAsia="Times New Roman"/>
                <w:b w:val="0"/>
                <w:color w:val="000000"/>
                <w:sz w:val="21"/>
              </w:rPr>
              <w:t>R-03</w:t>
            </w:r>
          </w:p>
        </w:tc>
        <w:tc>
          <w:tcPr>
            <w:tcW w:type="dxa" w:w="1800"/>
            <w:vAlign w:val="center"/>
          </w:tcPr>
          <w:p>
            <w:pPr>
              <w:spacing w:after="40" w:line="240" w:lineRule="auto"/>
            </w:pPr>
            <w:r/>
            <w:r>
              <w:rPr>
                <w:rFonts w:ascii="Times New Roman" w:hAnsi="Times New Roman" w:eastAsia="Times New Roman"/>
                <w:b w:val="0"/>
                <w:color w:val="000000"/>
                <w:sz w:val="21"/>
              </w:rPr>
              <w:t>Cách làm việc</w:t>
            </w:r>
          </w:p>
        </w:tc>
        <w:tc>
          <w:tcPr>
            <w:tcW w:type="dxa" w:w="7416"/>
            <w:vAlign w:val="center"/>
          </w:tcPr>
          <w:p>
            <w:pPr>
              <w:spacing w:after="40" w:line="240" w:lineRule="auto"/>
            </w:pPr>
            <w:r/>
            <w:r>
              <w:rPr>
                <w:rFonts w:ascii="Times New Roman" w:hAnsi="Times New Roman" w:eastAsia="Times New Roman"/>
                <w:b w:val="0"/>
                <w:color w:val="000000"/>
                <w:sz w:val="21"/>
              </w:rPr>
              <w:t>Viết lại trung lập: “Khi quy tắc chuyển người thay đổi mà chưa được thống nhất và thông báo cho cả nhóm, các thành viên phải sửa lại công việc. Nhóm sẽ thống nhất quy tắc trong kênh chung và cập nhật tài liệu trước khi triển khai.”</w:t>
            </w:r>
          </w:p>
        </w:tc>
      </w:tr>
      <w:tr>
        <w:tc>
          <w:tcPr>
            <w:tcW w:type="dxa" w:w="792"/>
            <w:vAlign w:val="center"/>
          </w:tcPr>
          <w:p>
            <w:pPr>
              <w:spacing w:after="40" w:line="240" w:lineRule="auto"/>
            </w:pPr>
            <w:r/>
            <w:r>
              <w:rPr>
                <w:rFonts w:ascii="Times New Roman" w:hAnsi="Times New Roman" w:eastAsia="Times New Roman"/>
                <w:b w:val="0"/>
                <w:color w:val="000000"/>
                <w:sz w:val="21"/>
              </w:rPr>
              <w:t>R-04</w:t>
            </w:r>
          </w:p>
        </w:tc>
        <w:tc>
          <w:tcPr>
            <w:tcW w:type="dxa" w:w="1800"/>
            <w:vAlign w:val="center"/>
          </w:tcPr>
          <w:p>
            <w:pPr>
              <w:spacing w:after="40" w:line="240" w:lineRule="auto"/>
            </w:pPr>
            <w:r/>
            <w:r>
              <w:rPr>
                <w:rFonts w:ascii="Times New Roman" w:hAnsi="Times New Roman" w:eastAsia="Times New Roman"/>
                <w:b w:val="0"/>
                <w:color w:val="000000"/>
                <w:sz w:val="21"/>
              </w:rPr>
              <w:t>Cách làm việc</w:t>
            </w:r>
          </w:p>
        </w:tc>
        <w:tc>
          <w:tcPr>
            <w:tcW w:type="dxa" w:w="7416"/>
            <w:vAlign w:val="center"/>
          </w:tcPr>
          <w:p>
            <w:pPr>
              <w:spacing w:after="40" w:line="240" w:lineRule="auto"/>
            </w:pPr>
            <w:r/>
            <w:r>
              <w:rPr>
                <w:rFonts w:ascii="Times New Roman" w:hAnsi="Times New Roman" w:eastAsia="Times New Roman"/>
                <w:b w:val="0"/>
                <w:color w:val="000000"/>
                <w:sz w:val="21"/>
              </w:rPr>
              <w:t>Giữ ở Stop vì phản ánh quy trình trao đổi và cập nhật thông tin. Có thể diễn đạt: “Dừng áp dụng thay đổi quy tắc chỉ qua tin nhắn riêng khi tài liệu chung chưa được cập nhật.”</w:t>
            </w:r>
          </w:p>
        </w:tc>
      </w:tr>
      <w:tr>
        <w:tc>
          <w:tcPr>
            <w:tcW w:type="dxa" w:w="792"/>
            <w:vAlign w:val="center"/>
          </w:tcPr>
          <w:p>
            <w:pPr>
              <w:spacing w:after="40" w:line="240" w:lineRule="auto"/>
            </w:pPr>
            <w:r/>
            <w:r>
              <w:rPr>
                <w:rFonts w:ascii="Times New Roman" w:hAnsi="Times New Roman" w:eastAsia="Times New Roman"/>
                <w:b w:val="0"/>
                <w:color w:val="000000"/>
                <w:sz w:val="21"/>
              </w:rPr>
              <w:t>R-05</w:t>
            </w:r>
          </w:p>
        </w:tc>
        <w:tc>
          <w:tcPr>
            <w:tcW w:type="dxa" w:w="1800"/>
            <w:vAlign w:val="center"/>
          </w:tcPr>
          <w:p>
            <w:pPr>
              <w:spacing w:after="40" w:line="240" w:lineRule="auto"/>
            </w:pPr>
            <w:r/>
            <w:r>
              <w:rPr>
                <w:rFonts w:ascii="Times New Roman" w:hAnsi="Times New Roman" w:eastAsia="Times New Roman"/>
                <w:b w:val="0"/>
                <w:color w:val="000000"/>
                <w:sz w:val="21"/>
              </w:rPr>
              <w:t>Cách làm việc</w:t>
            </w:r>
          </w:p>
        </w:tc>
        <w:tc>
          <w:tcPr>
            <w:tcW w:type="dxa" w:w="7416"/>
            <w:vAlign w:val="center"/>
          </w:tcPr>
          <w:p>
            <w:pPr>
              <w:spacing w:after="40" w:line="240" w:lineRule="auto"/>
            </w:pPr>
            <w:r/>
            <w:r>
              <w:rPr>
                <w:rFonts w:ascii="Times New Roman" w:hAnsi="Times New Roman" w:eastAsia="Times New Roman"/>
                <w:b w:val="0"/>
                <w:color w:val="000000"/>
                <w:sz w:val="21"/>
              </w:rPr>
              <w:t>Giữ ở Continue. Pairing giữa người kiểm thử và người phụ trách luồng hội thoại giúp cùng tái hiện, trao đổi và xác định nguyên nhân lỗi.</w:t>
            </w:r>
          </w:p>
        </w:tc>
      </w:tr>
      <w:tr>
        <w:tc>
          <w:tcPr>
            <w:tcW w:type="dxa" w:w="792"/>
            <w:vAlign w:val="center"/>
          </w:tcPr>
          <w:p>
            <w:pPr>
              <w:spacing w:after="40" w:line="240" w:lineRule="auto"/>
            </w:pPr>
            <w:r/>
            <w:r>
              <w:rPr>
                <w:rFonts w:ascii="Times New Roman" w:hAnsi="Times New Roman" w:eastAsia="Times New Roman"/>
                <w:b w:val="0"/>
                <w:color w:val="000000"/>
                <w:sz w:val="21"/>
              </w:rPr>
              <w:t>R-06</w:t>
            </w:r>
          </w:p>
        </w:tc>
        <w:tc>
          <w:tcPr>
            <w:tcW w:type="dxa" w:w="1800"/>
            <w:vAlign w:val="center"/>
          </w:tcPr>
          <w:p>
            <w:pPr>
              <w:spacing w:after="40" w:line="240" w:lineRule="auto"/>
            </w:pPr>
            <w:r/>
            <w:r>
              <w:rPr>
                <w:rFonts w:ascii="Times New Roman" w:hAnsi="Times New Roman" w:eastAsia="Times New Roman"/>
                <w:b w:val="0"/>
                <w:color w:val="000000"/>
                <w:sz w:val="21"/>
              </w:rPr>
              <w:t>Phản hồi sản phẩm</w:t>
            </w:r>
          </w:p>
        </w:tc>
        <w:tc>
          <w:tcPr>
            <w:tcW w:type="dxa" w:w="7416"/>
            <w:vAlign w:val="center"/>
          </w:tcPr>
          <w:p>
            <w:pPr>
              <w:spacing w:after="40" w:line="240" w:lineRule="auto"/>
            </w:pPr>
            <w:r/>
            <w:r>
              <w:rPr>
                <w:rFonts w:ascii="Times New Roman" w:hAnsi="Times New Roman" w:eastAsia="Times New Roman"/>
                <w:b w:val="0"/>
                <w:color w:val="000000"/>
                <w:sz w:val="21"/>
              </w:rPr>
              <w:t>Chuyển sang Product Backlog hoặc buổi xem xét mục tiêu/chỉ số sản phẩm. Tỷ lệ AI tự trả lời 90% là mục tiêu sản phẩm, không nên đưa trực tiếp vào Start–Stop–Continue của Retrospective.</w:t>
            </w:r>
          </w:p>
        </w:tc>
      </w:tr>
      <w:tr>
        <w:tc>
          <w:tcPr>
            <w:tcW w:type="dxa" w:w="792"/>
            <w:vAlign w:val="center"/>
          </w:tcPr>
          <w:p>
            <w:pPr>
              <w:spacing w:after="40" w:line="240" w:lineRule="auto"/>
            </w:pPr>
            <w:r/>
            <w:r>
              <w:rPr>
                <w:rFonts w:ascii="Times New Roman" w:hAnsi="Times New Roman" w:eastAsia="Times New Roman"/>
                <w:b w:val="0"/>
                <w:color w:val="000000"/>
                <w:sz w:val="21"/>
              </w:rPr>
              <w:t>R-07</w:t>
            </w:r>
          </w:p>
        </w:tc>
        <w:tc>
          <w:tcPr>
            <w:tcW w:type="dxa" w:w="1800"/>
            <w:vAlign w:val="center"/>
          </w:tcPr>
          <w:p>
            <w:pPr>
              <w:spacing w:after="40" w:line="240" w:lineRule="auto"/>
            </w:pPr>
            <w:r/>
            <w:r>
              <w:rPr>
                <w:rFonts w:ascii="Times New Roman" w:hAnsi="Times New Roman" w:eastAsia="Times New Roman"/>
                <w:b w:val="0"/>
                <w:color w:val="000000"/>
                <w:sz w:val="21"/>
              </w:rPr>
              <w:t>Cách làm việc</w:t>
            </w:r>
          </w:p>
        </w:tc>
        <w:tc>
          <w:tcPr>
            <w:tcW w:type="dxa" w:w="7416"/>
            <w:vAlign w:val="center"/>
          </w:tcPr>
          <w:p>
            <w:pPr>
              <w:spacing w:after="40" w:line="240" w:lineRule="auto"/>
            </w:pPr>
            <w:r/>
            <w:r>
              <w:rPr>
                <w:rFonts w:ascii="Times New Roman" w:hAnsi="Times New Roman" w:eastAsia="Times New Roman"/>
                <w:b w:val="0"/>
                <w:color w:val="000000"/>
                <w:sz w:val="21"/>
              </w:rPr>
              <w:t>Không chấp nhận đề xuất hạ Definition of Done để kịp Sprint. Giữ yêu cầu không còn lỗi mức nghiêm trọng cao; nhóm có thể xem lại cách lập kế hoạch, chia nhỏ công việc và kiểm thử sớm để cải thiện tiến độ.</w:t>
            </w:r>
          </w:p>
        </w:tc>
      </w:tr>
    </w:tbl>
    <w:p/>
    <w:p>
      <w:pPr>
        <w:widowControl/>
      </w:pPr>
      <w:r>
        <w:t>Phần 2. Sửa Improvement</w:t>
      </w:r>
    </w:p>
    <w:p>
      <w:pPr>
        <w:widowControl/>
      </w:pPr>
      <w:r>
        <w:t>Chọn hai Improvement có thể kiểm tra được trong Sprint tiếp theo. IM-11-04 được ưu tiên vì liên quan trực tiếp đến sự kiện ngày 2 và có bằng chứng rõ ràng; IM-11-02 được cụ thể hóa để kiểm tra việc phối hợp kiểm thử thay vì chỉ ghi “ít lỗi hơn”.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72"/>
        <w:gridCol w:w="1944"/>
        <w:gridCol w:w="2088"/>
        <w:gridCol w:w="2304"/>
      </w:tblGrid>
      <w:tr>
        <w:tc>
          <w:tcPr>
            <w:tcW w:type="dxa" w:w="2484"/>
            <w:vAlign w:val="center"/>
          </w:tcPr>
          <w:p>
            <w:pPr>
              <w:spacing w:after="40" w:line="240" w:lineRule="auto"/>
            </w:pPr>
            <w:r/>
            <w:r>
              <w:rPr>
                <w:rFonts w:ascii="Times New Roman" w:hAnsi="Times New Roman" w:eastAsia="Times New Roman"/>
                <w:b w:val="0"/>
                <w:color w:val="000000"/>
                <w:sz w:val="21"/>
              </w:rPr>
              <w:t>Hành động</w:t>
            </w:r>
          </w:p>
        </w:tc>
        <w:tc>
          <w:tcPr>
            <w:tcW w:type="dxa" w:w="2484"/>
            <w:vAlign w:val="center"/>
          </w:tcPr>
          <w:p>
            <w:pPr>
              <w:spacing w:after="40" w:line="240" w:lineRule="auto"/>
            </w:pPr>
            <w:r/>
            <w:r>
              <w:rPr>
                <w:rFonts w:ascii="Times New Roman" w:hAnsi="Times New Roman" w:eastAsia="Times New Roman"/>
                <w:b w:val="0"/>
                <w:color w:val="000000"/>
                <w:sz w:val="21"/>
              </w:rPr>
              <w:t>Người/nhóm theo dõi</w:t>
            </w:r>
          </w:p>
        </w:tc>
        <w:tc>
          <w:tcPr>
            <w:tcW w:type="dxa" w:w="2484"/>
            <w:vAlign w:val="center"/>
          </w:tcPr>
          <w:p>
            <w:pPr>
              <w:spacing w:after="40" w:line="240" w:lineRule="auto"/>
            </w:pPr>
            <w:r/>
            <w:r>
              <w:rPr>
                <w:rFonts w:ascii="Times New Roman" w:hAnsi="Times New Roman" w:eastAsia="Times New Roman"/>
                <w:b w:val="0"/>
                <w:color w:val="000000"/>
                <w:sz w:val="21"/>
              </w:rPr>
              <w:t>Khi kiểm tra</w:t>
            </w:r>
          </w:p>
        </w:tc>
        <w:tc>
          <w:tcPr>
            <w:tcW w:type="dxa" w:w="2484"/>
            <w:vAlign w:val="center"/>
          </w:tcPr>
          <w:p>
            <w:pPr>
              <w:spacing w:after="40" w:line="240" w:lineRule="auto"/>
            </w:pPr>
            <w:r/>
            <w:r>
              <w:rPr>
                <w:rFonts w:ascii="Times New Roman" w:hAnsi="Times New Roman" w:eastAsia="Times New Roman"/>
                <w:b w:val="0"/>
                <w:color w:val="000000"/>
                <w:sz w:val="21"/>
              </w:rPr>
              <w:t>Bằng chứng</w:t>
            </w:r>
          </w:p>
        </w:tc>
      </w:tr>
      <w:tr>
        <w:tc>
          <w:tcPr>
            <w:tcW w:type="dxa" w:w="3672"/>
            <w:vAlign w:val="center"/>
          </w:tcPr>
          <w:p>
            <w:pPr>
              <w:spacing w:after="40" w:line="240" w:lineRule="auto"/>
            </w:pPr>
            <w:r/>
            <w:r>
              <w:rPr>
                <w:rFonts w:ascii="Times New Roman" w:hAnsi="Times New Roman" w:eastAsia="Times New Roman"/>
                <w:b w:val="0"/>
                <w:color w:val="000000"/>
                <w:sz w:val="21"/>
              </w:rPr>
              <w:t>Khi thay đổi quy tắc chuyển người, nhóm cập nhật tài liệu chung và thông báo trong kênh chung trước khi triển khai. Người phụ trách thay đổi cùng Developers theo dõi.</w:t>
            </w:r>
          </w:p>
        </w:tc>
        <w:tc>
          <w:tcPr>
            <w:tcW w:type="dxa" w:w="1944"/>
            <w:vAlign w:val="center"/>
          </w:tcPr>
          <w:p>
            <w:pPr>
              <w:spacing w:after="40" w:line="240" w:lineRule="auto"/>
            </w:pPr>
            <w:r/>
            <w:r>
              <w:rPr>
                <w:rFonts w:ascii="Times New Roman" w:hAnsi="Times New Roman" w:eastAsia="Times New Roman"/>
                <w:b w:val="0"/>
                <w:color w:val="000000"/>
                <w:sz w:val="21"/>
              </w:rPr>
              <w:t>Developers; người thực hiện thay đổi quy tắc</w:t>
            </w:r>
          </w:p>
        </w:tc>
        <w:tc>
          <w:tcPr>
            <w:tcW w:type="dxa" w:w="2088"/>
            <w:vAlign w:val="center"/>
          </w:tcPr>
          <w:p>
            <w:pPr>
              <w:spacing w:after="40" w:line="240" w:lineRule="auto"/>
            </w:pPr>
            <w:r/>
            <w:r>
              <w:rPr>
                <w:rFonts w:ascii="Times New Roman" w:hAnsi="Times New Roman" w:eastAsia="Times New Roman"/>
                <w:b w:val="0"/>
                <w:color w:val="000000"/>
                <w:sz w:val="21"/>
              </w:rPr>
              <w:t>Mỗi lần thay đổi trong Sprint 12; rà soát tại Daily Scrum và cuối Sprint</w:t>
            </w:r>
          </w:p>
        </w:tc>
        <w:tc>
          <w:tcPr>
            <w:tcW w:type="dxa" w:w="2304"/>
            <w:vAlign w:val="center"/>
          </w:tcPr>
          <w:p>
            <w:pPr>
              <w:spacing w:after="40" w:line="240" w:lineRule="auto"/>
            </w:pPr>
            <w:r/>
            <w:r>
              <w:rPr>
                <w:rFonts w:ascii="Times New Roman" w:hAnsi="Times New Roman" w:eastAsia="Times New Roman"/>
                <w:b w:val="0"/>
                <w:color w:val="000000"/>
                <w:sz w:val="21"/>
              </w:rPr>
              <w:t>Lịch sử phiên bản tài liệu và thông báo trong kênh chung có thời điểm trước khi triển khai</w:t>
            </w:r>
          </w:p>
        </w:tc>
      </w:tr>
      <w:tr>
        <w:tc>
          <w:tcPr>
            <w:tcW w:type="dxa" w:w="3672"/>
            <w:vAlign w:val="center"/>
          </w:tcPr>
          <w:p>
            <w:pPr>
              <w:spacing w:after="40" w:line="240" w:lineRule="auto"/>
            </w:pPr>
            <w:r/>
            <w:r>
              <w:rPr>
                <w:rFonts w:ascii="Times New Roman" w:hAnsi="Times New Roman" w:eastAsia="Times New Roman"/>
                <w:b w:val="0"/>
                <w:color w:val="000000"/>
                <w:sz w:val="21"/>
              </w:rPr>
              <w:t>Khi tái hiện lỗi phân loại hội thoại, người phụ trách kiểm thử và người phụ trách luồng hội thoại cùng thực hiện pairing, ghi lại bước tái hiện và kết quả kiểm thử. Khánh Vy cùng Developers theo dõi.</w:t>
            </w:r>
          </w:p>
        </w:tc>
        <w:tc>
          <w:tcPr>
            <w:tcW w:type="dxa" w:w="1944"/>
            <w:vAlign w:val="center"/>
          </w:tcPr>
          <w:p>
            <w:pPr>
              <w:spacing w:after="40" w:line="240" w:lineRule="auto"/>
            </w:pPr>
            <w:r/>
            <w:r>
              <w:rPr>
                <w:rFonts w:ascii="Times New Roman" w:hAnsi="Times New Roman" w:eastAsia="Times New Roman"/>
                <w:b w:val="0"/>
                <w:color w:val="000000"/>
                <w:sz w:val="21"/>
              </w:rPr>
              <w:t>Khánh Vy và Developers phụ trách luồng hội thoại</w:t>
            </w:r>
          </w:p>
        </w:tc>
        <w:tc>
          <w:tcPr>
            <w:tcW w:type="dxa" w:w="2088"/>
            <w:vAlign w:val="center"/>
          </w:tcPr>
          <w:p>
            <w:pPr>
              <w:spacing w:after="40" w:line="240" w:lineRule="auto"/>
            </w:pPr>
            <w:r/>
            <w:r>
              <w:rPr>
                <w:rFonts w:ascii="Times New Roman" w:hAnsi="Times New Roman" w:eastAsia="Times New Roman"/>
                <w:b w:val="0"/>
                <w:color w:val="000000"/>
                <w:sz w:val="21"/>
              </w:rPr>
              <w:t>Với mỗi lỗi phân loại được tái hiện trong Sprint 12; tổng hợp cuối Sprint</w:t>
            </w:r>
          </w:p>
        </w:tc>
        <w:tc>
          <w:tcPr>
            <w:tcW w:type="dxa" w:w="2304"/>
            <w:vAlign w:val="center"/>
          </w:tcPr>
          <w:p>
            <w:pPr>
              <w:spacing w:after="40" w:line="240" w:lineRule="auto"/>
            </w:pPr>
            <w:r/>
            <w:r>
              <w:rPr>
                <w:rFonts w:ascii="Times New Roman" w:hAnsi="Times New Roman" w:eastAsia="Times New Roman"/>
                <w:b w:val="0"/>
                <w:color w:val="000000"/>
                <w:sz w:val="21"/>
              </w:rPr>
              <w:t>Phiếu lỗi có bước tái hiện, người tham gia pairing, kết quả kiểm thử và trạng thái xử lý</w:t>
            </w:r>
          </w:p>
        </w:tc>
      </w:tr>
    </w:tbl>
    <w:p/>
    <w:p>
      <w:pPr>
        <w:widowControl/>
      </w:pPr>
      <w:r>
        <w:t>Các Improvement còn lại:</w:t>
      </w:r>
    </w:p>
    <w:p>
      <w:pPr>
        <w:widowControl/>
      </w:pPr>
      <w:r>
        <w:t>IM-11-01 “Giao tiếp tốt hơn” quá chung chung, chưa có hành động hay bằng chứng kiểm tra nên không chọn nguyên trạng. IM-11-03 là mục tiêu tỷ lệ sản phẩm, cần được xem xét ở Product Backlog hoặc hoạt động đánh giá sản phẩm; không chọn làm Improvement của Retrospective.</w:t>
      </w:r>
    </w:p>
    <w:p>
      <w:pPr>
        <w:widowControl/>
      </w:pPr>
      <w:r>
        <w:t>Xử lý IM-10-02: Không chỉ gia hạn thời hạn mà cần tìm nguyên nhân vì sao Integration Test chỉ bắt đầu ở Ngày 8 dù mục tiêu là không muộn hơn Ngày 4. Nhóm nên xem lại quyền truy cập môi trường, sự phụ thuộc và kế hoạch kiểm thử; trong Sprint 12, theo dõi mốc chạy Integration Test đầu tiên và ghi nhận ngày chạy thực tế cùng nguyên nhân nếu trễ.</w:t>
      </w:r>
    </w:p>
    <w:p>
      <w:pPr>
        <w:widowControl/>
      </w:pPr>
      <w:r>
        <w:t>Phần 3. Nhận xét cách điều phối</w:t>
      </w:r>
    </w:p>
    <w:p>
      <w:pPr>
        <w:widowControl/>
      </w:pPr>
      <w:r>
        <w:t>Thứ nhất, Scrum Master mở đầu bằng câu hỏi “Ai đã làm sáu khiếu nại bị phân loại sai?” khiến buổi họp tập trung truy tìm người chịu lỗi thay vì tìm nguyên nhân trong quy trình. Khi tên một thành viên được nêu ra, các thành viên khác ngừng phát biểu; điều này làm giảm cảm giác an toàn và khiến nhóm khó chia sẻ vấn đề thật.</w:t>
      </w:r>
    </w:p>
    <w:p>
      <w:pPr>
        <w:widowControl/>
      </w:pPr>
      <w:r>
        <w:t>Thứ hai, Product Owner trả lời từng ý và tự chọn giải pháp, thay vì tạo điều kiện để Scrum Team cùng phân tích và quyết định Improvement. Cách điều phối này làm giảm quyền tham gia của Developers, khiến hành động cải tiến thiếu sự đồng thuận và khó được cả nhóm chủ động thực hiện.</w:t>
      </w:r>
    </w:p>
    <w:p>
      <w:pPr>
        <w:widowControl/>
      </w:pPr>
      <w:r>
        <w:t>Buổi Retrospective nên bắt đầu bằng dữ liệu và câu hỏi trung lập về điều kiện làm việc, chẳng hạn: “Những yếu tố nào khiến sáu khiếu nại bị phân loại sai?”. Sau đó, Scrum Team cùng thảo luận, chọn tối đa hai hành động có người theo dõi, thời điểm kiểm tra và bằng chứng cụ thể.</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SS9_bt2</dc:title>
  <dc:subject>Phân loại và sửa biên bản Sprint Retrospective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