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E9" w:rsidRDefault="00C745E9" w:rsidP="004C3A34">
      <w:pPr>
        <w:spacing w:after="0"/>
      </w:pPr>
    </w:p>
    <w:p w:rsidR="00C745E9" w:rsidRDefault="00C745E9" w:rsidP="004C3A34">
      <w:pPr>
        <w:spacing w:after="0"/>
      </w:pPr>
    </w:p>
    <w:p w:rsidR="00C745E9" w:rsidRDefault="00C745E9" w:rsidP="004C3A34">
      <w:pPr>
        <w:spacing w:after="0"/>
      </w:pPr>
    </w:p>
    <w:p w:rsidR="00E82C36" w:rsidRDefault="004C3A34" w:rsidP="004C3A34">
      <w:pPr>
        <w:spacing w:after="0"/>
      </w:pPr>
      <w:r>
        <w:t>Au 1</w:t>
      </w:r>
      <w:r w:rsidRPr="004C3A34">
        <w:rPr>
          <w:vertAlign w:val="superscript"/>
        </w:rPr>
        <w:t>er</w:t>
      </w:r>
      <w:r>
        <w:t xml:space="preserve"> mars 2020 s’applique le nouvel accord sur les salaires minima dans la chimie.</w:t>
      </w:r>
    </w:p>
    <w:p w:rsidR="004C3A34" w:rsidRDefault="004C3A34" w:rsidP="004C3A34">
      <w:pPr>
        <w:spacing w:after="0"/>
      </w:pPr>
      <w:r>
        <w:t xml:space="preserve">3 conséquences : </w:t>
      </w:r>
    </w:p>
    <w:p w:rsidR="004C3A34" w:rsidRDefault="004C3A34" w:rsidP="004C3A34">
      <w:pPr>
        <w:pStyle w:val="Paragraphedeliste"/>
        <w:numPr>
          <w:ilvl w:val="0"/>
          <w:numId w:val="1"/>
        </w:numPr>
        <w:spacing w:after="0"/>
      </w:pPr>
      <w:r>
        <w:t>sur le salaire pour les nouveaux embauchés et les intérimaires</w:t>
      </w:r>
      <w:r w:rsidRPr="004C3A34">
        <w:t xml:space="preserve"> </w:t>
      </w:r>
      <w:r>
        <w:t>à l’UAP1 et 2</w:t>
      </w:r>
      <w:r>
        <w:t>.</w:t>
      </w:r>
    </w:p>
    <w:p w:rsidR="004C3A34" w:rsidRDefault="004C3A34" w:rsidP="004C3A34">
      <w:pPr>
        <w:pStyle w:val="Paragraphedeliste"/>
        <w:numPr>
          <w:ilvl w:val="0"/>
          <w:numId w:val="1"/>
        </w:numPr>
        <w:spacing w:after="0"/>
      </w:pPr>
      <w:r>
        <w:t>Sur le salaire référence pour le calcul de la prime d’ancienneté</w:t>
      </w:r>
    </w:p>
    <w:p w:rsidR="004C3A34" w:rsidRDefault="004C3A34" w:rsidP="00F76DDD">
      <w:pPr>
        <w:pStyle w:val="Paragraphedeliste"/>
        <w:numPr>
          <w:ilvl w:val="0"/>
          <w:numId w:val="1"/>
        </w:numPr>
        <w:spacing w:after="0"/>
        <w:ind w:left="714" w:hanging="357"/>
      </w:pPr>
      <w:r>
        <w:t xml:space="preserve">Sur le montant </w:t>
      </w:r>
      <w:proofErr w:type="gramStart"/>
      <w:r>
        <w:t>de la</w:t>
      </w:r>
      <w:proofErr w:type="gramEnd"/>
      <w:r>
        <w:t xml:space="preserve"> prime panier de nuit qui passe à </w:t>
      </w:r>
      <w:r w:rsidRPr="00F76DDD">
        <w:rPr>
          <w:b/>
        </w:rPr>
        <w:t>9.97 € par nuit</w:t>
      </w:r>
    </w:p>
    <w:p w:rsidR="004C3A34" w:rsidRDefault="004C3A34"/>
    <w:p w:rsidR="00F76DDD" w:rsidRPr="00757AEC" w:rsidRDefault="00A5236D" w:rsidP="00F76DDD">
      <w:pPr>
        <w:jc w:val="center"/>
        <w:rPr>
          <w:sz w:val="24"/>
          <w:szCs w:val="24"/>
        </w:rPr>
      </w:pPr>
      <w:r w:rsidRPr="00757AEC">
        <w:rPr>
          <w:noProof/>
          <w:sz w:val="24"/>
          <w:szCs w:val="24"/>
          <w:lang w:eastAsia="fr-FR"/>
        </w:rPr>
        <mc:AlternateContent>
          <mc:Choice Requires="wps">
            <w:drawing>
              <wp:anchor distT="0" distB="0" distL="0" distR="89535" simplePos="0" relativeHeight="251658240" behindDoc="0" locked="0" layoutInCell="1" allowOverlap="1">
                <wp:simplePos x="0" y="0"/>
                <wp:positionH relativeFrom="margin">
                  <wp:posOffset>657225</wp:posOffset>
                </wp:positionH>
                <wp:positionV relativeFrom="paragraph">
                  <wp:posOffset>271145</wp:posOffset>
                </wp:positionV>
                <wp:extent cx="4286250" cy="1228725"/>
                <wp:effectExtent l="0" t="0" r="0" b="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101"/>
                              <w:gridCol w:w="992"/>
                              <w:gridCol w:w="2410"/>
                              <w:gridCol w:w="1984"/>
                              <w:gridCol w:w="30"/>
                            </w:tblGrid>
                            <w:tr w:rsidR="004C3A34">
                              <w:trPr>
                                <w:trHeight w:val="274"/>
                              </w:trPr>
                              <w:tc>
                                <w:tcPr>
                                  <w:tcW w:w="1101" w:type="dxa"/>
                                  <w:tcBorders>
                                    <w:bottom w:val="single" w:sz="4" w:space="0" w:color="000000"/>
                                  </w:tcBorders>
                                  <w:shd w:val="clear" w:color="auto" w:fill="auto"/>
                                  <w:vAlign w:val="center"/>
                                </w:tcPr>
                                <w:p w:rsidR="004C3A34" w:rsidRDefault="004C3A34">
                                  <w:pPr>
                                    <w:snapToGrid w:val="0"/>
                                    <w:spacing w:after="0"/>
                                    <w:rPr>
                                      <w:sz w:val="28"/>
                                      <w:szCs w:val="28"/>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sz w:val="20"/>
                                      <w:szCs w:val="20"/>
                                    </w:rPr>
                                  </w:pPr>
                                  <w:proofErr w:type="spellStart"/>
                                  <w:r>
                                    <w:rPr>
                                      <w:sz w:val="20"/>
                                      <w:szCs w:val="20"/>
                                    </w:rPr>
                                    <w:t>Coeff</w:t>
                                  </w:r>
                                  <w:proofErr w:type="spellEnd"/>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sz w:val="20"/>
                                      <w:szCs w:val="20"/>
                                    </w:rPr>
                                  </w:pPr>
                                  <w:r>
                                    <w:rPr>
                                      <w:sz w:val="20"/>
                                      <w:szCs w:val="20"/>
                                    </w:rPr>
                                    <w:t>Salaire brut 35 h/sem.</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rPr>
                                      <w:sz w:val="20"/>
                                      <w:szCs w:val="20"/>
                                    </w:rPr>
                                    <w:t>Taux horaire brut</w:t>
                                  </w:r>
                                </w:p>
                              </w:tc>
                            </w:tr>
                            <w:tr w:rsidR="004C3A34">
                              <w:trPr>
                                <w:trHeight w:val="369"/>
                              </w:trPr>
                              <w:tc>
                                <w:tcPr>
                                  <w:tcW w:w="1101"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 xml:space="preserve">Ouvriers et </w:t>
                                  </w:r>
                                </w:p>
                                <w:p w:rsidR="004C3A34" w:rsidRDefault="004C3A34">
                                  <w:pPr>
                                    <w:spacing w:after="0"/>
                                    <w:jc w:val="center"/>
                                    <w:rPr>
                                      <w:b/>
                                      <w:sz w:val="16"/>
                                      <w:szCs w:val="16"/>
                                    </w:rPr>
                                  </w:pPr>
                                  <w:r>
                                    <w:rPr>
                                      <w:b/>
                                      <w:sz w:val="16"/>
                                      <w:szCs w:val="16"/>
                                    </w:rPr>
                                    <w:t>Employés</w:t>
                                  </w:r>
                                </w:p>
                                <w:p w:rsidR="004C3A34" w:rsidRDefault="004C3A34">
                                  <w:pPr>
                                    <w:spacing w:after="0"/>
                                    <w:jc w:val="center"/>
                                    <w:rPr>
                                      <w:b/>
                                      <w:sz w:val="16"/>
                                      <w:szCs w:val="16"/>
                                    </w:rPr>
                                  </w:pPr>
                                  <w:r>
                                    <w:rPr>
                                      <w:b/>
                                      <w:sz w:val="16"/>
                                      <w:szCs w:val="16"/>
                                    </w:rPr>
                                    <w:t>Groupe</w:t>
                                  </w:r>
                                </w:p>
                                <w:p w:rsidR="004C3A34" w:rsidRDefault="004C3A34">
                                  <w:pPr>
                                    <w:spacing w:after="0"/>
                                    <w:jc w:val="center"/>
                                    <w:rPr>
                                      <w:b/>
                                    </w:rPr>
                                  </w:pPr>
                                  <w:r>
                                    <w:rPr>
                                      <w:b/>
                                      <w:sz w:val="16"/>
                                      <w:szCs w:val="16"/>
                                    </w:rPr>
                                    <w:t>I, II, III</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140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pPr>
                                    <w:spacing w:after="0"/>
                                    <w:jc w:val="center"/>
                                  </w:pPr>
                                  <w:r>
                                    <w:t>1561.94</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C745E9" w:rsidP="00F76DDD">
                                  <w:pPr>
                                    <w:spacing w:after="0"/>
                                    <w:jc w:val="center"/>
                                  </w:pPr>
                                  <w:r>
                                    <w:t xml:space="preserve"> </w:t>
                                  </w:r>
                                  <w:r w:rsidR="00F76DDD">
                                    <w:t>10.29</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160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rsidP="00F76DDD">
                                  <w:pPr>
                                    <w:spacing w:after="0"/>
                                    <w:jc w:val="center"/>
                                  </w:pPr>
                                  <w:r>
                                    <w:t>15</w:t>
                                  </w:r>
                                  <w:r w:rsidR="00F76DDD">
                                    <w:t>99</w:t>
                                  </w:r>
                                  <w:r>
                                    <w:t>.</w:t>
                                  </w:r>
                                  <w:r w:rsidR="00F76DDD">
                                    <w:t>4</w:t>
                                  </w:r>
                                  <w:r>
                                    <w:t>2</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rsidP="00C745E9">
                                  <w:pPr>
                                    <w:spacing w:after="0"/>
                                    <w:ind w:right="-108"/>
                                    <w:jc w:val="center"/>
                                  </w:pPr>
                                  <w:r>
                                    <w:t>1</w:t>
                                  </w:r>
                                  <w:r w:rsidR="00F76DDD">
                                    <w:t>0.55</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175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rsidP="00F76DDD">
                                  <w:pPr>
                                    <w:spacing w:after="0"/>
                                    <w:jc w:val="center"/>
                                  </w:pPr>
                                  <w:r>
                                    <w:t>1627</w:t>
                                  </w:r>
                                  <w:r w:rsidR="004C3A34">
                                    <w:t>.</w:t>
                                  </w:r>
                                  <w:r>
                                    <w:t>54</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ind w:right="-108"/>
                                    <w:jc w:val="center"/>
                                  </w:pPr>
                                  <w:r>
                                    <w:t>1</w:t>
                                  </w:r>
                                  <w:r w:rsidR="00F76DDD">
                                    <w:t>0.73</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190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pPr>
                                    <w:spacing w:after="0"/>
                                    <w:jc w:val="center"/>
                                  </w:pPr>
                                  <w:r>
                                    <w:t>1655.65</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C745E9">
                                  <w:pPr>
                                    <w:spacing w:after="0"/>
                                    <w:jc w:val="center"/>
                                  </w:pPr>
                                  <w:r>
                                    <w:t xml:space="preserve"> </w:t>
                                  </w:r>
                                  <w:r w:rsidR="00F76DDD">
                                    <w:t>10.92</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205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1661.76</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t>10.96</w:t>
                                  </w:r>
                                </w:p>
                              </w:tc>
                            </w:tr>
                            <w:tr w:rsidR="004C3A34">
                              <w:trPr>
                                <w:gridAfter w:val="1"/>
                                <w:wAfter w:w="30" w:type="dxa"/>
                                <w:trHeight w:val="369"/>
                              </w:trPr>
                              <w:tc>
                                <w:tcPr>
                                  <w:tcW w:w="1101"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Agents de maîtrise</w:t>
                                  </w:r>
                                </w:p>
                                <w:p w:rsidR="004C3A34" w:rsidRDefault="004C3A34">
                                  <w:pPr>
                                    <w:spacing w:after="0"/>
                                    <w:jc w:val="center"/>
                                    <w:rPr>
                                      <w:b/>
                                      <w:sz w:val="16"/>
                                      <w:szCs w:val="16"/>
                                    </w:rPr>
                                  </w:pPr>
                                  <w:r>
                                    <w:rPr>
                                      <w:b/>
                                      <w:sz w:val="16"/>
                                      <w:szCs w:val="16"/>
                                    </w:rPr>
                                    <w:t>et</w:t>
                                  </w:r>
                                </w:p>
                                <w:p w:rsidR="004C3A34" w:rsidRDefault="004C3A34">
                                  <w:pPr>
                                    <w:spacing w:after="0"/>
                                    <w:jc w:val="center"/>
                                    <w:rPr>
                                      <w:b/>
                                      <w:sz w:val="16"/>
                                      <w:szCs w:val="16"/>
                                    </w:rPr>
                                  </w:pPr>
                                  <w:r>
                                    <w:rPr>
                                      <w:b/>
                                      <w:sz w:val="16"/>
                                      <w:szCs w:val="16"/>
                                    </w:rPr>
                                    <w:t>Techniciens</w:t>
                                  </w:r>
                                </w:p>
                                <w:p w:rsidR="004C3A34" w:rsidRDefault="004C3A34">
                                  <w:pPr>
                                    <w:spacing w:after="0"/>
                                    <w:jc w:val="center"/>
                                    <w:rPr>
                                      <w:b/>
                                    </w:rPr>
                                  </w:pPr>
                                  <w:r>
                                    <w:rPr>
                                      <w:b/>
                                      <w:sz w:val="16"/>
                                      <w:szCs w:val="16"/>
                                    </w:rPr>
                                    <w:t>Groupe IV</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225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1698,75</w:t>
                                  </w:r>
                                </w:p>
                              </w:tc>
                              <w:tc>
                                <w:tcPr>
                                  <w:tcW w:w="1984"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235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1774,25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250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1887,50</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275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2076,25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300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2265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 xml:space="preserve"> 325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2453,75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360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428"/>
                              </w:trPr>
                              <w:tc>
                                <w:tcPr>
                                  <w:tcW w:w="1101"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Cadres</w:t>
                                  </w:r>
                                </w:p>
                                <w:p w:rsidR="004C3A34" w:rsidRDefault="004C3A34">
                                  <w:pPr>
                                    <w:spacing w:after="0"/>
                                    <w:jc w:val="center"/>
                                    <w:rPr>
                                      <w:b/>
                                    </w:rPr>
                                  </w:pPr>
                                  <w:r>
                                    <w:rPr>
                                      <w:b/>
                                      <w:sz w:val="16"/>
                                      <w:szCs w:val="16"/>
                                    </w:rPr>
                                    <w:t>ingénieurs</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350 à 880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2642,5 à 6644</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trHeight w:val="369"/>
                              </w:trPr>
                              <w:tc>
                                <w:tcPr>
                                  <w:tcW w:w="2093" w:type="dxa"/>
                                  <w:gridSpan w:val="2"/>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Caristes depuis juillet 2019</w:t>
                                  </w:r>
                                </w:p>
                                <w:p w:rsidR="004C3A34" w:rsidRDefault="004C3A34">
                                  <w:pPr>
                                    <w:spacing w:after="0"/>
                                    <w:jc w:val="center"/>
                                  </w:pPr>
                                  <w:r>
                                    <w:rPr>
                                      <w:b/>
                                      <w:sz w:val="16"/>
                                      <w:szCs w:val="16"/>
                                    </w:rPr>
                                    <w:t>10.59 si débutant puis :</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1668,37</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t>11</w:t>
                                  </w:r>
                                </w:p>
                              </w:tc>
                            </w:tr>
                          </w:tbl>
                          <w:p w:rsidR="004C3A34" w:rsidRDefault="004C3A34" w:rsidP="004C3A3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75pt;margin-top:21.35pt;width:337.5pt;height:96.75pt;z-index:25165824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" stroked="f">
                <v:fill opacity="0"/>
                <v:textbox inset="0,0,0,0">
                  <w:txbxContent>
                    <w:tbl>
                      <w:tblPr>
                        <w:tblW w:w="0" w:type="auto"/>
                        <w:tblInd w:w="108" w:type="dxa"/>
                        <w:tblLayout w:type="fixed"/>
                        <w:tblLook w:val="0000" w:firstRow="0" w:lastRow="0" w:firstColumn="0" w:lastColumn="0" w:noHBand="0" w:noVBand="0"/>
                      </w:tblPr>
                      <w:tblGrid>
                        <w:gridCol w:w="1101"/>
                        <w:gridCol w:w="992"/>
                        <w:gridCol w:w="2410"/>
                        <w:gridCol w:w="1984"/>
                        <w:gridCol w:w="30"/>
                      </w:tblGrid>
                      <w:tr w:rsidR="004C3A34">
                        <w:trPr>
                          <w:trHeight w:val="274"/>
                        </w:trPr>
                        <w:tc>
                          <w:tcPr>
                            <w:tcW w:w="1101" w:type="dxa"/>
                            <w:tcBorders>
                              <w:bottom w:val="single" w:sz="4" w:space="0" w:color="000000"/>
                            </w:tcBorders>
                            <w:shd w:val="clear" w:color="auto" w:fill="auto"/>
                            <w:vAlign w:val="center"/>
                          </w:tcPr>
                          <w:p w:rsidR="004C3A34" w:rsidRDefault="004C3A34">
                            <w:pPr>
                              <w:snapToGrid w:val="0"/>
                              <w:spacing w:after="0"/>
                              <w:rPr>
                                <w:sz w:val="28"/>
                                <w:szCs w:val="28"/>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sz w:val="20"/>
                                <w:szCs w:val="20"/>
                              </w:rPr>
                            </w:pPr>
                            <w:proofErr w:type="spellStart"/>
                            <w:r>
                              <w:rPr>
                                <w:sz w:val="20"/>
                                <w:szCs w:val="20"/>
                              </w:rPr>
                              <w:t>Coeff</w:t>
                            </w:r>
                            <w:proofErr w:type="spellEnd"/>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sz w:val="20"/>
                                <w:szCs w:val="20"/>
                              </w:rPr>
                            </w:pPr>
                            <w:r>
                              <w:rPr>
                                <w:sz w:val="20"/>
                                <w:szCs w:val="20"/>
                              </w:rPr>
                              <w:t>Salaire brut 35 h/sem.</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rPr>
                                <w:sz w:val="20"/>
                                <w:szCs w:val="20"/>
                              </w:rPr>
                              <w:t>Taux horaire brut</w:t>
                            </w:r>
                          </w:p>
                        </w:tc>
                      </w:tr>
                      <w:tr w:rsidR="004C3A34">
                        <w:trPr>
                          <w:trHeight w:val="369"/>
                        </w:trPr>
                        <w:tc>
                          <w:tcPr>
                            <w:tcW w:w="1101"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 xml:space="preserve">Ouvriers et </w:t>
                            </w:r>
                          </w:p>
                          <w:p w:rsidR="004C3A34" w:rsidRDefault="004C3A34">
                            <w:pPr>
                              <w:spacing w:after="0"/>
                              <w:jc w:val="center"/>
                              <w:rPr>
                                <w:b/>
                                <w:sz w:val="16"/>
                                <w:szCs w:val="16"/>
                              </w:rPr>
                            </w:pPr>
                            <w:r>
                              <w:rPr>
                                <w:b/>
                                <w:sz w:val="16"/>
                                <w:szCs w:val="16"/>
                              </w:rPr>
                              <w:t>Employés</w:t>
                            </w:r>
                          </w:p>
                          <w:p w:rsidR="004C3A34" w:rsidRDefault="004C3A34">
                            <w:pPr>
                              <w:spacing w:after="0"/>
                              <w:jc w:val="center"/>
                              <w:rPr>
                                <w:b/>
                                <w:sz w:val="16"/>
                                <w:szCs w:val="16"/>
                              </w:rPr>
                            </w:pPr>
                            <w:r>
                              <w:rPr>
                                <w:b/>
                                <w:sz w:val="16"/>
                                <w:szCs w:val="16"/>
                              </w:rPr>
                              <w:t>Groupe</w:t>
                            </w:r>
                          </w:p>
                          <w:p w:rsidR="004C3A34" w:rsidRDefault="004C3A34">
                            <w:pPr>
                              <w:spacing w:after="0"/>
                              <w:jc w:val="center"/>
                              <w:rPr>
                                <w:b/>
                              </w:rPr>
                            </w:pPr>
                            <w:r>
                              <w:rPr>
                                <w:b/>
                                <w:sz w:val="16"/>
                                <w:szCs w:val="16"/>
                              </w:rPr>
                              <w:t>I, II, III</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140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pPr>
                              <w:spacing w:after="0"/>
                              <w:jc w:val="center"/>
                            </w:pPr>
                            <w:r>
                              <w:t>1561.94</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C745E9" w:rsidP="00F76DDD">
                            <w:pPr>
                              <w:spacing w:after="0"/>
                              <w:jc w:val="center"/>
                            </w:pPr>
                            <w:r>
                              <w:t xml:space="preserve"> </w:t>
                            </w:r>
                            <w:r w:rsidR="00F76DDD">
                              <w:t>10.29</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160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rsidP="00F76DDD">
                            <w:pPr>
                              <w:spacing w:after="0"/>
                              <w:jc w:val="center"/>
                            </w:pPr>
                            <w:r>
                              <w:t>15</w:t>
                            </w:r>
                            <w:r w:rsidR="00F76DDD">
                              <w:t>99</w:t>
                            </w:r>
                            <w:r>
                              <w:t>.</w:t>
                            </w:r>
                            <w:r w:rsidR="00F76DDD">
                              <w:t>4</w:t>
                            </w:r>
                            <w:r>
                              <w:t>2</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rsidP="00C745E9">
                            <w:pPr>
                              <w:spacing w:after="0"/>
                              <w:ind w:right="-108"/>
                              <w:jc w:val="center"/>
                            </w:pPr>
                            <w:r>
                              <w:t>1</w:t>
                            </w:r>
                            <w:r w:rsidR="00F76DDD">
                              <w:t>0.55</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175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rsidP="00F76DDD">
                            <w:pPr>
                              <w:spacing w:after="0"/>
                              <w:jc w:val="center"/>
                            </w:pPr>
                            <w:r>
                              <w:t>1627</w:t>
                            </w:r>
                            <w:r w:rsidR="004C3A34">
                              <w:t>.</w:t>
                            </w:r>
                            <w:r>
                              <w:t>54</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ind w:right="-108"/>
                              <w:jc w:val="center"/>
                            </w:pPr>
                            <w:r>
                              <w:t>1</w:t>
                            </w:r>
                            <w:r w:rsidR="00F76DDD">
                              <w:t>0.73</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190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F76DDD">
                            <w:pPr>
                              <w:spacing w:after="0"/>
                              <w:jc w:val="center"/>
                            </w:pPr>
                            <w:r>
                              <w:t>1655.65</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C745E9">
                            <w:pPr>
                              <w:spacing w:after="0"/>
                              <w:jc w:val="center"/>
                            </w:pPr>
                            <w:r>
                              <w:t xml:space="preserve"> </w:t>
                            </w:r>
                            <w:r w:rsidR="00F76DDD">
                              <w:t>10.92</w:t>
                            </w:r>
                          </w:p>
                        </w:tc>
                      </w:tr>
                      <w:tr w:rsidR="004C3A34">
                        <w:trPr>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205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1661.76</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t>10.96</w:t>
                            </w:r>
                          </w:p>
                        </w:tc>
                      </w:tr>
                      <w:tr w:rsidR="004C3A34">
                        <w:trPr>
                          <w:gridAfter w:val="1"/>
                          <w:wAfter w:w="30" w:type="dxa"/>
                          <w:trHeight w:val="369"/>
                        </w:trPr>
                        <w:tc>
                          <w:tcPr>
                            <w:tcW w:w="1101"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Agents de maîtrise</w:t>
                            </w:r>
                          </w:p>
                          <w:p w:rsidR="004C3A34" w:rsidRDefault="004C3A34">
                            <w:pPr>
                              <w:spacing w:after="0"/>
                              <w:jc w:val="center"/>
                              <w:rPr>
                                <w:b/>
                                <w:sz w:val="16"/>
                                <w:szCs w:val="16"/>
                              </w:rPr>
                            </w:pPr>
                            <w:r>
                              <w:rPr>
                                <w:b/>
                                <w:sz w:val="16"/>
                                <w:szCs w:val="16"/>
                              </w:rPr>
                              <w:t>et</w:t>
                            </w:r>
                          </w:p>
                          <w:p w:rsidR="004C3A34" w:rsidRDefault="004C3A34">
                            <w:pPr>
                              <w:spacing w:after="0"/>
                              <w:jc w:val="center"/>
                              <w:rPr>
                                <w:b/>
                                <w:sz w:val="16"/>
                                <w:szCs w:val="16"/>
                              </w:rPr>
                            </w:pPr>
                            <w:r>
                              <w:rPr>
                                <w:b/>
                                <w:sz w:val="16"/>
                                <w:szCs w:val="16"/>
                              </w:rPr>
                              <w:t>Techniciens</w:t>
                            </w:r>
                          </w:p>
                          <w:p w:rsidR="004C3A34" w:rsidRDefault="004C3A34">
                            <w:pPr>
                              <w:spacing w:after="0"/>
                              <w:jc w:val="center"/>
                              <w:rPr>
                                <w:b/>
                              </w:rPr>
                            </w:pPr>
                            <w:r>
                              <w:rPr>
                                <w:b/>
                                <w:sz w:val="16"/>
                                <w:szCs w:val="16"/>
                              </w:rPr>
                              <w:t>Groupe IV</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225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1698,75</w:t>
                            </w:r>
                          </w:p>
                        </w:tc>
                        <w:tc>
                          <w:tcPr>
                            <w:tcW w:w="1984" w:type="dxa"/>
                            <w:vMerge w:val="restart"/>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235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1774,25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250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1887,50</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275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2076,25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300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2265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 xml:space="preserve"> 325</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2453,75</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369"/>
                        </w:trPr>
                        <w:tc>
                          <w:tcPr>
                            <w:tcW w:w="1101"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rPr>
                                <w:b/>
                                <w:sz w:val="16"/>
                                <w:szCs w:val="16"/>
                              </w:rPr>
                            </w:pP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360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gridAfter w:val="1"/>
                          <w:wAfter w:w="30" w:type="dxa"/>
                          <w:trHeight w:val="428"/>
                        </w:trPr>
                        <w:tc>
                          <w:tcPr>
                            <w:tcW w:w="1101"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Cadres</w:t>
                            </w:r>
                          </w:p>
                          <w:p w:rsidR="004C3A34" w:rsidRDefault="004C3A34">
                            <w:pPr>
                              <w:spacing w:after="0"/>
                              <w:jc w:val="center"/>
                              <w:rPr>
                                <w:b/>
                              </w:rPr>
                            </w:pPr>
                            <w:r>
                              <w:rPr>
                                <w:b/>
                                <w:sz w:val="16"/>
                                <w:szCs w:val="16"/>
                              </w:rPr>
                              <w:t>ingénieurs</w:t>
                            </w:r>
                          </w:p>
                        </w:tc>
                        <w:tc>
                          <w:tcPr>
                            <w:tcW w:w="992"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rPr>
                                <w:b/>
                              </w:rPr>
                              <w:t>350 à 880</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2642,5 à 6644</w:t>
                            </w:r>
                          </w:p>
                        </w:tc>
                        <w:tc>
                          <w:tcPr>
                            <w:tcW w:w="1984" w:type="dxa"/>
                            <w:vMerge/>
                            <w:tcBorders>
                              <w:top w:val="single" w:sz="4" w:space="0" w:color="000000"/>
                              <w:left w:val="single" w:sz="4" w:space="0" w:color="000000"/>
                              <w:bottom w:val="single" w:sz="4" w:space="0" w:color="000000"/>
                            </w:tcBorders>
                            <w:shd w:val="clear" w:color="auto" w:fill="auto"/>
                            <w:vAlign w:val="center"/>
                          </w:tcPr>
                          <w:p w:rsidR="004C3A34" w:rsidRDefault="004C3A34">
                            <w:pPr>
                              <w:snapToGrid w:val="0"/>
                              <w:spacing w:after="0"/>
                              <w:jc w:val="center"/>
                            </w:pPr>
                          </w:p>
                        </w:tc>
                      </w:tr>
                      <w:tr w:rsidR="004C3A34">
                        <w:trPr>
                          <w:trHeight w:val="369"/>
                        </w:trPr>
                        <w:tc>
                          <w:tcPr>
                            <w:tcW w:w="2093" w:type="dxa"/>
                            <w:gridSpan w:val="2"/>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rPr>
                                <w:b/>
                                <w:sz w:val="16"/>
                                <w:szCs w:val="16"/>
                              </w:rPr>
                            </w:pPr>
                            <w:r>
                              <w:rPr>
                                <w:b/>
                                <w:sz w:val="16"/>
                                <w:szCs w:val="16"/>
                              </w:rPr>
                              <w:t>Caristes depuis juillet 2019</w:t>
                            </w:r>
                          </w:p>
                          <w:p w:rsidR="004C3A34" w:rsidRDefault="004C3A34">
                            <w:pPr>
                              <w:spacing w:after="0"/>
                              <w:jc w:val="center"/>
                            </w:pPr>
                            <w:r>
                              <w:rPr>
                                <w:b/>
                                <w:sz w:val="16"/>
                                <w:szCs w:val="16"/>
                              </w:rPr>
                              <w:t>10.59 si débutant puis :</w:t>
                            </w:r>
                          </w:p>
                        </w:tc>
                        <w:tc>
                          <w:tcPr>
                            <w:tcW w:w="2410" w:type="dxa"/>
                            <w:tcBorders>
                              <w:top w:val="single" w:sz="4" w:space="0" w:color="000000"/>
                              <w:left w:val="single" w:sz="4" w:space="0" w:color="000000"/>
                              <w:bottom w:val="single" w:sz="4" w:space="0" w:color="000000"/>
                            </w:tcBorders>
                            <w:shd w:val="clear" w:color="auto" w:fill="auto"/>
                            <w:vAlign w:val="center"/>
                          </w:tcPr>
                          <w:p w:rsidR="004C3A34" w:rsidRDefault="004C3A34">
                            <w:pPr>
                              <w:spacing w:after="0"/>
                              <w:jc w:val="center"/>
                            </w:pPr>
                            <w:r>
                              <w:t>1668,37</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C3A34" w:rsidRDefault="004C3A34">
                            <w:pPr>
                              <w:spacing w:after="0"/>
                              <w:jc w:val="center"/>
                            </w:pPr>
                            <w:r>
                              <w:t>11</w:t>
                            </w:r>
                          </w:p>
                        </w:tc>
                      </w:tr>
                    </w:tbl>
                    <w:p w:rsidR="004C3A34" w:rsidRDefault="004C3A34" w:rsidP="004C3A34">
                      <w:r>
                        <w:t xml:space="preserve"> </w:t>
                      </w:r>
                    </w:p>
                  </w:txbxContent>
                </v:textbox>
                <w10:wrap type="square" anchorx="margin"/>
              </v:shape>
            </w:pict>
          </mc:Fallback>
        </mc:AlternateContent>
      </w:r>
      <w:r w:rsidR="00F76DDD" w:rsidRPr="00757AEC">
        <w:rPr>
          <w:sz w:val="24"/>
          <w:szCs w:val="24"/>
        </w:rPr>
        <w:t>SALAIRES MINIMA</w:t>
      </w:r>
    </w:p>
    <w:p w:rsidR="004C3A34" w:rsidRPr="00757AEC" w:rsidRDefault="004C3A34">
      <w:pPr>
        <w:rPr>
          <w:sz w:val="24"/>
          <w:szCs w:val="24"/>
        </w:rPr>
      </w:pPr>
    </w:p>
    <w:p w:rsidR="00A5236D" w:rsidRPr="00757AEC" w:rsidRDefault="00A5236D">
      <w:pPr>
        <w:rPr>
          <w:sz w:val="24"/>
          <w:szCs w:val="24"/>
        </w:rPr>
      </w:pPr>
    </w:p>
    <w:p w:rsidR="00A5236D" w:rsidRPr="00757AEC" w:rsidRDefault="00A5236D">
      <w:pPr>
        <w:rPr>
          <w:sz w:val="24"/>
          <w:szCs w:val="24"/>
        </w:rPr>
      </w:pPr>
    </w:p>
    <w:p w:rsidR="00A5236D" w:rsidRPr="00757AEC" w:rsidRDefault="00A5236D">
      <w:pPr>
        <w:rPr>
          <w:sz w:val="24"/>
          <w:szCs w:val="24"/>
        </w:rPr>
      </w:pPr>
    </w:p>
    <w:p w:rsidR="00A5236D" w:rsidRPr="00757AEC" w:rsidRDefault="00A5236D">
      <w:pPr>
        <w:rPr>
          <w:sz w:val="24"/>
          <w:szCs w:val="24"/>
        </w:rPr>
      </w:pPr>
    </w:p>
    <w:p w:rsidR="00A5236D" w:rsidRPr="00757AEC" w:rsidRDefault="00A5236D" w:rsidP="00A5236D">
      <w:pPr>
        <w:jc w:val="center"/>
        <w:rPr>
          <w:sz w:val="24"/>
          <w:szCs w:val="24"/>
        </w:rPr>
      </w:pPr>
      <w:r w:rsidRPr="00757AEC">
        <w:rPr>
          <w:sz w:val="24"/>
          <w:szCs w:val="24"/>
        </w:rPr>
        <w:t>SALAIRES REFERENCES POUR LE CALCUL DE LA GRILLE D’ANCIENNETE</w:t>
      </w:r>
    </w:p>
    <w:tbl>
      <w:tblPr>
        <w:tblStyle w:val="Grilledutableau"/>
        <w:tblpPr w:leftFromText="141" w:rightFromText="141" w:vertAnchor="text" w:horzAnchor="margin" w:tblpY="-17"/>
        <w:tblW w:w="0" w:type="auto"/>
        <w:tblLook w:val="04A0" w:firstRow="1" w:lastRow="0" w:firstColumn="1" w:lastColumn="0" w:noHBand="0" w:noVBand="1"/>
      </w:tblPr>
      <w:tblGrid>
        <w:gridCol w:w="2265"/>
        <w:gridCol w:w="2265"/>
        <w:gridCol w:w="2266"/>
        <w:gridCol w:w="2266"/>
      </w:tblGrid>
      <w:tr w:rsidR="00C745E9" w:rsidRPr="00757AEC" w:rsidTr="00C745E9">
        <w:tc>
          <w:tcPr>
            <w:tcW w:w="2265" w:type="dxa"/>
          </w:tcPr>
          <w:p w:rsidR="00C745E9" w:rsidRPr="00757AEC" w:rsidRDefault="00C745E9" w:rsidP="00C745E9">
            <w:pPr>
              <w:jc w:val="center"/>
              <w:rPr>
                <w:sz w:val="24"/>
                <w:szCs w:val="24"/>
              </w:rPr>
            </w:pPr>
            <w:r w:rsidRPr="00757AEC">
              <w:rPr>
                <w:sz w:val="24"/>
                <w:szCs w:val="24"/>
              </w:rPr>
              <w:t>COEFFICIENT</w:t>
            </w:r>
          </w:p>
        </w:tc>
        <w:tc>
          <w:tcPr>
            <w:tcW w:w="2265" w:type="dxa"/>
          </w:tcPr>
          <w:p w:rsidR="00C745E9" w:rsidRPr="00757AEC" w:rsidRDefault="00C745E9" w:rsidP="00C745E9">
            <w:pPr>
              <w:jc w:val="center"/>
              <w:rPr>
                <w:sz w:val="24"/>
                <w:szCs w:val="24"/>
              </w:rPr>
            </w:pPr>
            <w:r w:rsidRPr="00757AEC">
              <w:rPr>
                <w:sz w:val="24"/>
                <w:szCs w:val="24"/>
              </w:rPr>
              <w:t>REFERENCE</w:t>
            </w:r>
          </w:p>
        </w:tc>
        <w:tc>
          <w:tcPr>
            <w:tcW w:w="2266" w:type="dxa"/>
          </w:tcPr>
          <w:p w:rsidR="00C745E9" w:rsidRPr="00757AEC" w:rsidRDefault="00C745E9" w:rsidP="00C745E9">
            <w:pPr>
              <w:jc w:val="center"/>
              <w:rPr>
                <w:sz w:val="24"/>
                <w:szCs w:val="24"/>
              </w:rPr>
            </w:pPr>
            <w:r w:rsidRPr="00757AEC">
              <w:rPr>
                <w:sz w:val="24"/>
                <w:szCs w:val="24"/>
              </w:rPr>
              <w:t>COEFFICIENT</w:t>
            </w:r>
          </w:p>
        </w:tc>
        <w:tc>
          <w:tcPr>
            <w:tcW w:w="2266" w:type="dxa"/>
          </w:tcPr>
          <w:p w:rsidR="00C745E9" w:rsidRPr="00757AEC" w:rsidRDefault="00C745E9" w:rsidP="00C745E9">
            <w:pPr>
              <w:jc w:val="center"/>
              <w:rPr>
                <w:sz w:val="24"/>
                <w:szCs w:val="24"/>
              </w:rPr>
            </w:pPr>
            <w:r w:rsidRPr="00757AEC">
              <w:rPr>
                <w:sz w:val="24"/>
                <w:szCs w:val="24"/>
              </w:rPr>
              <w:t>REFERENCE</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140</w:t>
            </w:r>
          </w:p>
        </w:tc>
        <w:tc>
          <w:tcPr>
            <w:tcW w:w="2265" w:type="dxa"/>
          </w:tcPr>
          <w:p w:rsidR="00C745E9" w:rsidRPr="00757AEC" w:rsidRDefault="00C745E9" w:rsidP="00C745E9">
            <w:pPr>
              <w:jc w:val="center"/>
              <w:rPr>
                <w:sz w:val="24"/>
                <w:szCs w:val="24"/>
              </w:rPr>
            </w:pPr>
            <w:r w:rsidRPr="00757AEC">
              <w:rPr>
                <w:sz w:val="24"/>
                <w:szCs w:val="24"/>
              </w:rPr>
              <w:t>1071</w:t>
            </w:r>
          </w:p>
        </w:tc>
        <w:tc>
          <w:tcPr>
            <w:tcW w:w="2266" w:type="dxa"/>
          </w:tcPr>
          <w:p w:rsidR="00C745E9" w:rsidRPr="00757AEC" w:rsidRDefault="00C745E9" w:rsidP="00C745E9">
            <w:pPr>
              <w:jc w:val="center"/>
              <w:rPr>
                <w:sz w:val="24"/>
                <w:szCs w:val="24"/>
              </w:rPr>
            </w:pPr>
            <w:r w:rsidRPr="00757AEC">
              <w:rPr>
                <w:sz w:val="24"/>
                <w:szCs w:val="24"/>
              </w:rPr>
              <w:t>235</w:t>
            </w:r>
          </w:p>
        </w:tc>
        <w:tc>
          <w:tcPr>
            <w:tcW w:w="2266" w:type="dxa"/>
          </w:tcPr>
          <w:p w:rsidR="00C745E9" w:rsidRPr="00757AEC" w:rsidRDefault="00C745E9" w:rsidP="00C745E9">
            <w:pPr>
              <w:jc w:val="center"/>
              <w:rPr>
                <w:sz w:val="24"/>
                <w:szCs w:val="24"/>
              </w:rPr>
            </w:pPr>
            <w:r w:rsidRPr="00757AEC">
              <w:rPr>
                <w:sz w:val="24"/>
                <w:szCs w:val="24"/>
              </w:rPr>
              <w:t>1797.75</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160</w:t>
            </w:r>
          </w:p>
        </w:tc>
        <w:tc>
          <w:tcPr>
            <w:tcW w:w="2265" w:type="dxa"/>
          </w:tcPr>
          <w:p w:rsidR="00C745E9" w:rsidRPr="00757AEC" w:rsidRDefault="00C745E9" w:rsidP="00C745E9">
            <w:pPr>
              <w:jc w:val="center"/>
              <w:rPr>
                <w:sz w:val="24"/>
                <w:szCs w:val="24"/>
              </w:rPr>
            </w:pPr>
            <w:r w:rsidRPr="00757AEC">
              <w:rPr>
                <w:sz w:val="24"/>
                <w:szCs w:val="24"/>
              </w:rPr>
              <w:t>1224</w:t>
            </w:r>
          </w:p>
        </w:tc>
        <w:tc>
          <w:tcPr>
            <w:tcW w:w="2266" w:type="dxa"/>
          </w:tcPr>
          <w:p w:rsidR="00C745E9" w:rsidRPr="00757AEC" w:rsidRDefault="00C745E9" w:rsidP="00C745E9">
            <w:pPr>
              <w:jc w:val="center"/>
              <w:rPr>
                <w:sz w:val="24"/>
                <w:szCs w:val="24"/>
              </w:rPr>
            </w:pPr>
            <w:r w:rsidRPr="00757AEC">
              <w:rPr>
                <w:sz w:val="24"/>
                <w:szCs w:val="24"/>
              </w:rPr>
              <w:t>250</w:t>
            </w:r>
          </w:p>
        </w:tc>
        <w:tc>
          <w:tcPr>
            <w:tcW w:w="2266" w:type="dxa"/>
          </w:tcPr>
          <w:p w:rsidR="00C745E9" w:rsidRPr="00757AEC" w:rsidRDefault="00C745E9" w:rsidP="00C745E9">
            <w:pPr>
              <w:jc w:val="center"/>
              <w:rPr>
                <w:sz w:val="24"/>
                <w:szCs w:val="24"/>
              </w:rPr>
            </w:pPr>
            <w:r w:rsidRPr="00757AEC">
              <w:rPr>
                <w:sz w:val="24"/>
                <w:szCs w:val="24"/>
              </w:rPr>
              <w:t>1912.5</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175</w:t>
            </w:r>
          </w:p>
        </w:tc>
        <w:tc>
          <w:tcPr>
            <w:tcW w:w="2265" w:type="dxa"/>
          </w:tcPr>
          <w:p w:rsidR="00C745E9" w:rsidRPr="00757AEC" w:rsidRDefault="00C745E9" w:rsidP="00C745E9">
            <w:pPr>
              <w:jc w:val="center"/>
              <w:rPr>
                <w:sz w:val="24"/>
                <w:szCs w:val="24"/>
              </w:rPr>
            </w:pPr>
            <w:r w:rsidRPr="00757AEC">
              <w:rPr>
                <w:sz w:val="24"/>
                <w:szCs w:val="24"/>
              </w:rPr>
              <w:t>1338.75</w:t>
            </w:r>
          </w:p>
        </w:tc>
        <w:tc>
          <w:tcPr>
            <w:tcW w:w="2266" w:type="dxa"/>
          </w:tcPr>
          <w:p w:rsidR="00C745E9" w:rsidRPr="00757AEC" w:rsidRDefault="00C745E9" w:rsidP="00C745E9">
            <w:pPr>
              <w:jc w:val="center"/>
              <w:rPr>
                <w:sz w:val="24"/>
                <w:szCs w:val="24"/>
              </w:rPr>
            </w:pPr>
            <w:r w:rsidRPr="00757AEC">
              <w:rPr>
                <w:sz w:val="24"/>
                <w:szCs w:val="24"/>
              </w:rPr>
              <w:t>275</w:t>
            </w:r>
          </w:p>
        </w:tc>
        <w:tc>
          <w:tcPr>
            <w:tcW w:w="2266" w:type="dxa"/>
          </w:tcPr>
          <w:p w:rsidR="00C745E9" w:rsidRPr="00757AEC" w:rsidRDefault="00C745E9" w:rsidP="00C745E9">
            <w:pPr>
              <w:jc w:val="center"/>
              <w:rPr>
                <w:sz w:val="24"/>
                <w:szCs w:val="24"/>
              </w:rPr>
            </w:pPr>
            <w:r w:rsidRPr="00757AEC">
              <w:rPr>
                <w:sz w:val="24"/>
                <w:szCs w:val="24"/>
              </w:rPr>
              <w:t>2103.75</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190</w:t>
            </w:r>
          </w:p>
        </w:tc>
        <w:tc>
          <w:tcPr>
            <w:tcW w:w="2265" w:type="dxa"/>
          </w:tcPr>
          <w:p w:rsidR="00C745E9" w:rsidRPr="00757AEC" w:rsidRDefault="00C745E9" w:rsidP="00C745E9">
            <w:pPr>
              <w:jc w:val="center"/>
              <w:rPr>
                <w:sz w:val="24"/>
                <w:szCs w:val="24"/>
              </w:rPr>
            </w:pPr>
            <w:r w:rsidRPr="00757AEC">
              <w:rPr>
                <w:sz w:val="24"/>
                <w:szCs w:val="24"/>
              </w:rPr>
              <w:t>1453.5</w:t>
            </w:r>
          </w:p>
        </w:tc>
        <w:tc>
          <w:tcPr>
            <w:tcW w:w="2266" w:type="dxa"/>
          </w:tcPr>
          <w:p w:rsidR="00C745E9" w:rsidRPr="00757AEC" w:rsidRDefault="00C745E9" w:rsidP="00C745E9">
            <w:pPr>
              <w:jc w:val="center"/>
              <w:rPr>
                <w:sz w:val="24"/>
                <w:szCs w:val="24"/>
              </w:rPr>
            </w:pPr>
            <w:r w:rsidRPr="00757AEC">
              <w:rPr>
                <w:sz w:val="24"/>
                <w:szCs w:val="24"/>
              </w:rPr>
              <w:t>300</w:t>
            </w:r>
          </w:p>
        </w:tc>
        <w:tc>
          <w:tcPr>
            <w:tcW w:w="2266" w:type="dxa"/>
          </w:tcPr>
          <w:p w:rsidR="00C745E9" w:rsidRPr="00757AEC" w:rsidRDefault="00C745E9" w:rsidP="00C745E9">
            <w:pPr>
              <w:jc w:val="center"/>
              <w:rPr>
                <w:sz w:val="24"/>
                <w:szCs w:val="24"/>
              </w:rPr>
            </w:pPr>
            <w:r w:rsidRPr="00757AEC">
              <w:rPr>
                <w:sz w:val="24"/>
                <w:szCs w:val="24"/>
              </w:rPr>
              <w:t>2295</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205</w:t>
            </w:r>
          </w:p>
        </w:tc>
        <w:tc>
          <w:tcPr>
            <w:tcW w:w="2265" w:type="dxa"/>
          </w:tcPr>
          <w:p w:rsidR="00C745E9" w:rsidRPr="00757AEC" w:rsidRDefault="00C745E9" w:rsidP="00C745E9">
            <w:pPr>
              <w:jc w:val="center"/>
              <w:rPr>
                <w:sz w:val="24"/>
                <w:szCs w:val="24"/>
              </w:rPr>
            </w:pPr>
            <w:r w:rsidRPr="00757AEC">
              <w:rPr>
                <w:sz w:val="24"/>
                <w:szCs w:val="24"/>
              </w:rPr>
              <w:t>1568.25</w:t>
            </w:r>
          </w:p>
        </w:tc>
        <w:tc>
          <w:tcPr>
            <w:tcW w:w="2266" w:type="dxa"/>
          </w:tcPr>
          <w:p w:rsidR="00C745E9" w:rsidRPr="00757AEC" w:rsidRDefault="00C745E9" w:rsidP="00C745E9">
            <w:pPr>
              <w:jc w:val="center"/>
              <w:rPr>
                <w:sz w:val="24"/>
                <w:szCs w:val="24"/>
              </w:rPr>
            </w:pPr>
            <w:r w:rsidRPr="00757AEC">
              <w:rPr>
                <w:sz w:val="24"/>
                <w:szCs w:val="24"/>
              </w:rPr>
              <w:t>325</w:t>
            </w:r>
          </w:p>
        </w:tc>
        <w:tc>
          <w:tcPr>
            <w:tcW w:w="2266" w:type="dxa"/>
          </w:tcPr>
          <w:p w:rsidR="00C745E9" w:rsidRPr="00757AEC" w:rsidRDefault="00C745E9" w:rsidP="00C745E9">
            <w:pPr>
              <w:jc w:val="center"/>
              <w:rPr>
                <w:sz w:val="24"/>
                <w:szCs w:val="24"/>
              </w:rPr>
            </w:pPr>
            <w:r w:rsidRPr="00757AEC">
              <w:rPr>
                <w:sz w:val="24"/>
                <w:szCs w:val="24"/>
              </w:rPr>
              <w:t>2486.25</w:t>
            </w:r>
          </w:p>
        </w:tc>
      </w:tr>
      <w:tr w:rsidR="00C745E9" w:rsidRPr="00757AEC" w:rsidTr="00C745E9">
        <w:tc>
          <w:tcPr>
            <w:tcW w:w="2265" w:type="dxa"/>
          </w:tcPr>
          <w:p w:rsidR="00C745E9" w:rsidRPr="00757AEC" w:rsidRDefault="00C745E9" w:rsidP="00C745E9">
            <w:pPr>
              <w:jc w:val="center"/>
              <w:rPr>
                <w:sz w:val="24"/>
                <w:szCs w:val="24"/>
              </w:rPr>
            </w:pPr>
            <w:r w:rsidRPr="00757AEC">
              <w:rPr>
                <w:sz w:val="24"/>
                <w:szCs w:val="24"/>
              </w:rPr>
              <w:t>225</w:t>
            </w:r>
          </w:p>
        </w:tc>
        <w:tc>
          <w:tcPr>
            <w:tcW w:w="2265" w:type="dxa"/>
          </w:tcPr>
          <w:p w:rsidR="00C745E9" w:rsidRPr="00757AEC" w:rsidRDefault="00C745E9" w:rsidP="00C745E9">
            <w:pPr>
              <w:jc w:val="center"/>
              <w:rPr>
                <w:sz w:val="24"/>
                <w:szCs w:val="24"/>
              </w:rPr>
            </w:pPr>
            <w:r w:rsidRPr="00757AEC">
              <w:rPr>
                <w:sz w:val="24"/>
                <w:szCs w:val="24"/>
              </w:rPr>
              <w:t>1721.25</w:t>
            </w:r>
          </w:p>
        </w:tc>
        <w:tc>
          <w:tcPr>
            <w:tcW w:w="2266" w:type="dxa"/>
          </w:tcPr>
          <w:p w:rsidR="00C745E9" w:rsidRPr="00757AEC" w:rsidRDefault="00C745E9" w:rsidP="00C745E9">
            <w:pPr>
              <w:jc w:val="center"/>
              <w:rPr>
                <w:sz w:val="24"/>
                <w:szCs w:val="24"/>
              </w:rPr>
            </w:pPr>
            <w:r w:rsidRPr="00757AEC">
              <w:rPr>
                <w:sz w:val="24"/>
                <w:szCs w:val="24"/>
              </w:rPr>
              <w:t>360</w:t>
            </w:r>
          </w:p>
        </w:tc>
        <w:tc>
          <w:tcPr>
            <w:tcW w:w="2266" w:type="dxa"/>
          </w:tcPr>
          <w:p w:rsidR="00C745E9" w:rsidRPr="00757AEC" w:rsidRDefault="00C745E9" w:rsidP="00C745E9">
            <w:pPr>
              <w:jc w:val="center"/>
              <w:rPr>
                <w:sz w:val="24"/>
                <w:szCs w:val="24"/>
              </w:rPr>
            </w:pPr>
            <w:r w:rsidRPr="00757AEC">
              <w:rPr>
                <w:sz w:val="24"/>
                <w:szCs w:val="24"/>
              </w:rPr>
              <w:t>2754</w:t>
            </w:r>
          </w:p>
        </w:tc>
      </w:tr>
    </w:tbl>
    <w:p w:rsidR="00C745E9" w:rsidRPr="00757AEC" w:rsidRDefault="00C745E9" w:rsidP="00C745E9">
      <w:pPr>
        <w:jc w:val="both"/>
        <w:rPr>
          <w:sz w:val="24"/>
          <w:szCs w:val="24"/>
        </w:rPr>
      </w:pPr>
    </w:p>
    <w:p w:rsidR="00757AEC" w:rsidRDefault="00757AEC" w:rsidP="00757AEC">
      <w:pPr>
        <w:spacing w:after="0"/>
        <w:jc w:val="both"/>
        <w:rPr>
          <w:sz w:val="24"/>
          <w:szCs w:val="24"/>
        </w:rPr>
      </w:pPr>
      <w:r w:rsidRPr="00757AEC">
        <w:rPr>
          <w:sz w:val="24"/>
          <w:szCs w:val="24"/>
        </w:rPr>
        <w:t>PRIME DE NUIT</w:t>
      </w:r>
    </w:p>
    <w:p w:rsidR="002F681B" w:rsidRDefault="00757AEC" w:rsidP="00757AEC">
      <w:pPr>
        <w:spacing w:after="0"/>
        <w:jc w:val="both"/>
        <w:rPr>
          <w:sz w:val="24"/>
          <w:szCs w:val="24"/>
        </w:rPr>
      </w:pPr>
      <w:r>
        <w:rPr>
          <w:sz w:val="24"/>
          <w:szCs w:val="24"/>
        </w:rPr>
        <w:t xml:space="preserve">Nous avons demandé une fois de plus quand la direction régulariserait les heures de nuit dues depuis janvier 2016 aux salariés ayant quitté l’entreprise ou intérimaires. </w:t>
      </w:r>
    </w:p>
    <w:p w:rsidR="00757AEC" w:rsidRDefault="00757AEC" w:rsidP="00757AEC">
      <w:pPr>
        <w:spacing w:after="0"/>
        <w:jc w:val="both"/>
        <w:rPr>
          <w:sz w:val="24"/>
          <w:szCs w:val="24"/>
        </w:rPr>
      </w:pPr>
      <w:r>
        <w:rPr>
          <w:sz w:val="24"/>
          <w:szCs w:val="24"/>
        </w:rPr>
        <w:t>La RH</w:t>
      </w:r>
      <w:r w:rsidR="002F681B">
        <w:rPr>
          <w:sz w:val="24"/>
          <w:szCs w:val="24"/>
        </w:rPr>
        <w:t xml:space="preserve"> a répondu que ce n’était qu’un problème de temps et que les salariés en faisant la demande seraient régularisés.</w:t>
      </w:r>
    </w:p>
    <w:p w:rsidR="002F681B" w:rsidRDefault="002F681B" w:rsidP="00757AEC">
      <w:pPr>
        <w:spacing w:after="0"/>
        <w:jc w:val="both"/>
        <w:rPr>
          <w:sz w:val="24"/>
          <w:szCs w:val="24"/>
        </w:rPr>
      </w:pPr>
    </w:p>
    <w:p w:rsidR="002F681B" w:rsidRDefault="002F681B" w:rsidP="00757AEC">
      <w:pPr>
        <w:spacing w:after="0"/>
        <w:jc w:val="both"/>
        <w:rPr>
          <w:sz w:val="24"/>
          <w:szCs w:val="24"/>
        </w:rPr>
      </w:pPr>
      <w:r>
        <w:rPr>
          <w:sz w:val="24"/>
          <w:szCs w:val="24"/>
        </w:rPr>
        <w:t>SUITE DU JUGEMENT DES PRUD’HOMMES SUR LA PRIME DE NUIT</w:t>
      </w:r>
    </w:p>
    <w:p w:rsidR="002F681B" w:rsidRDefault="00433739" w:rsidP="00757AEC">
      <w:pPr>
        <w:spacing w:after="0"/>
        <w:jc w:val="both"/>
        <w:rPr>
          <w:sz w:val="24"/>
          <w:szCs w:val="24"/>
        </w:rPr>
      </w:pPr>
      <w:r>
        <w:rPr>
          <w:sz w:val="24"/>
          <w:szCs w:val="24"/>
        </w:rPr>
        <w:t>Après la victoire des onze premiers plaignants en janvier 2019, la CGT-</w:t>
      </w:r>
      <w:proofErr w:type="spellStart"/>
      <w:r>
        <w:rPr>
          <w:sz w:val="24"/>
          <w:szCs w:val="24"/>
        </w:rPr>
        <w:t>Cosmeva</w:t>
      </w:r>
      <w:proofErr w:type="spellEnd"/>
      <w:r>
        <w:rPr>
          <w:sz w:val="24"/>
          <w:szCs w:val="24"/>
        </w:rPr>
        <w:t xml:space="preserve"> a profité de la plainte de 4 autres salariés pour se porter partie intervenante pour essayer de faire condamner </w:t>
      </w:r>
      <w:proofErr w:type="spellStart"/>
      <w:r>
        <w:rPr>
          <w:sz w:val="24"/>
          <w:szCs w:val="24"/>
        </w:rPr>
        <w:t>Cosmeva</w:t>
      </w:r>
      <w:proofErr w:type="spellEnd"/>
      <w:r>
        <w:rPr>
          <w:sz w:val="24"/>
          <w:szCs w:val="24"/>
        </w:rPr>
        <w:t xml:space="preserve"> pour son attitude obtuse, pour l’atteinte à l’intérêt général des salariés puisque des dizaines de salariés ont été floués pendant des années.</w:t>
      </w:r>
    </w:p>
    <w:p w:rsidR="00433739" w:rsidRDefault="00433739" w:rsidP="00757AEC">
      <w:pPr>
        <w:spacing w:after="0"/>
        <w:jc w:val="both"/>
        <w:rPr>
          <w:sz w:val="24"/>
          <w:szCs w:val="24"/>
        </w:rPr>
      </w:pPr>
      <w:r>
        <w:rPr>
          <w:sz w:val="24"/>
          <w:szCs w:val="24"/>
        </w:rPr>
        <w:t>Ce jugement initialement prévu en décembre est régulièrement reporté. L’audience prévue le 26 mars le sera sans doute encore.</w:t>
      </w:r>
    </w:p>
    <w:p w:rsidR="00433739" w:rsidRDefault="00433739" w:rsidP="00757AEC">
      <w:pPr>
        <w:spacing w:after="0"/>
        <w:jc w:val="both"/>
        <w:rPr>
          <w:sz w:val="24"/>
          <w:szCs w:val="24"/>
        </w:rPr>
      </w:pPr>
    </w:p>
    <w:p w:rsidR="00433739" w:rsidRDefault="006D2749" w:rsidP="00757AEC">
      <w:pPr>
        <w:spacing w:after="0"/>
        <w:jc w:val="both"/>
        <w:rPr>
          <w:sz w:val="24"/>
          <w:szCs w:val="24"/>
        </w:rPr>
      </w:pPr>
      <w:r>
        <w:rPr>
          <w:sz w:val="24"/>
          <w:szCs w:val="24"/>
        </w:rPr>
        <w:t>INTERIMAIRES REFOULES A L’ENTREE</w:t>
      </w:r>
    </w:p>
    <w:p w:rsidR="006D2749" w:rsidRDefault="006D2749" w:rsidP="00757AEC">
      <w:pPr>
        <w:spacing w:after="0"/>
        <w:jc w:val="both"/>
        <w:rPr>
          <w:sz w:val="24"/>
          <w:szCs w:val="24"/>
        </w:rPr>
      </w:pPr>
      <w:r>
        <w:rPr>
          <w:sz w:val="24"/>
          <w:szCs w:val="24"/>
        </w:rPr>
        <w:lastRenderedPageBreak/>
        <w:t xml:space="preserve">La direction nous a affirmé que si </w:t>
      </w:r>
      <w:proofErr w:type="spellStart"/>
      <w:r>
        <w:rPr>
          <w:sz w:val="24"/>
          <w:szCs w:val="24"/>
        </w:rPr>
        <w:t>Cosmeva</w:t>
      </w:r>
      <w:proofErr w:type="spellEnd"/>
      <w:r>
        <w:rPr>
          <w:sz w:val="24"/>
          <w:szCs w:val="24"/>
        </w:rPr>
        <w:t xml:space="preserve"> est responsable, la journée serait payée par </w:t>
      </w:r>
      <w:proofErr w:type="spellStart"/>
      <w:r>
        <w:rPr>
          <w:sz w:val="24"/>
          <w:szCs w:val="24"/>
        </w:rPr>
        <w:t>Cosmeva</w:t>
      </w:r>
      <w:proofErr w:type="spellEnd"/>
      <w:r>
        <w:rPr>
          <w:sz w:val="24"/>
          <w:szCs w:val="24"/>
        </w:rPr>
        <w:t>. Nous n’avons pas le moyen de savoir si l’enquête sera faite sérieusement mais les salariés refoulés doivent contacter le service RH, madame Aurélie Haghebaert</w:t>
      </w:r>
      <w:bookmarkStart w:id="0" w:name="_GoBack"/>
      <w:bookmarkEnd w:id="0"/>
      <w:r>
        <w:rPr>
          <w:sz w:val="24"/>
          <w:szCs w:val="24"/>
        </w:rPr>
        <w:t xml:space="preserve"> 0164873129 pour donner leur nom, prénom, jour du refoulement pour alerter et que l’enquête puisse se tenir.</w:t>
      </w:r>
    </w:p>
    <w:p w:rsidR="006D2749" w:rsidRPr="00757AEC" w:rsidRDefault="006D2749" w:rsidP="00757AEC">
      <w:pPr>
        <w:spacing w:after="0"/>
        <w:jc w:val="both"/>
        <w:rPr>
          <w:sz w:val="24"/>
          <w:szCs w:val="24"/>
        </w:rPr>
      </w:pPr>
      <w:r>
        <w:rPr>
          <w:sz w:val="24"/>
          <w:szCs w:val="24"/>
        </w:rPr>
        <w:t>Nous avons répété que le mieux pour éviter ce genre de problème scandaleux est de fixer dès la fin de semaine le planning pour la semaine suivant. Ainsi les intérimaires pourront au moins s’organiser d’une semaine à l’autre et pas au jour le jour.</w:t>
      </w:r>
    </w:p>
    <w:p w:rsidR="00757AEC" w:rsidRPr="00757AEC" w:rsidRDefault="00757AEC" w:rsidP="00757AEC">
      <w:pPr>
        <w:spacing w:after="0"/>
        <w:jc w:val="both"/>
        <w:rPr>
          <w:sz w:val="24"/>
          <w:szCs w:val="24"/>
        </w:rPr>
      </w:pPr>
    </w:p>
    <w:p w:rsidR="00C745E9" w:rsidRDefault="00C745E9" w:rsidP="00A5236D">
      <w:pPr>
        <w:jc w:val="center"/>
      </w:pPr>
    </w:p>
    <w:p w:rsidR="00C745E9" w:rsidRDefault="00C745E9" w:rsidP="00A5236D">
      <w:pPr>
        <w:jc w:val="center"/>
      </w:pPr>
    </w:p>
    <w:p w:rsidR="00C745E9" w:rsidRDefault="00C745E9" w:rsidP="00A5236D">
      <w:pPr>
        <w:jc w:val="center"/>
      </w:pPr>
    </w:p>
    <w:p w:rsidR="00C745E9" w:rsidRDefault="00C745E9" w:rsidP="00A5236D">
      <w:pPr>
        <w:jc w:val="center"/>
      </w:pPr>
    </w:p>
    <w:p w:rsidR="00C745E9" w:rsidRDefault="00C745E9" w:rsidP="00A5236D">
      <w:pPr>
        <w:jc w:val="center"/>
      </w:pPr>
    </w:p>
    <w:p w:rsidR="00C745E9" w:rsidRDefault="00C745E9" w:rsidP="00A5236D">
      <w:pPr>
        <w:jc w:val="center"/>
      </w:pPr>
    </w:p>
    <w:p w:rsidR="00A5236D" w:rsidRDefault="00A5236D" w:rsidP="00A5236D">
      <w:pPr>
        <w:jc w:val="center"/>
      </w:pPr>
    </w:p>
    <w:sectPr w:rsidR="00A52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21A28"/>
    <w:multiLevelType w:val="hybridMultilevel"/>
    <w:tmpl w:val="61686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1C"/>
    <w:rsid w:val="002F681B"/>
    <w:rsid w:val="00433739"/>
    <w:rsid w:val="004C3A34"/>
    <w:rsid w:val="006D2749"/>
    <w:rsid w:val="00757AEC"/>
    <w:rsid w:val="008A771C"/>
    <w:rsid w:val="00A5236D"/>
    <w:rsid w:val="00C745E9"/>
    <w:rsid w:val="00E82C36"/>
    <w:rsid w:val="00F76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501456-A5D7-441E-8ED8-3E332550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3A34"/>
    <w:pPr>
      <w:ind w:left="720"/>
      <w:contextualSpacing/>
    </w:pPr>
  </w:style>
  <w:style w:type="table" w:styleId="Grilledutableau">
    <w:name w:val="Table Grid"/>
    <w:basedOn w:val="TableauNormal"/>
    <w:uiPriority w:val="39"/>
    <w:rsid w:val="00A5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318</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 CGT Sénart</dc:creator>
  <cp:keywords/>
  <dc:description/>
  <cp:lastModifiedBy>UL CGT Sénart</cp:lastModifiedBy>
  <cp:revision>2</cp:revision>
  <dcterms:created xsi:type="dcterms:W3CDTF">2020-03-16T15:36:00Z</dcterms:created>
  <dcterms:modified xsi:type="dcterms:W3CDTF">2020-03-16T16:57:00Z</dcterms:modified>
</cp:coreProperties>
</file>