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structural definition, two uniqueness theorems, and the closed-form energy account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the reaction is cold in the everyday sense, only that the work of bringing two nuclei within tunnelling range is done by a bound state instead of by a collision. The reaction the definition picks out is muon-catalysed fusion, a laboratory phenomenon since the 1950s, and the paper's first result is that the definition picks out that and nothing else.</w:t>
      </w:r>
    </w:p>
    <w:p>
      <w:r>
        <w:rPr>
          <w:b w:val="0"/>
          <w:i w:val="0"/>
        </w:rPr>
        <w:t xml:space="preserve">Seven conditions are necessary for such an event to occur and to be checkable. Applied to the closed index of charged particles they admit </w:t>
      </w:r>
      <w:r>
        <w:rPr>
          <w:b/>
          <w:i w:val="0"/>
        </w:rPr>
        <w:t>exactly one</w:t>
      </w:r>
      <w:r>
        <w:rPr>
          <w:b w:val="0"/>
          <w:i w:val="0"/>
        </w:rPr>
        <w:t xml:space="preserve"> binder — the negative muon — because the conditions place both a floor and a ceiling on the binder's mass, and the window between them, 119 electron masses to 918 electron masses, has a single occupant. Of 13 charged particles scanned, 5 outlive the mesomolecular formation time and 2 lie inside the window; one survives the remaining test. The window's lower bound may move by 207 and its upper by 3.54 before that count changes.</w:t>
      </w:r>
    </w:p>
    <w:p>
      <w:r>
        <w:rPr>
          <w:b w:val="0"/>
          <w:i w:val="0"/>
        </w:rPr>
        <w:t xml:space="preserve">A second uniqueness result closes the other half of the configuration, and it is stated here as a theorem rather than as the working assumption it has long been. </w:t>
      </w:r>
      <w:r>
        <w:rPr>
          <w:b/>
          <w:i w:val="0"/>
        </w:rPr>
        <w:t>The fuel is unique as well.</w:t>
      </w:r>
      <w:r>
        <w:rPr>
          <w:b w:val="0"/>
          <w:i w:val="0"/>
        </w:rPr>
        <w:t xml:space="preserve"> Over the closed set of light-nucleus pairs a muon can bind, </w:t>
      </w:r>
      <w:r>
        <w:rPr>
          <w:b w:val="0"/>
          <w:i/>
        </w:rPr>
        <w:t>d</w:t>
      </w:r>
      <w:r>
        <w:rPr>
          <w:b w:val="0"/>
          <w:i w:val="0"/>
        </w:rPr>
        <w:t>–</w:t>
      </w:r>
      <w:r>
        <w:rPr>
          <w:b w:val="0"/>
          <w:i/>
        </w:rPr>
        <w:t>t</w:t>
      </w:r>
      <w:r>
        <w:rPr>
          <w:b w:val="0"/>
          <w:i w:val="0"/>
        </w:rPr>
        <w:t xml:space="preserve"> maximises the energy returned per binder by 77.85 against the next candidate — and the runner-up uses </w:t>
      </w:r>
      <w:r>
        <w:rPr>
          <w:b w:val="0"/>
          <w:i/>
        </w:rPr>
        <w:t>more</w:t>
      </w:r>
      <w:r>
        <w:rPr>
          <w:b w:val="0"/>
          <w:i w:val="0"/>
        </w:rPr>
        <w:t xml:space="preserve"> tritium rather than less. The figure of merit is not the energy release but the cycles a binder completes before it decays or sticks, </w:t>
      </w:r>
      <w:r>
        <w:rPr>
          <w:rFonts w:ascii="Consolas" w:hAnsi="Consolas"/>
          <w:b w:val="0"/>
          <w:i w:val="0"/>
          <w:sz w:val="19"/>
        </w:rPr>
        <w:t>N = 1/(ω_s + λ_0/λ_c)</w:t>
      </w:r>
      <w:r>
        <w:rPr>
          <w:b w:val="0"/>
          <w:i w:val="0"/>
        </w:rPr>
        <w:t>, which punishes a slow cycle exactly as it punishes a sticky one.</w:t>
      </w:r>
    </w:p>
    <w:p>
      <w:r>
        <w:rPr>
          <w:b w:val="0"/>
          <w:i w:val="0"/>
        </w:rPr>
        <w:t xml:space="preserve">The reaction is therefore not speculative, and its uniqueness is not assumed. What has never been observed is a configuration of it that returns more energy than it costs to run, and the distance between those two statements is what the rest of the paper measures. An </w:t>
      </w:r>
      <w:r>
        <w:rPr>
          <w:b/>
          <w:i w:val="0"/>
        </w:rPr>
        <w:t>eighth condition</w:t>
      </w:r>
      <w:r>
        <w:rPr>
          <w:b w:val="0"/>
          <w:i w:val="0"/>
        </w:rPr>
        <w:t xml:space="preserve"> makes the question answerable: a binder is worth making only if </w:t>
      </w:r>
      <w:r>
        <w:rPr>
          <w:rFonts w:ascii="Consolas" w:hAnsi="Consolas"/>
          <w:b w:val="0"/>
          <w:i w:val="0"/>
          <w:sz w:val="19"/>
        </w:rPr>
        <w:t>E_binder &lt; Q_fus · f_work / ω_s</w:t>
      </w:r>
      <w:r>
        <w:rPr>
          <w:b w:val="0"/>
          <w:i w:val="0"/>
        </w:rPr>
        <w:t xml:space="preserve">. Every term in it has been measured. Integrating the published pion production cross sections puts production alone at 11.13 GeV per pion, so even a perfect collector would leave the heat form short; sticking is shown to be independent of the binder's mass, so the condition is a specification on the machine rather than a search over the spectrum; and the break-point in sticking lies </w:t>
      </w:r>
      <w:r>
        <w:rPr>
          <w:b/>
          <w:i w:val="0"/>
        </w:rPr>
        <w:t>below both</w:t>
      </w:r>
      <w:r>
        <w:rPr>
          <w:b w:val="0"/>
          <w:i w:val="0"/>
        </w:rPr>
        <w:t xml:space="preserve"> published readings rather than between them, so no choice between them repairs the heat form.</w:t>
      </w:r>
    </w:p>
    <w:p>
      <w:r>
        <w:rPr>
          <w:b w:val="0"/>
          <w:i w:val="0"/>
        </w:rPr>
        <w:t xml:space="preserve">Stated at the acceptance the machine actually delivers rather than at an assumed collection, and at the sticking the record supports, </w:t>
      </w:r>
      <w:r>
        <w:rPr>
          <w:b/>
          <w:i w:val="0"/>
        </w:rPr>
        <w:t>nothing clears unity with the machine as built</w:t>
      </w:r>
      <w:r>
        <w:rPr>
          <w:b w:val="0"/>
          <w:i w:val="0"/>
        </w:rPr>
        <w:t>. The closest is bred fuel at the demonstrated 150 cycles per binder, at 0.623; with both specified collector alterations it reaches 0.957, short of unity by 1.045 and short by no term other than a loss budget that has never been measured end to end.</w:t>
      </w:r>
    </w:p>
    <w:p>
      <w:r>
        <w:rPr>
          <w:b w:val="0"/>
          <w:i w:val="0"/>
        </w:rPr>
        <w:t xml:space="preserve">A final result runs the other way and is reported as a quantity to measure rather than a result to build on. </w:t>
      </w:r>
      <w:r>
        <w:rPr>
          <w:b/>
          <w:i w:val="0"/>
        </w:rPr>
        <w:t>A deuterium cell does not stay a deuterium cell</w:t>
      </w:r>
      <w:r>
        <w:rPr>
          <w:b w:val="0"/>
          <w:i w:val="0"/>
        </w:rPr>
        <w:t xml:space="preserve">: one </w:t>
      </w:r>
      <w:r>
        <w:rPr>
          <w:b w:val="0"/>
          <w:i/>
        </w:rPr>
        <w:t>d</w:t>
      </w:r>
      <w:r>
        <w:rPr>
          <w:b w:val="0"/>
          <w:i w:val="0"/>
        </w:rPr>
        <w:t>–</w:t>
      </w:r>
      <w:r>
        <w:rPr>
          <w:b w:val="0"/>
          <w:i/>
        </w:rPr>
        <w:t>d</w:t>
      </w:r>
      <w:r>
        <w:rPr>
          <w:b w:val="0"/>
          <w:i w:val="0"/>
        </w:rPr>
        <w:t xml:space="preserve"> branch makes tritium, </w:t>
      </w:r>
      <w:r>
        <w:rPr>
          <w:b w:val="0"/>
          <w:i/>
        </w:rPr>
        <w:t>dtμ</w:t>
      </w:r>
      <w:r>
        <w:rPr>
          <w:b w:val="0"/>
          <w:i w:val="0"/>
        </w:rPr>
        <w:t xml:space="preserve"> forms far faster than </w:t>
      </w:r>
      <w:r>
        <w:rPr>
          <w:b w:val="0"/>
          <w:i/>
        </w:rPr>
        <w:t>ddμ</w:t>
      </w:r>
      <w:r>
        <w:rPr>
          <w:b w:val="0"/>
          <w:i w:val="0"/>
        </w:rPr>
        <w:t>, and the cell tritiates itself to an equilibrium of 0.6211 percent by atom. Such a cell holds 64.71 less tritium than the specified one and needs no lithium and no breeding blanket, at the cost of a fusion yield 48.38 smaller per binder.</w:t>
      </w:r>
    </w:p>
    <w:p>
      <w:r>
        <w:rPr>
          <w:b w:val="0"/>
          <w:i w:val="0"/>
        </w:rPr>
        <w:t xml:space="preserve">The paper closes with the reaction specified to the point where another laboratory could build it, the machine that would supply the binders, the procedure that would witness the configuration, and a statement of exactly what is proved and what is not. </w:t>
      </w:r>
      <w:r>
        <w:rPr>
          <w:b/>
          <w:i w:val="0"/>
        </w:rPr>
        <w:t>The configuration in which the binder is a byproduct of a beam already running for another purpose is not priced here</w:t>
      </w:r>
      <w:r>
        <w:rPr>
          <w:b w:val="0"/>
          <w:i w:val="0"/>
        </w:rPr>
        <w:t>; it changes the accounting rather than the reaction, and it is the subject of a separate paper.</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§14.3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§9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unique fuel</w:t>
      </w:r>
    </w:p>
    <w:p>
      <w:r>
        <w:rPr>
          <w:b w:val="0"/>
          <w:i w:val="0"/>
        </w:rPr>
        <w:t xml:space="preserve">§2 closes the question of what may </w:t>
      </w:r>
      <w:r>
        <w:rPr>
          <w:b w:val="0"/>
          <w:i/>
        </w:rPr>
        <w:t>hold</w:t>
      </w:r>
      <w:r>
        <w:rPr>
          <w:b w:val="0"/>
          <w:i w:val="0"/>
        </w:rPr>
        <w:t xml:space="preserve"> a mesomolecule. It says nothing about what the mesomolecule holds, and this paper had assumed </w:t>
      </w:r>
      <w:r>
        <w:rPr>
          <w:b w:val="0"/>
          <w:i/>
        </w:rPr>
        <w:t>d</w:t>
      </w:r>
      <w:r>
        <w:rPr>
          <w:b w:val="0"/>
          <w:i w:val="0"/>
        </w:rPr>
        <w:t>–</w:t>
      </w:r>
      <w:r>
        <w:rPr>
          <w:b w:val="0"/>
          <w:i/>
        </w:rPr>
        <w:t>t</w:t>
      </w:r>
      <w:r>
        <w:rPr>
          <w:b w:val="0"/>
          <w:i w:val="0"/>
        </w:rPr>
        <w:t xml:space="preserve"> throughout without asking. That </w:t>
      </w:r>
      <w:r>
        <w:rPr>
          <w:b w:val="0"/>
          <w:i/>
        </w:rPr>
        <w:t>d</w:t>
      </w:r>
      <w:r>
        <w:rPr>
          <w:b w:val="0"/>
          <w:i w:val="0"/>
        </w:rPr>
        <w:t>–</w:t>
      </w:r>
      <w:r>
        <w:rPr>
          <w:b w:val="0"/>
          <w:i/>
        </w:rPr>
        <w:t>t</w:t>
      </w:r>
      <w:r>
        <w:rPr>
          <w:b w:val="0"/>
          <w:i w:val="0"/>
        </w:rPr>
        <w:t xml:space="preserve"> is the best mesomolecular fuel is not news to the field; what is set out here is the closed argument for it, because the fuel is where this reaction's largest practical liability sits, and a uniqueness claim covering only half the configuration is not a uniqueness claim.</w:t>
      </w:r>
    </w:p>
    <w:p>
      <w:r>
        <w:rPr>
          <w:b w:val="0"/>
          <w:i w:val="0"/>
        </w:rPr>
        <w:t xml:space="preserve">The candidate set closes the same way §2's did. A mesomolecular fuel is a </w:t>
      </w:r>
      <w:r>
        <w:rPr>
          <w:b/>
          <w:i w:val="0"/>
        </w:rPr>
        <w:t>pair</w:t>
      </w:r>
      <w:r>
        <w:rPr>
          <w:b w:val="0"/>
          <w:i w:val="0"/>
        </w:rPr>
        <w:t xml:space="preserve"> of light nuclei that a muon can bind, and the hydrogen isotopes give exactly 6 such pairs. The helium pairs are listed beside them and excluded by the same arithmetic rather than by assertion.</w:t>
      </w:r>
    </w:p>
    <w:p>
      <w:r>
        <w:rPr>
          <w:b/>
          <w:i w:val="0"/>
        </w:rPr>
        <w:t>The figure of merit is not the energy release.</w:t>
      </w:r>
      <w:r>
        <w:rPr>
          <w:b w:val="0"/>
          <w:i w:val="0"/>
        </w:rPr>
        <w:t xml:space="preserve"> A muon is a reusable catalyst with exactly two ways of being lost — it decays, or it sticks to a fusion product — and what one muon is worth is therefore the number of cycles it completes before one of the two claims it. Writing </w:t>
      </w:r>
      <w:r>
        <w:rPr>
          <w:rFonts w:ascii="Consolas" w:hAnsi="Consolas"/>
          <w:b w:val="0"/>
          <w:i w:val="0"/>
          <w:sz w:val="19"/>
        </w:rPr>
        <w:t>λ_c</w:t>
      </w:r>
      <w:r>
        <w:rPr>
          <w:b w:val="0"/>
          <w:i w:val="0"/>
        </w:rPr>
        <w:t xml:space="preserve"> for the cycle rate and </w:t>
      </w:r>
      <w:r>
        <w:rPr>
          <w:rFonts w:ascii="Consolas" w:hAnsi="Consolas"/>
          <w:b w:val="0"/>
          <w:i w:val="0"/>
          <w:sz w:val="19"/>
        </w:rPr>
        <w:t>λ_0</w:t>
      </w:r>
      <w:r>
        <w:rPr>
          <w:b w:val="0"/>
          <w:i w:val="0"/>
        </w:rPr>
        <w:t xml:space="preserve"> for the free decay rate,</w:t>
      </w:r>
    </w:p>
    <w:p>
      <w:pPr>
        <w:spacing w:before="160" w:after="200"/>
        <w:ind w:left="461" w:right="259"/>
      </w:pPr>
      <w:r>
        <w:rPr>
          <w:b/>
          <w:i w:val="0"/>
        </w:rPr>
        <w:t>the cycles a binder completes are</w:t>
      </w:r>
      <w:r>
        <w:rPr>
          <w:b w:val="0"/>
          <w:i w:val="0"/>
        </w:rPr>
        <w:t xml:space="preserve"> </w:t>
      </w:r>
      <w:r>
        <w:rPr>
          <w:rFonts w:ascii="Consolas" w:hAnsi="Consolas"/>
          <w:b w:val="0"/>
          <w:i w:val="0"/>
          <w:sz w:val="19"/>
        </w:rPr>
        <w:t>N = 1 / (ω_s + λ_0/λ_c)</w:t>
      </w:r>
      <w:r>
        <w:rPr>
          <w:b w:val="0"/>
          <w:i w:val="0"/>
        </w:rPr>
        <w:t>,</w:t>
      </w:r>
    </w:p>
    <w:p>
      <w:r>
        <w:rPr>
          <w:b w:val="0"/>
          <w:i w:val="0"/>
        </w:rPr>
        <w:t xml:space="preserve">so that a </w:t>
      </w:r>
      <w:r>
        <w:rPr>
          <w:b w:val="0"/>
          <w:i/>
        </w:rPr>
        <w:t>slow</w:t>
      </w:r>
      <w:r>
        <w:rPr>
          <w:b w:val="0"/>
          <w:i w:val="0"/>
        </w:rPr>
        <w:t xml:space="preserve"> cycle is punished by decay and a </w:t>
      </w:r>
      <w:r>
        <w:rPr>
          <w:b w:val="0"/>
          <w:i/>
        </w:rPr>
        <w:t>sticky</w:t>
      </w:r>
      <w:r>
        <w:rPr>
          <w:b w:val="0"/>
          <w:i w:val="0"/>
        </w:rPr>
        <w:t xml:space="preserve"> one by sticking, and a fuel must escape both to be worth anything. Proposition 10 in §14.8 derives it. The free decay rate is 4.5517 × 10</w:t>
      </w:r>
      <w:r>
        <w:rPr>
          <w:b w:val="0"/>
          <w:i w:val="0"/>
          <w:vertAlign w:val="superscript"/>
        </w:rPr>
        <w:t>5</w:t>
      </w:r>
      <w:r>
        <w:rPr>
          <w:b w:val="0"/>
          <w:i w:val="0"/>
        </w:rPr>
        <w:t xml:space="preserve"> s</w:t>
      </w:r>
      <w:r>
        <w:rPr>
          <w:b w:val="0"/>
          <w:i w:val="0"/>
          <w:vertAlign w:val="superscript"/>
        </w:rPr>
        <w:t>-1</w:t>
      </w:r>
      <w:r>
        <w:rPr>
          <w:b w:val="0"/>
          <w:i w:val="0"/>
        </w:rPr>
        <w:t>.</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pair</w:t>
            </w:r>
          </w:p>
        </w:tc>
        <w:tc>
          <w:tcPr>
            <w:tcW w:type="dxa" w:w="2232"/>
          </w:tcPr>
          <w:p>
            <w:r/>
            <w:r>
              <w:rPr>
                <w:b/>
                <w:i w:val="0"/>
              </w:rPr>
              <w:t>cycles per muon</w:t>
            </w:r>
          </w:p>
        </w:tc>
        <w:tc>
          <w:tcPr>
            <w:tcW w:type="dxa" w:w="2232"/>
          </w:tcPr>
          <w:p>
            <w:r/>
            <w:r>
              <w:rPr>
                <w:b/>
                <w:i w:val="0"/>
              </w:rPr>
              <w:t>energy per muon</w:t>
            </w:r>
          </w:p>
        </w:tc>
        <w:tc>
          <w:tcPr>
            <w:tcW w:type="dxa" w:w="2232"/>
          </w:tcPr>
          <w:p>
            <w:r/>
            <w:r>
              <w:rPr>
                <w:b/>
                <w:i w:val="0"/>
              </w:rPr>
              <w:t>neutrons per muon</w:t>
            </w:r>
          </w:p>
        </w:tc>
      </w:tr>
      <w:tr>
        <w:tc>
          <w:tcPr>
            <w:tcW w:type="dxa" w:w="2232"/>
          </w:tcPr>
          <w:p>
            <w:r/>
            <w:r>
              <w:rPr>
                <w:b/>
                <w:i w:val="0"/>
              </w:rPr>
              <w:t>d–t</w:t>
            </w:r>
          </w:p>
        </w:tc>
        <w:tc>
          <w:tcPr>
            <w:tcW w:type="dxa" w:w="2232"/>
          </w:tcPr>
          <w:p>
            <w:r/>
            <w:r>
              <w:rPr>
                <w:b/>
                <w:i w:val="0"/>
              </w:rPr>
              <w:t>113.08 cycles</w:t>
            </w:r>
          </w:p>
        </w:tc>
        <w:tc>
          <w:tcPr>
            <w:tcW w:type="dxa" w:w="2232"/>
          </w:tcPr>
          <w:p>
            <w:r/>
            <w:r>
              <w:rPr>
                <w:b/>
                <w:i w:val="0"/>
              </w:rPr>
              <w:t>1989.1 MeV</w:t>
            </w:r>
          </w:p>
        </w:tc>
        <w:tc>
          <w:tcPr>
            <w:tcW w:type="dxa" w:w="2232"/>
          </w:tcPr>
          <w:p>
            <w:r/>
            <w:r>
              <w:rPr>
                <w:b/>
                <w:i w:val="0"/>
              </w:rPr>
              <w:t>113.08</w:t>
            </w:r>
          </w:p>
        </w:tc>
      </w:tr>
      <w:tr>
        <w:tc>
          <w:tcPr>
            <w:tcW w:type="dxa" w:w="2232"/>
          </w:tcPr>
          <w:p>
            <w:r/>
            <w:r>
              <w:rPr>
                <w:b w:val="0"/>
                <w:i w:val="0"/>
              </w:rPr>
              <w:t>t–t</w:t>
            </w:r>
          </w:p>
        </w:tc>
        <w:tc>
          <w:tcPr>
            <w:tcW w:type="dxa" w:w="2232"/>
          </w:tcPr>
          <w:p>
            <w:r/>
            <w:r>
              <w:rPr>
                <w:b w:val="0"/>
                <w:i w:val="0"/>
              </w:rPr>
              <w:t>2.26 cycles</w:t>
            </w:r>
          </w:p>
        </w:tc>
        <w:tc>
          <w:tcPr>
            <w:tcW w:type="dxa" w:w="2232"/>
          </w:tcPr>
          <w:p>
            <w:r/>
            <w:r>
              <w:rPr>
                <w:b w:val="0"/>
                <w:i w:val="0"/>
              </w:rPr>
              <w:t>25.55 MeV</w:t>
            </w:r>
          </w:p>
        </w:tc>
        <w:tc>
          <w:tcPr>
            <w:tcW w:type="dxa" w:w="2232"/>
          </w:tcPr>
          <w:p>
            <w:r/>
            <w:r>
              <w:rPr>
                <w:b w:val="0"/>
                <w:i w:val="0"/>
              </w:rPr>
              <w:t>—</w:t>
            </w:r>
          </w:p>
        </w:tc>
      </w:tr>
      <w:tr>
        <w:tc>
          <w:tcPr>
            <w:tcW w:type="dxa" w:w="2232"/>
          </w:tcPr>
          <w:p>
            <w:r/>
            <w:r>
              <w:rPr>
                <w:b w:val="0"/>
                <w:i w:val="0"/>
              </w:rPr>
              <w:t>d–d</w:t>
            </w:r>
          </w:p>
        </w:tc>
        <w:tc>
          <w:tcPr>
            <w:tcW w:type="dxa" w:w="2232"/>
          </w:tcPr>
          <w:p>
            <w:r/>
            <w:r>
              <w:rPr>
                <w:b w:val="0"/>
                <w:i w:val="0"/>
              </w:rPr>
              <w:t>2.36 cycles</w:t>
            </w:r>
          </w:p>
        </w:tc>
        <w:tc>
          <w:tcPr>
            <w:tcW w:type="dxa" w:w="2232"/>
          </w:tcPr>
          <w:p>
            <w:r/>
            <w:r>
              <w:rPr>
                <w:b w:val="0"/>
                <w:i w:val="0"/>
              </w:rPr>
              <w:t>8.62 MeV</w:t>
            </w:r>
          </w:p>
        </w:tc>
        <w:tc>
          <w:tcPr>
            <w:tcW w:type="dxa" w:w="2232"/>
          </w:tcPr>
          <w:p>
            <w:r/>
            <w:r>
              <w:rPr>
                <w:b w:val="0"/>
                <w:i w:val="0"/>
              </w:rPr>
              <w:t>—</w:t>
            </w:r>
          </w:p>
        </w:tc>
      </w:tr>
      <w:tr>
        <w:tc>
          <w:tcPr>
            <w:tcW w:type="dxa" w:w="2232"/>
          </w:tcPr>
          <w:p>
            <w:r/>
            <w:r>
              <w:rPr>
                <w:b w:val="0"/>
                <w:i w:val="0"/>
              </w:rPr>
              <w:t>p–d, p–t, p–p, and the helium pairs</w:t>
            </w:r>
          </w:p>
        </w:tc>
        <w:tc>
          <w:tcPr>
            <w:tcW w:type="dxa" w:w="2232"/>
          </w:tcPr>
          <w:p>
            <w:r/>
            <w:r>
              <w:rPr>
                <w:b w:val="0"/>
                <w:i w:val="0"/>
              </w:rPr>
              <w:t>below unity</w:t>
            </w:r>
          </w:p>
        </w:tc>
        <w:tc>
          <w:tcPr>
            <w:tcW w:type="dxa" w:w="2232"/>
          </w:tcPr>
          <w:p>
            <w:r/>
            <w:r>
              <w:rPr>
                <w:b w:val="0"/>
                <w:i w:val="0"/>
              </w:rPr>
              <w:t>below the d–d entry</w:t>
            </w:r>
          </w:p>
        </w:tc>
        <w:tc>
          <w:tcPr>
            <w:tcW w:type="dxa" w:w="2232"/>
          </w:tcPr>
          <w:p>
            <w:r/>
            <w:r>
              <w:rPr>
                <w:b w:val="0"/>
                <w:i w:val="0"/>
              </w:rPr>
              <w:t>—</w:t>
            </w:r>
          </w:p>
        </w:tc>
      </w:tr>
    </w:tbl>
    <w:p/>
    <w:p>
      <w:pPr>
        <w:spacing w:before="160" w:after="200"/>
        <w:ind w:left="461" w:right="259"/>
      </w:pPr>
      <w:r>
        <w:rPr>
          <w:b/>
          <w:i w:val="0"/>
        </w:rPr>
        <w:t>Theorem 4 (uniqueness of the fuel).</w:t>
      </w:r>
      <w:r>
        <w:rPr>
          <w:b w:val="0"/>
          <w:i w:val="0"/>
        </w:rPr>
        <w:t xml:space="preserve"> Over the closed set of light-nucleus pairs a muon can bind, </w:t>
      </w:r>
      <w:r>
        <w:rPr>
          <w:b w:val="0"/>
          <w:i/>
        </w:rPr>
        <w:t>d</w:t>
      </w:r>
      <w:r>
        <w:rPr>
          <w:b w:val="0"/>
          <w:i w:val="0"/>
        </w:rPr>
        <w:t>–</w:t>
      </w:r>
      <w:r>
        <w:rPr>
          <w:b w:val="0"/>
          <w:i/>
        </w:rPr>
        <w:t>t</w:t>
      </w:r>
      <w:r>
        <w:rPr>
          <w:b w:val="0"/>
          <w:i w:val="0"/>
        </w:rPr>
        <w:t xml:space="preserve"> maximises the energy returned per binder, by 77.85 against the next candidate. Theorem 4 in §14.8 proves it.</w:t>
      </w:r>
    </w:p>
    <w:p>
      <w:r>
        <w:rPr>
          <w:b w:val="0"/>
          <w:i w:val="0"/>
        </w:rPr>
        <w:t>Two features of that result matter more than the ranking itself.</w:t>
      </w:r>
    </w:p>
    <w:p>
      <w:r>
        <w:rPr>
          <w:b/>
          <w:i w:val="0"/>
        </w:rPr>
        <w:t>The runner-up uses more tritium, not less.</w:t>
      </w:r>
      <w:r>
        <w:rPr>
          <w:b w:val="0"/>
          <w:i w:val="0"/>
        </w:rPr>
        <w:t xml:space="preserve"> The second-placed pair is </w:t>
      </w:r>
      <w:r>
        <w:rPr>
          <w:b w:val="0"/>
          <w:i/>
        </w:rPr>
        <w:t>t</w:t>
      </w:r>
      <w:r>
        <w:rPr>
          <w:b w:val="0"/>
          <w:i w:val="0"/>
        </w:rPr>
        <w:t>–</w:t>
      </w:r>
      <w:r>
        <w:rPr>
          <w:b w:val="0"/>
          <w:i/>
        </w:rPr>
        <w:t>t</w:t>
      </w:r>
      <w:r>
        <w:rPr>
          <w:b w:val="0"/>
          <w:i w:val="0"/>
        </w:rPr>
        <w:t xml:space="preserve">, so nothing is gained on the reaction's principal liability by moving down the list. Against </w:t>
      </w:r>
      <w:r>
        <w:rPr>
          <w:b w:val="0"/>
          <w:i/>
        </w:rPr>
        <w:t>d</w:t>
      </w:r>
      <w:r>
        <w:rPr>
          <w:b w:val="0"/>
          <w:i w:val="0"/>
        </w:rPr>
        <w:t>–</w:t>
      </w:r>
      <w:r>
        <w:rPr>
          <w:b w:val="0"/>
          <w:i/>
        </w:rPr>
        <w:t>d</w:t>
      </w:r>
      <w:r>
        <w:rPr>
          <w:b w:val="0"/>
          <w:i w:val="0"/>
        </w:rPr>
        <w:t xml:space="preserve"> — the only tritium-free pair with any cycle rate at all — </w:t>
      </w:r>
      <w:r>
        <w:rPr>
          <w:b w:val="0"/>
          <w:i/>
        </w:rPr>
        <w:t>d</w:t>
      </w:r>
      <w:r>
        <w:rPr>
          <w:b w:val="0"/>
          <w:i w:val="0"/>
        </w:rPr>
        <w:t>–</w:t>
      </w:r>
      <w:r>
        <w:rPr>
          <w:b w:val="0"/>
          <w:i/>
        </w:rPr>
        <w:t>t</w:t>
      </w:r>
      <w:r>
        <w:rPr>
          <w:b w:val="0"/>
          <w:i w:val="0"/>
        </w:rPr>
        <w:t xml:space="preserve"> is 230.76 on energy per binder and 95.77 on neutrons.</w:t>
      </w:r>
    </w:p>
    <w:p>
      <w:r>
        <w:rPr>
          <w:b w:val="0"/>
          <w:i w:val="0"/>
        </w:rPr>
        <w:t>*</w:t>
      </w:r>
      <w:r>
        <w:rPr>
          <w:b w:val="0"/>
          <w:i/>
        </w:rPr>
        <w:t xml:space="preserve">So </w:t>
      </w:r>
      <w:r>
        <w:rPr>
          <w:b w:val="0"/>
          <w:i w:val="0"/>
        </w:rPr>
        <w:t>d</w:t>
      </w:r>
      <w:r>
        <w:rPr>
          <w:b w:val="0"/>
          <w:i/>
        </w:rPr>
        <w:t>–</w:t>
      </w:r>
      <w:r>
        <w:rPr>
          <w:b w:val="0"/>
          <w:i w:val="0"/>
        </w:rPr>
        <w:t>t</w:t>
      </w:r>
      <w:r>
        <w:rPr>
          <w:b w:val="0"/>
          <w:i/>
        </w:rPr>
        <w:t xml:space="preserve"> is not a preference.</w:t>
      </w:r>
      <w:r>
        <w:rPr>
          <w:b w:val="0"/>
          <w:i w:val="0"/>
        </w:rPr>
        <w:t>* It is the only pair whose cycle is fast enough to outrun the muon and whose sticking is low enough to let it repeat, and every other admissible pair fails one of those two tests by more than an order of magnitude. Taken with §2, the reaction is unique in its binder and unique in its fuel, and neither uniqueness was assumed.</w:t>
      </w:r>
    </w:p>
    <w:p>
      <w:r>
        <w:rPr>
          <w:b/>
          <w:i w:val="0"/>
        </w:rPr>
        <w:t>The model is used for ratios and never for an absolute.</w:t>
      </w:r>
      <w:r>
        <w:rPr>
          <w:b w:val="0"/>
          <w:i w:val="0"/>
        </w:rPr>
        <w:t xml:space="preserve"> Run on </w:t>
      </w:r>
      <w:r>
        <w:rPr>
          <w:b w:val="0"/>
          <w:i/>
        </w:rPr>
        <w:t>d</w:t>
      </w:r>
      <w:r>
        <w:rPr>
          <w:b w:val="0"/>
          <w:i w:val="0"/>
        </w:rPr>
        <w:t>–</w:t>
      </w:r>
      <w:r>
        <w:rPr>
          <w:b w:val="0"/>
          <w:i/>
        </w:rPr>
        <w:t>t</w:t>
      </w:r>
      <w:r>
        <w:rPr>
          <w:b w:val="0"/>
          <w:i w:val="0"/>
        </w:rPr>
        <w:t xml:space="preserve"> it returns 113.08 cycles against the 150 cycles measured at Los Alamos, a fidelity of 0.7539. That is close enough to rank fuels against one another and not close enough to price a machine, so every balance in this paper uses the measured count and none uses the model's.</w:t>
      </w:r>
    </w:p>
    <w:p>
      <w:pPr>
        <w:spacing w:before="320" w:after="80"/>
      </w:pPr>
      <w:r>
        <w:rPr>
          <w:b/>
          <w:sz w:val="27"/>
        </w:rPr>
        <w:t>4.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§14.2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4.1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§14.4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§5.1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§5 and §6 go, and why the acceptance is the first thing worth measuring. §11's protocol still runs, because the two routes to sticking disagreed historically and the operative value is worth pinning, but it settles a term rather than the question.</w:t>
      </w:r>
    </w:p>
    <w:p>
      <w:pPr>
        <w:spacing w:before="320" w:after="80"/>
      </w:pPr>
      <w:r>
        <w:rPr>
          <w:b/>
          <w:sz w:val="27"/>
        </w:rPr>
        <w:t>5.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5.1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§14.6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5.2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6. The collector, and the number that decides it</w:t>
      </w:r>
    </w:p>
    <w:p>
      <w:pPr>
        <w:spacing w:before="240" w:after="80"/>
      </w:pPr>
      <w:r>
        <w:rPr>
          <w:b/>
          <w:sz w:val="23"/>
        </w:rPr>
        <w:t>6.1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§14.5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6.2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320" w:after="80"/>
      </w:pPr>
      <w:r>
        <w:rPr>
          <w:b/>
          <w:sz w:val="27"/>
        </w:rPr>
        <w:t>7.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§6.2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§14.2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§14.5) and proportional to the service life, so each cell below is one multiplication. The left column is the machine as built; the right is the same machine with both collector alterations of §7.1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jc w:val="center"/>
      </w:pPr>
      <w:r>
        <w:drawing>
          <wp:inline xmlns:a="http://schemas.openxmlformats.org/drawingml/2006/main" xmlns:pic="http://schemas.openxmlformats.org/drawingml/2006/picture">
            <wp:extent cx="5486400" cy="2933829"/>
            <wp:docPr id="2" name="Picture 2"/>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7.1 What the specified alterations do to every balance</w:t>
      </w:r>
    </w:p>
    <w:p>
      <w:r>
        <w:rPr>
          <w:b w:val="0"/>
          <w:i w:val="0"/>
        </w:rPr>
        <w:t xml:space="preserve">§7 states the balances at the production cost §5.1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§14.5 makes this explicit.</w:t>
      </w:r>
    </w:p>
    <w:p>
      <w:pPr>
        <w:spacing w:before="160" w:after="200"/>
        <w:ind w:left="461" w:right="259"/>
      </w:pPr>
      <w:r>
        <w:rPr>
          <w:b/>
          <w:i w:val="0"/>
        </w:rPr>
        <w:t>The factor checks against the requirement it moves.</w:t>
      </w:r>
      <w:r>
        <w:rPr>
          <w:b w:val="0"/>
          <w:i w:val="0"/>
        </w:rPr>
        <w:t xml:space="preserve"> §5.2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3" name="Picture 3"/>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they point in opposite directions.</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Theorem 3 of §14 shows the same thing from the other direction. </w:t>
      </w:r>
      <w:r>
        <w:rPr>
          <w:b/>
          <w:i w:val="0"/>
        </w:rPr>
        <w:t>Bred fuel at the measured cycle count clears unity, and it asks for the least of anything here.</w:t>
      </w:r>
      <w:r>
        <w:rPr>
          <w:b w:val="0"/>
          <w:i w:val="0"/>
        </w:rPr>
        <w:t xml:space="preserve"> At 1.480 with the target alone and </w:t>
      </w:r>
      <w:r>
        <w:rPr>
          <w:b/>
          <w:i w:val="0"/>
        </w:rPr>
        <w:t>2.271</w:t>
      </w:r>
      <w:r>
        <w:rPr>
          <w:b w:val="0"/>
          <w:i w:val="0"/>
        </w:rPr>
        <w:t xml:space="preserve"> with all three alterations, it uses </w:t>
      </w:r>
      <w:r>
        <w:rPr>
          <w:b/>
          <w:i w:val="0"/>
        </w:rPr>
        <w:t>no service-life model, no density above the one already reached, and no choice between the two sticking measurements</w:t>
      </w:r>
      <w:r>
        <w:rPr>
          <w:b w:val="0"/>
          <w:i w:val="0"/>
        </w:rPr>
        <w:t xml:space="preserve">. Its inputs are the 150 cycles measured at Los Alamos, the sourced blanket of §5.2, the production cost integrated from measured cross sections in §5.1, and the collection the machine of §10 delivers. </w:t>
      </w:r>
      <w:r>
        <w:rPr>
          <w:b/>
          <w:i w:val="0"/>
        </w:rPr>
        <w:t>That is the configuration this paper offers as self-sustaining and unwitnessed</w:t>
      </w:r>
      <w:r>
        <w:rPr>
          <w:b w:val="0"/>
          <w:i w:val="0"/>
        </w:rPr>
        <w:t>, and §13 states exactly which of its terms have been measured and which have not.</w:t>
      </w:r>
    </w:p>
    <w:p>
      <w:r>
        <w:rPr>
          <w:b/>
          <w:i w:val="0"/>
        </w:rPr>
        <w:t>One condition travels with it and is not yet discharged.</w:t>
      </w:r>
      <w:r>
        <w:rPr>
          <w:b w:val="0"/>
          <w:i w:val="0"/>
        </w:rPr>
        <w:t xml:space="preserve"> 4.69 GeV is a published optimisation of the production target. This paper prices what it is worth without adopting it as a figure of its own, and a normalisation measurement on one target is what would settle it. Without it the same route reaches 0.957 — which is 1.045 short, and short by less than the uncertainty on the one term in it nobody has measured.</w:t>
      </w:r>
    </w:p>
    <w:p>
      <w:r>
        <w:rPr>
          <w:b w:val="0"/>
          <w:i w:val="0"/>
        </w:rPr>
        <w:t>———</w:t>
      </w:r>
    </w:p>
    <w:p>
      <w:pPr>
        <w:spacing w:before="320" w:after="80"/>
      </w:pPr>
      <w:r>
        <w:rPr>
          <w:b/>
          <w:sz w:val="27"/>
        </w:rPr>
        <w:t>8. A deuterium cell does not stay a deuterium cell</w:t>
      </w:r>
    </w:p>
    <w:p>
      <w:r>
        <w:rPr>
          <w:b w:val="0"/>
          <w:i w:val="0"/>
        </w:rPr>
        <w:t>§3 ranked the pairs as though a cell could be charged with one of them and left alone. It cannot, and the exception is worth a section because it is the only route by which this reaction's tritium liability falls by more than a rounding.</w:t>
      </w:r>
    </w:p>
    <w:p>
      <w:r>
        <w:rPr>
          <w:b w:val="0"/>
          <w:i w:val="0"/>
        </w:rPr>
        <w:t xml:space="preserve">One branch of the </w:t>
      </w:r>
      <w:r>
        <w:rPr>
          <w:b w:val="0"/>
          <w:i/>
        </w:rPr>
        <w:t>d</w:t>
      </w:r>
      <w:r>
        <w:rPr>
          <w:b w:val="0"/>
          <w:i w:val="0"/>
        </w:rPr>
        <w:t>–</w:t>
      </w:r>
      <w:r>
        <w:rPr>
          <w:b w:val="0"/>
          <w:i/>
        </w:rPr>
        <w:t>d</w:t>
      </w:r>
      <w:r>
        <w:rPr>
          <w:b w:val="0"/>
          <w:i w:val="0"/>
        </w:rPr>
        <w:t xml:space="preserve"> reaction makes tritium. </w:t>
      </w:r>
      <w:r>
        <w:rPr>
          <w:rFonts w:ascii="Consolas" w:hAnsi="Consolas"/>
          <w:b w:val="0"/>
          <w:i w:val="0"/>
          <w:sz w:val="19"/>
        </w:rPr>
        <w:t>d + d → t + p</w:t>
      </w:r>
      <w:r>
        <w:rPr>
          <w:b w:val="0"/>
          <w:i w:val="0"/>
        </w:rPr>
        <w:t xml:space="preserve"> runs at very nearly half of all </w:t>
      </w:r>
      <w:r>
        <w:rPr>
          <w:b w:val="0"/>
          <w:i/>
        </w:rPr>
        <w:t>d</w:t>
      </w:r>
      <w:r>
        <w:rPr>
          <w:b w:val="0"/>
          <w:i w:val="0"/>
        </w:rPr>
        <w:t>–</w:t>
      </w:r>
      <w:r>
        <w:rPr>
          <w:b w:val="0"/>
          <w:i/>
        </w:rPr>
        <w:t>d</w:t>
      </w:r>
      <w:r>
        <w:rPr>
          <w:b w:val="0"/>
          <w:i w:val="0"/>
        </w:rPr>
        <w:t xml:space="preserve"> events, and </w:t>
      </w:r>
      <w:r>
        <w:rPr>
          <w:b w:val="0"/>
          <w:i/>
        </w:rPr>
        <w:t>dtμ</w:t>
      </w:r>
      <w:r>
        <w:rPr>
          <w:b w:val="0"/>
          <w:i w:val="0"/>
        </w:rPr>
        <w:t xml:space="preserve"> forms some eighty times faster than </w:t>
      </w:r>
      <w:r>
        <w:rPr>
          <w:b w:val="0"/>
          <w:i/>
        </w:rPr>
        <w:t>ddμ</w:t>
      </w:r>
      <w:r>
        <w:rPr>
          <w:b w:val="0"/>
          <w:i w:val="0"/>
        </w:rPr>
        <w:t xml:space="preserve">, so tritium produced in a deuterium cell is consumed preferentially the moment it exists. </w:t>
      </w:r>
      <w:r>
        <w:rPr>
          <w:b/>
          <w:i w:val="0"/>
        </w:rPr>
        <w:t>A deuterium cell therefore tritiates itself</w:t>
      </w:r>
      <w:r>
        <w:rPr>
          <w:b w:val="0"/>
          <w:i w:val="0"/>
        </w:rPr>
        <w:t>, and it does so until production balances burn. That is not a choice available to the designer; it is what the cell does.</w:t>
      </w:r>
    </w:p>
    <w:p>
      <w:r>
        <w:rPr>
          <w:b w:val="0"/>
          <w:i w:val="0"/>
        </w:rPr>
        <w:t xml:space="preserve">The balance is one line. Writing </w:t>
      </w:r>
      <w:r>
        <w:rPr>
          <w:rFonts w:ascii="Consolas" w:hAnsi="Consolas"/>
          <w:b w:val="0"/>
          <w:i w:val="0"/>
          <w:sz w:val="19"/>
        </w:rPr>
        <w:t>f_dt</w:t>
      </w:r>
      <w:r>
        <w:rPr>
          <w:b w:val="0"/>
          <w:i w:val="0"/>
        </w:rPr>
        <w:t xml:space="preserve"> and </w:t>
      </w:r>
      <w:r>
        <w:rPr>
          <w:rFonts w:ascii="Consolas" w:hAnsi="Consolas"/>
          <w:b w:val="0"/>
          <w:i w:val="0"/>
          <w:sz w:val="19"/>
        </w:rPr>
        <w:t>f_dd</w:t>
      </w:r>
      <w:r>
        <w:rPr>
          <w:b w:val="0"/>
          <w:i w:val="0"/>
        </w:rPr>
        <w:t xml:space="preserve"> for the shares of fusions that run on each pair, production is </w:t>
      </w:r>
      <w:r>
        <w:rPr>
          <w:rFonts w:ascii="Consolas" w:hAnsi="Consolas"/>
          <w:b w:val="0"/>
          <w:i w:val="0"/>
          <w:sz w:val="19"/>
        </w:rPr>
        <w:t>½ f_dd</w:t>
      </w:r>
      <w:r>
        <w:rPr>
          <w:b w:val="0"/>
          <w:i w:val="0"/>
        </w:rPr>
        <w:t xml:space="preserve"> per fusion and consumption is </w:t>
      </w:r>
      <w:r>
        <w:rPr>
          <w:rFonts w:ascii="Consolas" w:hAnsi="Consolas"/>
          <w:b w:val="0"/>
          <w:i w:val="0"/>
          <w:sz w:val="19"/>
        </w:rPr>
        <w:t>f_dt</w:t>
      </w:r>
      <w:r>
        <w:rPr>
          <w:b w:val="0"/>
          <w:i w:val="0"/>
        </w:rPr>
        <w:t>, so</w:t>
      </w:r>
    </w:p>
    <w:p>
      <w:pPr>
        <w:spacing w:before="160" w:after="200"/>
        <w:ind w:left="461" w:right="259"/>
      </w:pPr>
      <w:r>
        <w:rPr>
          <w:rFonts w:ascii="Consolas" w:hAnsi="Consolas"/>
          <w:b w:val="0"/>
          <w:i w:val="0"/>
          <w:sz w:val="19"/>
        </w:rPr>
        <w:t>½ f_dd = f_dt</w:t>
      </w:r>
      <w:r>
        <w:rPr>
          <w:b w:val="0"/>
          <w:i w:val="0"/>
        </w:rPr>
        <w:t xml:space="preserve"> with </w:t>
      </w:r>
      <w:r>
        <w:rPr>
          <w:rFonts w:ascii="Consolas" w:hAnsi="Consolas"/>
          <w:b w:val="0"/>
          <w:i w:val="0"/>
          <w:sz w:val="19"/>
        </w:rPr>
        <w:t>f_dd + f_dt = 1</w:t>
      </w:r>
      <w:r>
        <w:rPr>
          <w:b w:val="0"/>
          <w:i w:val="0"/>
        </w:rPr>
        <w:t xml:space="preserve">, giving </w:t>
      </w:r>
      <w:r>
        <w:rPr>
          <w:b/>
          <w:i w:val="0"/>
        </w:rPr>
        <w:t>`f_dt` = 0.3333</w:t>
      </w:r>
      <w:r>
        <w:rPr>
          <w:b w:val="0"/>
          <w:i w:val="0"/>
        </w:rPr>
        <w:t xml:space="preserve"> and </w:t>
      </w:r>
      <w:r>
        <w:rPr>
          <w:rFonts w:ascii="Consolas" w:hAnsi="Consolas"/>
          <w:b w:val="0"/>
          <w:i w:val="0"/>
          <w:sz w:val="19"/>
        </w:rPr>
        <w:t>f_dd</w:t>
      </w:r>
      <w:r>
        <w:rPr>
          <w:b w:val="0"/>
          <w:i w:val="0"/>
        </w:rPr>
        <w:t xml:space="preserve"> = 0.6667,</w:t>
      </w:r>
    </w:p>
    <w:p>
      <w:r>
        <w:rPr>
          <w:b w:val="0"/>
          <w:i w:val="0"/>
        </w:rPr>
        <w:t>and the tritium concentration that produces that split follows from the two formation rates. Proposition 11 in §14.8 carries the derivation. The result is the number this section exists for.</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at the equilibrium</w:t>
            </w:r>
          </w:p>
        </w:tc>
        <w:tc>
          <w:tcPr>
            <w:tcW w:type="dxa" w:w="4464"/>
          </w:tcPr>
          <w:p>
            <w:r/>
          </w:p>
        </w:tc>
      </w:tr>
      <w:tr>
        <w:tc>
          <w:tcPr>
            <w:tcW w:type="dxa" w:w="4464"/>
          </w:tcPr>
          <w:p>
            <w:r/>
            <w:r>
              <w:rPr>
                <w:b w:val="0"/>
                <w:i w:val="0"/>
              </w:rPr>
              <w:t>tritium, atom fraction</w:t>
            </w:r>
          </w:p>
        </w:tc>
        <w:tc>
          <w:tcPr>
            <w:tcW w:type="dxa" w:w="4464"/>
          </w:tcPr>
          <w:p>
            <w:r/>
            <w:r>
              <w:rPr>
                <w:b w:val="0"/>
                <w:i w:val="0"/>
              </w:rPr>
              <w:t>0.6211 percent</w:t>
            </w:r>
          </w:p>
        </w:tc>
      </w:tr>
      <w:tr>
        <w:tc>
          <w:tcPr>
            <w:tcW w:type="dxa" w:w="4464"/>
          </w:tcPr>
          <w:p>
            <w:r/>
            <w:r>
              <w:rPr>
                <w:b w:val="0"/>
                <w:i w:val="0"/>
              </w:rPr>
              <w:t>tritium, mass fraction</w:t>
            </w:r>
          </w:p>
        </w:tc>
        <w:tc>
          <w:tcPr>
            <w:tcW w:type="dxa" w:w="4464"/>
          </w:tcPr>
          <w:p>
            <w:r/>
            <w:r>
              <w:rPr>
                <w:b w:val="0"/>
                <w:i w:val="0"/>
              </w:rPr>
              <w:t>0.9273 percent</w:t>
            </w:r>
          </w:p>
        </w:tc>
      </w:tr>
      <w:tr>
        <w:tc>
          <w:tcPr>
            <w:tcW w:type="dxa" w:w="4464"/>
          </w:tcPr>
          <w:p>
            <w:r/>
            <w:r>
              <w:rPr>
                <w:b w:val="0"/>
                <w:i w:val="0"/>
              </w:rPr>
              <w:t>cycles per muon</w:t>
            </w:r>
          </w:p>
        </w:tc>
        <w:tc>
          <w:tcPr>
            <w:tcW w:type="dxa" w:w="4464"/>
          </w:tcPr>
          <w:p>
            <w:r/>
            <w:r>
              <w:rPr>
                <w:b w:val="0"/>
                <w:i w:val="0"/>
              </w:rPr>
              <w:t>3.51 cycles</w:t>
            </w:r>
          </w:p>
        </w:tc>
      </w:tr>
      <w:tr>
        <w:tc>
          <w:tcPr>
            <w:tcW w:type="dxa" w:w="4464"/>
          </w:tcPr>
          <w:p>
            <w:r/>
            <w:r>
              <w:rPr>
                <w:b w:val="0"/>
                <w:i w:val="0"/>
              </w:rPr>
              <w:t>energy per fusion</w:t>
            </w:r>
          </w:p>
        </w:tc>
        <w:tc>
          <w:tcPr>
            <w:tcW w:type="dxa" w:w="4464"/>
          </w:tcPr>
          <w:p>
            <w:r/>
            <w:r>
              <w:rPr>
                <w:b w:val="0"/>
                <w:i w:val="0"/>
              </w:rPr>
              <w:t>8.297 MeV</w:t>
            </w:r>
          </w:p>
        </w:tc>
      </w:tr>
      <w:tr>
        <w:tc>
          <w:tcPr>
            <w:tcW w:type="dxa" w:w="4464"/>
          </w:tcPr>
          <w:p>
            <w:r/>
            <w:r>
              <w:rPr>
                <w:b w:val="0"/>
                <w:i w:val="0"/>
              </w:rPr>
              <w:t>energy per muon</w:t>
            </w:r>
          </w:p>
        </w:tc>
        <w:tc>
          <w:tcPr>
            <w:tcW w:type="dxa" w:w="4464"/>
          </w:tcPr>
          <w:p>
            <w:r/>
            <w:r>
              <w:rPr>
                <w:b w:val="0"/>
                <w:i w:val="0"/>
              </w:rPr>
              <w:t>29.09 MeV</w:t>
            </w:r>
          </w:p>
        </w:tc>
      </w:tr>
      <w:tr>
        <w:tc>
          <w:tcPr>
            <w:tcW w:type="dxa" w:w="4464"/>
          </w:tcPr>
          <w:p>
            <w:r/>
            <w:r>
              <w:rPr>
                <w:b w:val="0"/>
                <w:i w:val="0"/>
              </w:rPr>
              <w:t>neutrons per muon</w:t>
            </w:r>
          </w:p>
        </w:tc>
        <w:tc>
          <w:tcPr>
            <w:tcW w:type="dxa" w:w="4464"/>
          </w:tcPr>
          <w:p>
            <w:r/>
            <w:r>
              <w:rPr>
                <w:b w:val="0"/>
                <w:i w:val="0"/>
              </w:rPr>
              <w:t>2.337 neutrons</w:t>
            </w:r>
          </w:p>
        </w:tc>
      </w:tr>
    </w:tbl>
    <w:p/>
    <w:p>
      <w:pPr>
        <w:spacing w:before="160" w:after="200"/>
        <w:ind w:left="461" w:right="259"/>
      </w:pPr>
      <w:r>
        <w:rPr>
          <w:b/>
          <w:i w:val="0"/>
        </w:rPr>
        <w:t>A cell that makes its own tritium holds 64.71 less of it</w:t>
      </w:r>
      <w:r>
        <w:rPr>
          <w:b w:val="0"/>
          <w:i w:val="0"/>
        </w:rPr>
        <w:t xml:space="preserve"> than the </w:t>
      </w:r>
      <w:r>
        <w:rPr>
          <w:b w:val="0"/>
          <w:i/>
        </w:rPr>
        <w:t>d</w:t>
      </w:r>
      <w:r>
        <w:rPr>
          <w:b w:val="0"/>
          <w:i w:val="0"/>
        </w:rPr>
        <w:t>–</w:t>
      </w:r>
      <w:r>
        <w:rPr>
          <w:b w:val="0"/>
          <w:i/>
        </w:rPr>
        <w:t>t</w:t>
      </w:r>
      <w:r>
        <w:rPr>
          <w:b w:val="0"/>
          <w:i w:val="0"/>
        </w:rPr>
        <w:t xml:space="preserve"> cell §9 specifies — a percent rather than half — and it needs no external tritium, no lithium and no breeding blanket to hold that inventory against decay. </w:t>
      </w:r>
      <w:r>
        <w:rPr>
          <w:b/>
          <w:i w:val="0"/>
        </w:rPr>
        <w:t>What it costs is the reaction's yield, by 48.38 in neutrons per binder.</w:t>
      </w:r>
    </w:p>
    <w:p>
      <w:r>
        <w:rPr>
          <w:b/>
          <w:i w:val="0"/>
        </w:rPr>
        <w:t>Two things are not claimed here.</w:t>
      </w:r>
      <w:r>
        <w:rPr>
          <w:b w:val="0"/>
          <w:i w:val="0"/>
        </w:rPr>
        <w:t xml:space="preserve"> The equilibrium above is a first-order balance between two formation rates and two branching ratios, and it is offered as a quantity to measure rather than as a result to build on. And it runs against a known effect this paper does not compute: the other </w:t>
      </w:r>
      <w:r>
        <w:rPr>
          <w:b w:val="0"/>
          <w:i/>
        </w:rPr>
        <w:t>d</w:t>
      </w:r>
      <w:r>
        <w:rPr>
          <w:b w:val="0"/>
          <w:i w:val="0"/>
        </w:rPr>
        <w:t>–</w:t>
      </w:r>
      <w:r>
        <w:rPr>
          <w:b w:val="0"/>
          <w:i/>
        </w:rPr>
        <w:t>d</w:t>
      </w:r>
      <w:r>
        <w:rPr>
          <w:b w:val="0"/>
          <w:i w:val="0"/>
        </w:rPr>
        <w:t xml:space="preserve"> branch makes ³He, muon transfer to ³He is fast, and ³He is an established poison in deuterium cells. Counting it would lower every entry in the table above by an amount only a measurement can fix.</w:t>
      </w:r>
    </w:p>
    <w:p>
      <w:r>
        <w:rPr>
          <w:b/>
          <w:i w:val="0"/>
        </w:rPr>
        <w:t>The reaction is the same reaction.</w:t>
      </w:r>
      <w:r>
        <w:rPr>
          <w:b w:val="0"/>
          <w:i w:val="0"/>
        </w:rPr>
        <w:t xml:space="preserve"> The binder is the muon, §2's theorem is untouched, the cycle is the cycle, and the ash is the ash the branching ratios fix. What changes is the charge in the cell — which is to say that §3's ranking answers </w:t>
      </w:r>
      <w:r>
        <w:rPr>
          <w:b w:val="0"/>
          <w:i/>
        </w:rPr>
        <w:t>which pair returns most per binder</w:t>
      </w:r>
      <w:r>
        <w:rPr>
          <w:b w:val="0"/>
          <w:i w:val="0"/>
        </w:rPr>
        <w:t>, and this section answers a different question that the ranking cannot see.</w:t>
      </w:r>
    </w:p>
    <w:p>
      <w:pPr>
        <w:spacing w:before="320" w:after="80"/>
      </w:pPr>
      <w:r>
        <w:rPr>
          <w:b/>
          <w:sz w:val="27"/>
        </w:rPr>
        <w:t>9.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4" name="Picture 4"/>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9.1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§9.3 carries the consequence into what the production target must be made of.</w:t>
      </w:r>
    </w:p>
    <w:p>
      <w:pPr>
        <w:spacing w:before="240" w:after="80"/>
      </w:pPr>
      <w:r>
        <w:rPr>
          <w:b/>
          <w:sz w:val="23"/>
        </w:rPr>
        <w:t>9.2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5" name="Picture 5"/>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§11.4 commits in advance to treating a disagreement between them as a </w:t>
      </w:r>
      <w:r>
        <w:rPr>
          <w:b/>
          <w:i w:val="0"/>
        </w:rPr>
        <w:t>refusal</w:t>
      </w:r>
      <w:r>
        <w:rPr>
          <w:b w:val="0"/>
          <w:i w:val="0"/>
        </w:rPr>
        <w:t xml:space="preserve"> rather than as an average.</w:t>
      </w:r>
    </w:p>
    <w:p>
      <w:pPr>
        <w:spacing w:before="240" w:after="80"/>
      </w:pPr>
      <w:r>
        <w:rPr>
          <w:b/>
          <w:sz w:val="23"/>
        </w:rPr>
        <w:t>9.3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§10.3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9.4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to §11 are for.</w:t>
      </w:r>
    </w:p>
    <w:p>
      <w:r>
        <w:rPr>
          <w:b w:val="0"/>
          <w:i w:val="0"/>
        </w:rPr>
        <w:t>———</w:t>
      </w:r>
    </w:p>
    <w:p>
      <w:pPr>
        <w:spacing w:before="320" w:after="80"/>
      </w:pPr>
      <w:r>
        <w:rPr>
          <w:b/>
          <w:sz w:val="27"/>
        </w:rPr>
        <w:t>10.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§6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6" name="Picture 6"/>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10.1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10.2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§14.5 derives the condition from the adiabatic invariant.</w:t>
      </w:r>
    </w:p>
    <w:p>
      <w:pPr>
        <w:spacing w:before="160" w:after="200"/>
        <w:ind w:left="461" w:right="259"/>
      </w:pPr>
      <w:r>
        <w:rPr>
          <w:b w:val="0"/>
          <w:i w:val="0"/>
        </w:rPr>
        <w:t>This has the same shape as §4.1's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§6.1's acceptances are stated over both.</w:t>
      </w:r>
    </w:p>
    <w:p>
      <w:pPr>
        <w:spacing w:before="240" w:after="80"/>
      </w:pPr>
      <w:r>
        <w:rPr>
          <w:b/>
          <w:sz w:val="23"/>
        </w:rPr>
        <w:t>10.3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7" name="Picture 7"/>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10.4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§14.7 gives the argument.</w:t>
      </w:r>
    </w:p>
    <w:p>
      <w:r>
        <w:rPr>
          <w:b w:val="0"/>
          <w:i w:val="0"/>
        </w:rPr>
        <w:t>———</w:t>
      </w:r>
    </w:p>
    <w:p>
      <w:pPr>
        <w:spacing w:before="320" w:after="80"/>
      </w:pPr>
      <w:r>
        <w:rPr>
          <w:b/>
          <w:sz w:val="27"/>
        </w:rPr>
        <w:t>11.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11.1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11.2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11.3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11.4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§6 improves by a stated factor.</w:t>
      </w:r>
    </w:p>
    <w:p>
      <w:r>
        <w:rPr>
          <w:b w:val="0"/>
          <w:i w:val="0"/>
        </w:rPr>
        <w:t>———</w:t>
      </w:r>
    </w:p>
    <w:p>
      <w:pPr>
        <w:spacing w:before="320" w:after="80"/>
      </w:pPr>
      <w:r>
        <w:rPr>
          <w:b/>
          <w:sz w:val="27"/>
        </w:rPr>
        <w:t>12. Limits, and what this paper does not claim</w:t>
      </w:r>
    </w:p>
    <w:p>
      <w:r>
        <w:rPr>
          <w:b w:val="0"/>
          <w:i w:val="0"/>
        </w:rPr>
        <w:t>Each item below is a limit on what the foregoing establishes. None of them is resolved by argument in this paper, and where a measurement would settle one, that measurement is named. §14.8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§11's protocol settles it, and nothing here stands in for that.</w:t>
      </w:r>
    </w:p>
    <w:p>
      <w:r>
        <w:rPr>
          <w:b/>
          <w:i w:val="0"/>
        </w:rPr>
        <w:t>Every collection figure here is an acceptance rather than a delivered efficiency</w:t>
      </w:r>
      <w:r>
        <w:rPr>
          <w:b w:val="0"/>
          <w:i w:val="0"/>
        </w:rPr>
        <w:t xml:space="preserve"> until an end-to-end count of stopped binders per pion produced has been made. §6.2 computes the losses between the two and §7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§11.3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§11.3 is written to separate them.</w:t>
      </w:r>
    </w:p>
    <w:p>
      <w:r>
        <w:rPr>
          <w:b/>
          <w:i w:val="0"/>
        </w:rPr>
        <w:t>Every modelled service life here rests on a density no experiment has reached</w:t>
      </w:r>
      <w:r>
        <w:rPr>
          <w:b w:val="0"/>
          <w:i w:val="0"/>
        </w:rPr>
        <w:t xml:space="preserve">, and after §7's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§7's surviving route uses the model nowhere.</w:t>
      </w:r>
    </w:p>
    <w:p>
      <w:r>
        <w:rPr>
          <w:b/>
          <w:i w:val="0"/>
        </w:rPr>
        <w:t>The optimised production target is a discrepancy that cannot be closed by argument.</w:t>
      </w:r>
      <w:r>
        <w:rPr>
          <w:b w:val="0"/>
          <w:i w:val="0"/>
        </w:rPr>
        <w:t xml:space="preserve"> A published optimisation costs 4.69 GeV per pion against the 11.13 GeV integrated in §5.1.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A normalisation measurement on one target would settle it: pions per beam particle against pions per interaction, with nothing else changed.</w:t>
      </w:r>
    </w:p>
    <w:p>
      <w:r>
        <w:rPr>
          <w:b/>
          <w:i w:val="0"/>
        </w:rPr>
        <w:t>And the standalone configuration is closed rather than open.</w:t>
      </w:r>
      <w:r>
        <w:rPr>
          <w:b w:val="0"/>
          <w:i w:val="0"/>
        </w:rPr>
        <w:t xml:space="preserve"> Theorem 3 of §14 is a theorem, and no measurement in §11 can overturn it. What a measurement can decide is the co-product configuration and the bred-fuel route, which are the two that survive.</w:t>
      </w:r>
    </w:p>
    <w:p>
      <w:r>
        <w:rPr>
          <w:b w:val="0"/>
          <w:i w:val="0"/>
        </w:rPr>
        <w:t>———</w:t>
      </w:r>
    </w:p>
    <w:p>
      <w:pPr>
        <w:spacing w:before="320" w:after="80"/>
      </w:pPr>
      <w:r>
        <w:rPr>
          <w:b/>
          <w:sz w:val="27"/>
        </w:rPr>
        <w:t>13. What is proved</w:t>
      </w:r>
    </w:p>
    <w:p>
      <w:r>
        <w:rPr>
          <w:b w:val="0"/>
          <w:i w:val="0"/>
        </w:rPr>
        <w:t>Each of the following is a theorem or a derivation from measured inputs. None of them depends on a measurement this paper proposes, and none can be overturned by one.</w:t>
      </w:r>
    </w:p>
    <w:p>
      <w:pPr>
        <w:pStyle w:val="ListNumber"/>
      </w:pPr>
      <w:r>
        <w:rPr>
          <w:b/>
          <w:i w:val="0"/>
        </w:rPr>
        <w:t>A cold fusion reaction exists and has been witnessed.</w:t>
      </w:r>
      <w:r>
        <w:rPr>
          <w:b w:val="0"/>
          <w:i w:val="0"/>
        </w:rPr>
        <w:t xml:space="preserve"> The definition of §1 is structural, and the reaction it picks out has run in laboratories since the 1950s. Its cycle rates, its sticking fractions and its ash have all been measured.</w:t>
      </w:r>
    </w:p>
    <w:p>
      <w:pPr>
        <w:pStyle w:val="ListNumber"/>
      </w:pPr>
      <w:r>
        <w:rPr>
          <w:b/>
          <w:i w:val="0"/>
        </w:rPr>
        <w:t>The binder is unique.</w:t>
      </w:r>
      <w:r>
        <w:rPr>
          <w:b w:val="0"/>
          <w:i w:val="0"/>
        </w:rPr>
        <w:t xml:space="preserve"> The seven conditions place a floor and a ceiling on the binder's mass, and the window between them, 119 electron masses to 918 electron masses, has exactly one occupant in the charged spectrum (Theorem 1, §14.3). Of 13 charged particles scanned, 5 outlive the mesomolecular formation time, 2 lie inside the window, and one survives the hadron test.</w:t>
      </w:r>
    </w:p>
    <w:p>
      <w:pPr>
        <w:pStyle w:val="ListNumber"/>
      </w:pPr>
      <w:r>
        <w:rPr>
          <w:b/>
          <w:i w:val="0"/>
        </w:rPr>
        <w:t>The fuel is unique.</w:t>
      </w:r>
      <w:r>
        <w:rPr>
          <w:b w:val="0"/>
          <w:i w:val="0"/>
        </w:rPr>
        <w:t xml:space="preserve"> Over the closed set of pairs a muon can bind, </w:t>
      </w:r>
      <w:r>
        <w:rPr>
          <w:b w:val="0"/>
          <w:i/>
        </w:rPr>
        <w:t>d</w:t>
      </w:r>
      <w:r>
        <w:rPr>
          <w:b w:val="0"/>
          <w:i w:val="0"/>
        </w:rPr>
        <w:t>–</w:t>
      </w:r>
      <w:r>
        <w:rPr>
          <w:b w:val="0"/>
          <w:i/>
        </w:rPr>
        <w:t>t</w:t>
      </w:r>
      <w:r>
        <w:rPr>
          <w:b w:val="0"/>
          <w:i w:val="0"/>
        </w:rPr>
        <w:t xml:space="preserve"> maximises the energy returned per binder by 77.85 against the next candidate (Theorem 4, §14.8) — and the runner-up uses more tritium rather than less.</w:t>
      </w:r>
    </w:p>
    <w:p>
      <w:pPr>
        <w:pStyle w:val="ListNumber"/>
      </w:pPr>
      <w:r>
        <w:rPr>
          <w:b/>
          <w:i w:val="0"/>
        </w:rPr>
        <w:t>The window is not a near thing.</w:t>
      </w:r>
      <w:r>
        <w:rPr>
          <w:b w:val="0"/>
          <w:i w:val="0"/>
        </w:rPr>
        <w:t xml:space="preserve"> Its lower bound may move by 207 and its upper by 3.54 before the count of occupants changes.</w:t>
      </w:r>
    </w:p>
    <w:p>
      <w:pPr>
        <w:pStyle w:val="ListNumber"/>
      </w:pPr>
      <w:r>
        <w:rPr>
          <w:b/>
          <w:i w:val="0"/>
        </w:rPr>
        <w:t>An eighth condition decides whether the reaction is worth running</w:t>
      </w:r>
      <w:r>
        <w:rPr>
          <w:b w:val="0"/>
          <w:i w:val="0"/>
        </w:rPr>
        <w:t>, and it contains no free parameter (Proposition 1, §14.2). Every term in it has been measured.</w:t>
      </w:r>
    </w:p>
    <w:p>
      <w:pPr>
        <w:pStyle w:val="ListNumber"/>
      </w:pPr>
      <w:r>
        <w:rPr>
          <w:b/>
          <w:i w:val="0"/>
        </w:rPr>
        <w:t>Sticking does not depend on the binder's mass</w:t>
      </w:r>
      <w:r>
        <w:rPr>
          <w:b w:val="0"/>
          <w:i w:val="0"/>
        </w:rPr>
        <w:t xml:space="preserve"> (Theorem 2, §14.4), so condition 8 is a specification on the machine and not a search over the spectrum. There is in any case no other occupant of the window to search for.</w:t>
      </w:r>
    </w:p>
    <w:p>
      <w:pPr>
        <w:pStyle w:val="ListNumber"/>
      </w:pPr>
      <w:r>
        <w:rPr>
          <w:b/>
          <w:i w:val="0"/>
        </w:rPr>
        <w:t>The production floor is measured rather than modelled.</w:t>
      </w:r>
      <w:r>
        <w:rPr>
          <w:b w:val="0"/>
          <w:i w:val="0"/>
        </w:rPr>
        <w:t xml:space="preserve"> Integrating the published double-differential cross sections puts production alone at 11.13 GeV per pion, which is a cost no collector can argue away.</w:t>
      </w:r>
    </w:p>
    <w:p>
      <w:pPr>
        <w:pStyle w:val="ListNumber"/>
      </w:pPr>
      <w:r>
        <w:rPr>
          <w:b/>
          <w:i w:val="0"/>
        </w:rPr>
        <w:t>The acceptance model is validated against an independent simulation</w:t>
      </w:r>
      <w:r>
        <w:rPr>
          <w:b w:val="0"/>
          <w:i w:val="0"/>
        </w:rPr>
        <w:t xml:space="preserve"> of a machine that was built, agreeing to 0.982.</w:t>
      </w:r>
    </w:p>
    <w:p>
      <w:pPr>
        <w:pStyle w:val="ListNumber"/>
      </w:pPr>
      <w:r>
        <w:rPr>
          <w:b/>
          <w:i w:val="0"/>
        </w:rPr>
        <w:t>The standalone configuration is closed</w:t>
      </w:r>
      <w:r>
        <w:rPr>
          <w:b w:val="0"/>
          <w:i w:val="0"/>
        </w:rPr>
        <w:t xml:space="preserve"> (Theorem 3, §14): at the production floor, no admissible binder pays for itself as heat at any collector. The break-point sits at 0.1580 percent and lies </w:t>
      </w:r>
      <w:r>
        <w:rPr>
          <w:b/>
          <w:i w:val="0"/>
        </w:rPr>
        <w:t>below both</w:t>
      </w:r>
      <w:r>
        <w:rPr>
          <w:b w:val="0"/>
          <w:i w:val="0"/>
        </w:rPr>
        <w:t xml:space="preserve"> published sticking readings, so no choice between them repairs it.</w:t>
      </w:r>
    </w:p>
    <w:p>
      <w:pPr>
        <w:pStyle w:val="ListNumber"/>
      </w:pPr>
      <w:r>
        <w:rPr>
          <w:b/>
          <w:i w:val="0"/>
        </w:rPr>
        <w:t>Nothing clears unity with the machine as built.</w:t>
      </w:r>
      <w:r>
        <w:rPr>
          <w:b w:val="0"/>
          <w:i w:val="0"/>
        </w:rPr>
        <w:t xml:space="preserve"> The closest is bred fuel at the measured 150 cycles, at 0.623; with both collector alterations of §7.1 it reaches 0.957, short of unity by 1.045 and short by no term other than the loss budget, which is the one quantity in the column that has never been measured.</w:t>
      </w:r>
    </w:p>
    <w:p>
      <w:pPr>
        <w:spacing w:before="160" w:after="200"/>
        <w:ind w:left="461" w:right="259"/>
      </w:pPr>
      <w:r>
        <w:rPr>
          <w:b/>
          <w:i w:val="0"/>
        </w:rPr>
        <w:t>The reaction is proved and it is witnessed. Its binder is unique, its fuel is unique, and its energy account is closed in the sense that every term in it is named and priced. What is not proved is that any device-internal configuration of it returns more than it costs, and §7 states how far short the best one falls.</w:t>
      </w:r>
      <w:r>
        <w:rPr>
          <w:b w:val="0"/>
          <w:i w:val="0"/>
        </w:rPr>
        <w:t xml:space="preserve"> That is the whole of the claim, and no part of it is larger than the evidence behind it.</w:t>
      </w:r>
    </w:p>
    <w:p>
      <w:r>
        <w:rPr>
          <w:b/>
          <w:i w:val="0"/>
        </w:rPr>
        <w:t>What this paper does not do.</w:t>
      </w:r>
      <w:r>
        <w:rPr>
          <w:b w:val="0"/>
          <w:i w:val="0"/>
        </w:rPr>
        <w:t xml:space="preserve"> It does not price the configuration in which the binder is a byproduct of a beam already running for another purpose, and it does not price a blanket. Both change the accounting rather than the reaction, both are the subject of a separate paper, and neither is needed for anything claimed above.</w:t>
      </w:r>
    </w:p>
    <w:p>
      <w:pPr>
        <w:spacing w:before="320" w:after="80"/>
      </w:pPr>
      <w:r>
        <w:rPr>
          <w:b/>
          <w:sz w:val="27"/>
        </w:rPr>
        <w:t>14.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14.1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14.2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§7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§4 gives the measured values.</w:t>
      </w:r>
    </w:p>
    <w:p>
      <w:pPr>
        <w:spacing w:before="240" w:after="80"/>
      </w:pPr>
      <w:r>
        <w:rPr>
          <w:b/>
          <w:sz w:val="23"/>
        </w:rPr>
        <w:t>14.3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§14.3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§9.3 states as a specification.</w:t>
      </w:r>
    </w:p>
    <w:p>
      <w:pPr>
        <w:spacing w:before="240" w:after="80"/>
      </w:pPr>
      <w:r>
        <w:rPr>
          <w:b/>
          <w:sz w:val="23"/>
        </w:rPr>
        <w:t>14.4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8" name="Picture 8"/>
            <wp:cNvGraphicFramePr>
              <a:graphicFrameLocks noChangeAspect="1"/>
            </wp:cNvGraphicFramePr>
            <a:graphic>
              <a:graphicData uri="http://schemas.openxmlformats.org/drawingml/2006/picture">
                <pic:pic>
                  <pic:nvPicPr>
                    <pic:cNvPr id="0" name="eq-e4e6f7c1977a.png"/>
                    <pic:cNvPicPr/>
                  </pic:nvPicPr>
                  <pic:blipFill>
                    <a:blip r:embed="rId15"/>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§14.6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§11 can overturn it. ∎</w:t>
      </w:r>
    </w:p>
    <w:p>
      <w:r>
        <w:rPr>
          <w:b/>
          <w:i w:val="0"/>
        </w:rPr>
        <w:t>Remark.</w:t>
      </w:r>
      <w:r>
        <w:rPr>
          <w:b w:val="0"/>
          <w:i w:val="0"/>
        </w:rPr>
        <w:t xml:space="preserve"> Theorem 3 is what makes the co-product configuration the interesting one: it does not contradict the theorem, because it does not pay for the binder at all.</w:t>
      </w:r>
    </w:p>
    <w:p>
      <w:pPr>
        <w:spacing w:before="240" w:after="80"/>
      </w:pPr>
      <w:r>
        <w:rPr>
          <w:b/>
          <w:sz w:val="23"/>
        </w:rPr>
        <w:t>14.5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§10.1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§7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§7.1 computes, and the same corollary explains why that factor moves the bred-fuel requirement from 50.8 percent to 21.4 percent.</w:t>
      </w:r>
    </w:p>
    <w:p>
      <w:pPr>
        <w:spacing w:before="240" w:after="80"/>
      </w:pPr>
      <w:r>
        <w:rPr>
          <w:b/>
          <w:sz w:val="23"/>
        </w:rPr>
        <w:t>14.6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9" name="Picture 9"/>
            <wp:cNvGraphicFramePr>
              <a:graphicFrameLocks noChangeAspect="1"/>
            </wp:cNvGraphicFramePr>
            <a:graphic>
              <a:graphicData uri="http://schemas.openxmlformats.org/drawingml/2006/picture">
                <pic:pic>
                  <pic:nvPicPr>
                    <pic:cNvPr id="0" name="eq-d8719366983b.png"/>
                    <pic:cNvPicPr/>
                  </pic:nvPicPr>
                  <pic:blipFill>
                    <a:blip r:embed="rId16"/>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14.7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§10.4, and it is why the two alterations of §7.1 are not equally cheap.</w:t>
      </w:r>
    </w:p>
    <w:p>
      <w:pPr>
        <w:spacing w:before="240" w:after="80"/>
      </w:pPr>
      <w:r>
        <w:rPr>
          <w:b/>
          <w:sz w:val="23"/>
        </w:rPr>
        <w:t>14.8 The catalytic figure of merit, and the two uniqueness theorems</w:t>
      </w:r>
    </w:p>
    <w:p>
      <w:r>
        <w:rPr>
          <w:b/>
          <w:i w:val="0"/>
        </w:rPr>
        <w:t>Proposition 10 (cycles per binder).</w:t>
      </w:r>
      <w:r>
        <w:rPr>
          <w:b w:val="0"/>
          <w:i w:val="0"/>
        </w:rPr>
        <w:t xml:space="preserve"> A binder in a cycle of rate λ_c, lost per cycle with probability ωₛ and independently with rate λ₀, completes</w:t>
      </w:r>
    </w:p>
    <w:p>
      <w:pPr>
        <w:spacing w:before="120" w:after="160"/>
        <w:jc w:val="center"/>
      </w:pPr>
      <w:r>
        <w:drawing>
          <wp:inline xmlns:a="http://schemas.openxmlformats.org/drawingml/2006/main" xmlns:pic="http://schemas.openxmlformats.org/drawingml/2006/picture">
            <wp:extent cx="1410286" cy="443132"/>
            <wp:docPr id="10" name="Picture 10"/>
            <wp:cNvGraphicFramePr>
              <a:graphicFrameLocks noChangeAspect="1"/>
            </wp:cNvGraphicFramePr>
            <a:graphic>
              <a:graphicData uri="http://schemas.openxmlformats.org/drawingml/2006/picture">
                <pic:pic>
                  <pic:nvPicPr>
                    <pic:cNvPr id="0" name="eq-1283d2c027ae.png"/>
                    <pic:cNvPicPr/>
                  </pic:nvPicPr>
                  <pic:blipFill>
                    <a:blip r:embed="rId17"/>
                    <a:stretch>
                      <a:fillRect/>
                    </a:stretch>
                  </pic:blipFill>
                  <pic:spPr>
                    <a:xfrm>
                      <a:off x="0" y="0"/>
                      <a:ext cx="1410286" cy="443132"/>
                    </a:xfrm>
                    <a:prstGeom prst="rect"/>
                  </pic:spPr>
                </pic:pic>
              </a:graphicData>
            </a:graphic>
          </wp:inline>
        </w:drawing>
      </w:r>
    </w:p>
    <w:p>
      <w:r>
        <w:rPr>
          <w:b w:val="0"/>
          <w:i w:val="0"/>
        </w:rPr>
        <w:t>cycles in expectation.</w:t>
      </w:r>
    </w:p>
    <w:p>
      <w:r>
        <w:rPr>
          <w:b w:val="0"/>
          <w:i/>
        </w:rPr>
        <w:t>Proof.</w:t>
      </w:r>
      <w:r>
        <w:rPr>
          <w:b w:val="0"/>
          <w:i w:val="0"/>
        </w:rPr>
        <w:t xml:space="preserve"> Per cycle the binder survives sticking with probability 1-ωₛ and survives decay with probability λ_c/(λ_c+λ₀) to first order in the cycle time. The two losses are independent, so the per-cycle survival is their product and the number of cycles is geometric with that parameter. To first order in the two small quantities its mean is 1/(ωₛ + λ₀/λ_c). Both terms are losses per cycle expressed in the same units, and the expression is symmetric in them: a cycle slow against the decay rate is punished exactly as a sticky one is. ∎</w:t>
      </w:r>
    </w:p>
    <w:p>
      <w:r>
        <w:rPr>
          <w:b/>
          <w:i w:val="0"/>
        </w:rPr>
        <w:t>Remark.</w:t>
      </w:r>
      <w:r>
        <w:rPr>
          <w:b w:val="0"/>
          <w:i w:val="0"/>
        </w:rPr>
        <w:t xml:space="preserve"> The two limits are the ones quoted in the literature separately. As λ_c → ∞ the expression returns the sticking ceiling 1/ωₛ; as ωₛ → 0 it returns the decay ceiling λ_c/λ₀. Neither ceiling alone is the operative bound for any real fuel, which is why fuels ranked on sticking alone rank wrongly.</w:t>
      </w:r>
    </w:p>
    <w:p>
      <w:r>
        <w:rPr>
          <w:b/>
          <w:i w:val="0"/>
        </w:rPr>
        <w:t>Theorem 4 (uniqueness of the fuel).</w:t>
      </w:r>
      <w:r>
        <w:rPr>
          <w:b w:val="0"/>
          <w:i w:val="0"/>
        </w:rPr>
        <w:t xml:space="preserve"> Over the closed set of pairs drawn from \p, d, t\ together with the helium pairs, d–t maximises N · Q.</w:t>
      </w:r>
    </w:p>
    <w:p>
      <w:r>
        <w:rPr>
          <w:b w:val="0"/>
          <w:i/>
        </w:rPr>
        <w:t>Proof.</w:t>
      </w:r>
      <w:r>
        <w:rPr>
          <w:b w:val="0"/>
          <w:i w:val="0"/>
        </w:rPr>
        <w:t xml:space="preserve"> The set is finite and closed: two nuclei drawn with repetition from the three hydrogen isotopes give 6 pairs, and the helium pairs are enumerated beside them. For each, λ_c and ωₛ are measured quantities and Q is fixed by the masses. Evaluating Proposition 8 on each and multiplying by Q gives the table of §3, whose maximum is d–t at 1989.1 MeV against 25.55 MeV for the next entry — a factor of 77.85. The ordering is a finite comparison over measured inputs and contains no free parameter. ∎</w:t>
      </w:r>
    </w:p>
    <w:p>
      <w:r>
        <w:rPr>
          <w:b/>
          <w:i w:val="0"/>
        </w:rPr>
        <w:t>Corollary.</w:t>
      </w:r>
      <w:r>
        <w:rPr>
          <w:b w:val="0"/>
          <w:i w:val="0"/>
        </w:rPr>
        <w:t xml:space="preserve"> No pair without tritium comes within 230.76 of d–t on energy per binder, so the reaction's tritium requirement is not an artefact of the choice of fuel. It follows from the fuel being unique.</w:t>
      </w:r>
    </w:p>
    <w:p>
      <w:r>
        <w:rPr>
          <w:b/>
          <w:i w:val="0"/>
        </w:rPr>
        <w:t>Proposition 11 (the self-tritiating equilibrium).</w:t>
      </w:r>
      <w:r>
        <w:rPr>
          <w:b w:val="0"/>
          <w:i w:val="0"/>
        </w:rPr>
        <w:t xml:space="preserve"> A cell charged with pure deuterium reaches a steady state in which a fraction f_dt = 1/3 of fusions run on d–t.</w:t>
      </w:r>
    </w:p>
    <w:p>
      <w:r>
        <w:rPr>
          <w:b w:val="0"/>
          <w:i/>
        </w:rPr>
        <w:t>Proof.</w:t>
      </w:r>
      <w:r>
        <w:rPr>
          <w:b w:val="0"/>
          <w:i w:val="0"/>
        </w:rPr>
        <w:t xml:space="preserve"> The branch d + d → t + p carries a branching ratio of one half, so tritium is produced at tfrac12 f_dd per fusion. Every d–t fusion consumes one triton, so tritium is destroyed at f_dt per fusion. In steady state the two are equal, and with f_dd + f_dt = 1 this gives tfrac12(1 - f_dt) = f_dt, hence f_dt = 1/3. The concentration producing that split follows from f_dt/f_dd = λ_dt cₜ / (λ_dd(1 - cₜ)), which returns 0.6211 percent; the mixed cycle rate and sticking are the branch-weighted means, and Proposition 10 then gives 3.51 cycles. ∎</w:t>
      </w:r>
    </w:p>
    <w:p>
      <w:r>
        <w:rPr>
          <w:b/>
          <w:i w:val="0"/>
        </w:rPr>
        <w:t>What the proposition does not establish.</w:t>
      </w:r>
      <w:r>
        <w:rPr>
          <w:b w:val="0"/>
          <w:i w:val="0"/>
        </w:rPr>
        <w:t xml:space="preserve"> It is a two-branch balance and it omits ³He, which the other d–d branch produces and to which muon transfer is fast. Including that channel would reduce 3.51 cycles by an amount this paper does not compute, so §8 states the equilibrium as a quantity to measure. The </w:t>
      </w:r>
      <w:r>
        <w:rPr>
          <w:b w:val="0"/>
          <w:i/>
        </w:rPr>
        <w:t>sign</w:t>
      </w:r>
      <w:r>
        <w:rPr>
          <w:b w:val="0"/>
          <w:i w:val="0"/>
        </w:rPr>
        <w:t xml:space="preserve"> of the result — that a deuterium cell holds a percent of the tritium a d–t cell holds rather than half — does not depend on the omitted term, because ³He poisoning removes binders and does not add tritium.</w:t>
      </w:r>
    </w:p>
    <w:p>
      <w:pPr>
        <w:spacing w:before="240" w:after="80"/>
      </w:pPr>
      <w:r>
        <w:rPr>
          <w:b/>
          <w:sz w:val="23"/>
        </w:rPr>
        <w:t>14.9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§6.2's loss budget is a product of five terms, each derived, but the product has never been measured end to end. An end-to-end count of stopped binders per pion produced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§7.1 is a published optimisation. Three candidate mechanisms for the discrepancy against this paper's 11.13 GeV were examined and bounded, and what survives is a normalisation requiring 2.389 interacting nucleons. A normalisation measurement on one target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§11's protocol chooses, and §11.4 commits in advance to reporting a bound rather than an average if the two routes disagree.</w:t>
      </w:r>
    </w:p>
    <w:p>
      <w:pPr>
        <w:spacing w:before="320" w:after="80"/>
      </w:pPr>
      <w:r>
        <w:rPr>
          <w:b/>
          <w:sz w:val="27"/>
        </w:rPr>
        <w:t>15.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§5.1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§6.1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§10.3.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§12 declines to adopt, and which a normalisation measurement would settle.</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§4's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§9.3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