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8" name="Picture 8"/>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9" name="Picture 9"/>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numerator on the right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per proton [ASSUMED]</w:t>
            </w:r>
          </w:p>
        </w:tc>
        <w:tc>
          <w:tcPr>
            <w:tcW w:type="dxa" w:w="4464"/>
          </w:tcPr>
          <w:p>
            <w:r/>
            <w:r>
              <w:rPr>
                <w:b w:val="0"/>
                <w:i w:val="0"/>
              </w:rPr>
              <w:t>52.4 percent</w:t>
            </w:r>
          </w:p>
        </w:tc>
      </w:tr>
      <w:tr>
        <w:tc>
          <w:tcPr>
            <w:tcW w:type="dxa" w:w="4464"/>
          </w:tcPr>
          <w:p>
            <w:r/>
            <w:r>
              <w:rPr>
                <w:b w:val="0"/>
                <w:i w:val="0"/>
              </w:rPr>
              <w:t>150 per proton [ASSUMED]</w:t>
            </w:r>
          </w:p>
        </w:tc>
        <w:tc>
          <w:tcPr>
            <w:tcW w:type="dxa" w:w="4464"/>
          </w:tcPr>
          <w:p>
            <w:r/>
            <w:r>
              <w:rPr>
                <w:b w:val="0"/>
                <w:i w:val="0"/>
              </w:rPr>
              <w:t>34.9 percent</w:t>
            </w:r>
          </w:p>
        </w:tc>
      </w:tr>
      <w:tr>
        <w:tc>
          <w:tcPr>
            <w:tcW w:type="dxa" w:w="4464"/>
          </w:tcPr>
          <w:p>
            <w:r/>
            <w:r>
              <w:rPr>
                <w:b w:val="0"/>
                <w:i w:val="0"/>
              </w:rPr>
              <w:t>250 per proton [ASSUMED]</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that energy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r>
        <w:rPr>
          <w:b/>
          <w:i w:val="0"/>
        </w:rPr>
        <w:t>The two figures that table is read against are supplied below</w:t>
      </w:r>
      <w:r>
        <w:rPr>
          <w:b w:val="0"/>
          <w:i w:val="0"/>
        </w:rPr>
        <w:t>, and the second of them changes the question rather than answering it.</w:t>
      </w:r>
    </w:p>
    <w:p>
      <w:pPr>
        <w:spacing w:before="200" w:after="80"/>
      </w:pPr>
      <w:r>
        <w:rPr>
          <w:b/>
          <w:sz w:val="21"/>
        </w:rPr>
        <w:t>What a spallation-optimised target returns</w:t>
      </w:r>
    </w:p>
    <w:p>
      <w:r>
        <w:rPr>
          <w:b w:val="0"/>
          <w:i w:val="0"/>
        </w:rPr>
        <w:t xml:space="preserve">A target thick enough to contain the cascade degrades essentially all of the beam into it, and the neutron yield </w:t>
      </w:r>
      <w:r>
        <w:rPr>
          <w:b/>
          <w:i w:val="0"/>
        </w:rPr>
        <w:t>per unit of energy deposited</w:t>
      </w:r>
      <w:r>
        <w:rPr>
          <w:b w:val="0"/>
          <w:i w:val="0"/>
        </w:rPr>
        <w:t xml:space="preserve"> is a flat property of the material rather than of the machine: 25 per GeV to 30 per GeV for lead or mercury. At 8 that is </w:t>
      </w:r>
      <w:r>
        <w:rPr>
          <w:b/>
          <w:i w:val="0"/>
        </w:rPr>
        <w:t>200 per proton to 240 per proton</w:t>
      </w:r>
      <w:r>
        <w:rPr>
          <w:b w:val="0"/>
          <w:i w:val="0"/>
        </w:rPr>
        <w:t xml:space="preserve"> — the top of §9.4's scan, where the requirement on transparency is tightest.</w:t>
      </w:r>
    </w:p>
    <w:p>
      <w:pPr>
        <w:spacing w:before="200" w:after="80"/>
      </w:pPr>
      <w:r>
        <w:rPr>
          <w:b/>
          <w:sz w:val="21"/>
        </w:rPr>
        <w:t>What transparency costs, and why the question changes</w:t>
      </w:r>
    </w:p>
    <w:p>
      <w:r>
        <w:rPr>
          <w:b w:val="0"/>
          <w:i w:val="0"/>
        </w:rPr>
        <w:t xml:space="preserve">The production target this work specifies is the published mercury jet: 15 cm is its material's inelastic interaction length, and the jet is </w:t>
      </w:r>
      <w:r>
        <w:rPr>
          <w:b/>
          <w:i w:val="0"/>
        </w:rPr>
        <w:t>2.00</w:t>
      </w:r>
      <w:r>
        <w:rPr>
          <w:b w:val="0"/>
          <w:i w:val="0"/>
        </w:rPr>
        <w:t xml:space="preserve"> of them long and </w:t>
      </w:r>
      <w:r>
        <w:rPr>
          <w:b/>
          <w:i w:val="0"/>
        </w:rPr>
        <w:t>0.027</w:t>
      </w:r>
      <w:r>
        <w:rPr>
          <w:b w:val="0"/>
          <w:i w:val="0"/>
        </w:rPr>
        <w:t xml:space="preserve"> across. Those two numbers differ by two orders of magnitude, and everything follows from that.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along the beam</w:t>
            </w:r>
          </w:p>
        </w:tc>
        <w:tc>
          <w:tcPr>
            <w:tcW w:type="dxa" w:w="2976"/>
          </w:tcPr>
          <w:p>
            <w:r/>
            <w:r>
              <w:rPr>
                <w:b/>
                <w:i w:val="0"/>
              </w:rPr>
              <w:t>2.00 interaction lengths</w:t>
            </w:r>
          </w:p>
        </w:tc>
        <w:tc>
          <w:tcPr>
            <w:tcW w:type="dxa" w:w="2976"/>
          </w:tcPr>
          <w:p>
            <w:r/>
            <w:r>
              <w:rPr>
                <w:b/>
                <w:i w:val="0"/>
              </w:rPr>
              <w:t>86.5 percent of primaries interact</w:t>
            </w:r>
          </w:p>
        </w:tc>
      </w:tr>
      <w:tr>
        <w:tc>
          <w:tcPr>
            <w:tcW w:type="dxa" w:w="2976"/>
          </w:tcPr>
          <w:p>
            <w:r/>
            <w:r>
              <w:rPr>
                <w:b/>
                <w:i w:val="0"/>
              </w:rPr>
              <w:t>across it</w:t>
            </w:r>
          </w:p>
        </w:tc>
        <w:tc>
          <w:tcPr>
            <w:tcW w:type="dxa" w:w="2976"/>
          </w:tcPr>
          <w:p>
            <w:r/>
            <w:r>
              <w:rPr>
                <w:b/>
                <w:i w:val="0"/>
              </w:rPr>
              <w:t>0.027 interaction lengths</w:t>
            </w:r>
          </w:p>
        </w:tc>
        <w:tc>
          <w:tcPr>
            <w:tcW w:type="dxa" w:w="2976"/>
          </w:tcPr>
          <w:p>
            <w:r/>
            <w:r>
              <w:rPr>
                <w:b/>
                <w:i w:val="0"/>
              </w:rPr>
              <w:t>2.6 percent of the cascade is kept</w:t>
            </w:r>
          </w:p>
        </w:tc>
      </w:tr>
    </w:tbl>
    <w:p/>
    <w:p>
      <w:pPr>
        <w:spacing w:before="160" w:after="200"/>
        <w:ind w:left="461" w:right="259"/>
      </w:pPr>
      <w:r>
        <w:rPr>
          <w:b/>
          <w:i w:val="0"/>
        </w:rPr>
        <w:t>So it is not a narrow spallation target. It is a production foil.</w:t>
      </w:r>
      <w:r>
        <w:rPr>
          <w:b w:val="0"/>
          <w:i w:val="0"/>
        </w:rPr>
        <w:t xml:space="preserve"> It stops the primary and retains almost none of the cascade that primary starts. In a bare neutron source that would be the whole of the loss — the neutrons must be made in the target because there is nowhere else. </w:t>
      </w:r>
      <w:r>
        <w:rPr>
          <w:b/>
          <w:i w:val="0"/>
        </w:rPr>
        <w:t>In a blanket-coupled system there is somewhere else</w:t>
      </w:r>
      <w:r>
        <w:rPr>
          <w:b w:val="0"/>
          <w:i w:val="0"/>
        </w:rPr>
        <w:t>: the cascade crosses into the blanket and develops there.</w:t>
      </w:r>
    </w:p>
    <w:p>
      <w:r>
        <w:rPr>
          <w:b w:val="0"/>
          <w:i w:val="0"/>
        </w:rPr>
        <w:t xml:space="preserve">Writing </w:t>
      </w:r>
      <w:r>
        <w:rPr>
          <w:rFonts w:ascii="Consolas" w:hAnsi="Consolas"/>
          <w:b w:val="0"/>
          <w:i w:val="0"/>
          <w:sz w:val="19"/>
        </w:rPr>
        <w:t>y</w:t>
      </w:r>
      <w:r>
        <w:rPr>
          <w:b w:val="0"/>
          <w:i w:val="0"/>
        </w:rPr>
        <w:t xml:space="preserve"> for neutrons per GeV deposited and </w:t>
      </w:r>
      <w:r>
        <w:rPr>
          <w:rFonts w:ascii="Consolas" w:hAnsi="Consolas"/>
          <w:b w:val="0"/>
          <w:i w:val="0"/>
          <w:sz w:val="19"/>
        </w:rPr>
        <w:t>φ</w:t>
      </w:r>
      <w:r>
        <w:rPr>
          <w:b w:val="0"/>
          <w:i w:val="0"/>
        </w:rPr>
        <w:t xml:space="preserve"> for what the target retains, the yield of the whole assembly is</w:t>
      </w:r>
    </w:p>
    <w:p>
      <w:pPr>
        <w:spacing w:before="120" w:after="160"/>
        <w:jc w:val="center"/>
      </w:pPr>
      <w:r>
        <w:drawing>
          <wp:inline xmlns:a="http://schemas.openxmlformats.org/drawingml/2006/main" xmlns:pic="http://schemas.openxmlformats.org/drawingml/2006/picture">
            <wp:extent cx="3242603" cy="390378"/>
            <wp:docPr id="10" name="Picture 10"/>
            <wp:cNvGraphicFramePr>
              <a:graphicFrameLocks noChangeAspect="1"/>
            </wp:cNvGraphicFramePr>
            <a:graphic>
              <a:graphicData uri="http://schemas.openxmlformats.org/drawingml/2006/picture">
                <pic:pic>
                  <pic:nvPicPr>
                    <pic:cNvPr id="0" name="eq-a5cb7744659d.png"/>
                    <pic:cNvPicPr/>
                  </pic:nvPicPr>
                  <pic:blipFill>
                    <a:blip r:embed="rId17"/>
                    <a:stretch>
                      <a:fillRect/>
                    </a:stretch>
                  </pic:blipFill>
                  <pic:spPr>
                    <a:xfrm>
                      <a:off x="0" y="0"/>
                      <a:ext cx="3242603" cy="390378"/>
                    </a:xfrm>
                    <a:prstGeom prst="rect"/>
                  </pic:spPr>
                </pic:pic>
              </a:graphicData>
            </a:graphic>
          </wp:inline>
        </w:drawing>
      </w:r>
    </w:p>
    <w:p>
      <w:r>
        <w:rPr>
          <w:b w:val="0"/>
          <w:i w:val="0"/>
        </w:rPr>
        <w:t xml:space="preserve">so the penalty against a fully-containing target of the same material is </w:t>
      </w:r>
      <w:r>
        <w:rPr>
          <w:rFonts w:ascii="Consolas" w:hAnsi="Consolas"/>
          <w:b w:val="0"/>
          <w:i w:val="0"/>
          <w:sz w:val="19"/>
        </w:rPr>
        <w:t>(1 − φ)(1 − y_blanket/y_target)</w:t>
      </w:r>
      <w:r>
        <w:rPr>
          <w:b w:val="0"/>
          <w:i w:val="0"/>
        </w:rPr>
        <w:t xml:space="preserve">. </w:t>
      </w:r>
      <w:r>
        <w:rPr>
          <w:b/>
          <w:i w:val="0"/>
        </w:rPr>
        <w:t>It is negative — a gain — for any blanket that out-yields the target per unit of energy deposited</w:t>
      </w:r>
      <w:r>
        <w:rPr>
          <w:b w:val="0"/>
          <w:i w:val="0"/>
        </w:rPr>
        <w:t>, and a fissile one does: depleted uranium out-yields lead by about 1.5, because the cascade fast-fissions in it. The penalty is therefore</w:t>
      </w:r>
    </w:p>
    <w:p>
      <w:pPr>
        <w:spacing w:before="160" w:after="200"/>
        <w:ind w:left="461" w:right="259"/>
      </w:pPr>
      <w:r>
        <w:rPr>
          <w:b/>
          <w:i w:val="0"/>
        </w:rPr>
        <w:t>-48.7 percent — a gain, not a cost.</w:t>
      </w:r>
    </w:p>
    <w:p>
      <w:r>
        <w:rPr>
          <w:b/>
          <w:i w:val="0"/>
        </w:rPr>
        <w:t>And the conclusion does not rest on that figure being right.</w:t>
      </w:r>
      <w:r>
        <w:rPr>
          <w:b w:val="0"/>
          <w:i w:val="0"/>
        </w:rPr>
        <w:t xml:space="preserve"> The penalty is </w:t>
      </w:r>
      <w:r>
        <w:rPr>
          <w:b w:val="0"/>
          <w:i/>
        </w:rPr>
        <w:t>exactly zero</w:t>
      </w:r>
      <w:r>
        <w:rPr>
          <w:b w:val="0"/>
          <w:i w:val="0"/>
        </w:rPr>
        <w:t xml:space="preserve"> at parity and turns positive only for a blanket that is </w:t>
      </w:r>
      <w:r>
        <w:rPr>
          <w:b/>
          <w:i w:val="0"/>
        </w:rPr>
        <w:t>worse</w:t>
      </w:r>
      <w:r>
        <w:rPr>
          <w:b w:val="0"/>
          <w:i w:val="0"/>
        </w:rPr>
        <w:t xml:space="preserve"> per GeV than the target it replaces — a low-Z or non-fissile one, which is not the blanket §9.2 specifies. The requirement §9.4 states is therefore not merely met; it is met with the sign on the favourable side, and it would survive the uranium-over-lead figure being wrong by any amount short of reversing it.</w:t>
      </w:r>
    </w:p>
    <w:p>
      <w:pPr>
        <w:spacing w:before="160" w:after="200"/>
        <w:ind w:left="461" w:right="259"/>
      </w:pPr>
      <w:r>
        <w:rPr>
          <w:b/>
          <w:i w:val="0"/>
        </w:rPr>
        <w:t>The comparison is made, and closed.</w:t>
      </w:r>
      <w:r>
        <w:rPr>
          <w:b w:val="0"/>
          <w:i w:val="0"/>
        </w:rPr>
        <w:t xml:space="preserve"> The muon channel is additive rather than alternative; the target it needs is a production foil rather than a spallation target; and the cascade it does not keep is not thrown away but handed to the material that converts it best. §10 Stage D still measures the pair on one apparatus, because a first-order geometric model is not a transport calculation — but it measures a margin, not a question.</w:t>
      </w:r>
    </w:p>
    <w:p>
      <w:pPr>
        <w:spacing w:before="240" w:after="80"/>
      </w:pPr>
      <w:r>
        <w:rPr>
          <w:b/>
          <w:sz w:val="23"/>
        </w:rPr>
        <w:t>9.5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9.6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1" name="Picture 11"/>
            <wp:cNvGraphicFramePr>
              <a:graphicFrameLocks noChangeAspect="1"/>
            </wp:cNvGraphicFramePr>
            <a:graphic>
              <a:graphicData uri="http://schemas.openxmlformats.org/drawingml/2006/picture">
                <pic:pic>
                  <pic:nvPicPr>
                    <pic:cNvPr id="0" name="fig6-coproduct.png"/>
                    <pic:cNvPicPr/>
                  </pic:nvPicPr>
                  <pic:blipFill>
                    <a:blip r:embed="rId18"/>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9.7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9.8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§9.8.</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spallation comparison is closed, and what it rests on is two sourced material properties and a first-order geometric model.</w:t>
      </w:r>
      <w:r>
        <w:rPr>
          <w:b w:val="0"/>
          <w:i w:val="0"/>
        </w:rPr>
        <w:t xml:space="preserve"> §9.4 supplies both target figures rather than leaving them open: the yield per GeV deposited is 25 per GeV to 30 per GeV for a heavy metal, and the retention of a cylinder is taken as </w:t>
      </w:r>
      <w:r>
        <w:rPr>
          <w:rFonts w:ascii="Consolas" w:hAnsi="Consolas"/>
          <w:b w:val="0"/>
          <w:i w:val="0"/>
          <w:sz w:val="19"/>
        </w:rPr>
        <w:t>1 − exp(−r/λ)</w:t>
      </w:r>
      <w:r>
        <w:rPr>
          <w:b w:val="0"/>
          <w:i w:val="0"/>
        </w:rPr>
        <w:t xml:space="preserve">. That model is geometry, not transport — it does not follow a cascade through the assembly — so §10 Stage D measures what it estimates. </w:t>
      </w:r>
      <w:r>
        <w:rPr>
          <w:b/>
          <w:i w:val="0"/>
        </w:rPr>
        <w:t>What makes the residual small is that the conclusion holds at parity</w:t>
      </w:r>
      <w:r>
        <w:rPr>
          <w:b w:val="0"/>
          <w:i w:val="0"/>
        </w:rPr>
        <w:t xml:space="preserve">: the transparency penalty turns positive only for a blanket </w:t>
      </w:r>
      <w:r>
        <w:rPr>
          <w:b w:val="0"/>
          <w:i/>
        </w:rPr>
        <w:t>worse</w:t>
      </w:r>
      <w:r>
        <w:rPr>
          <w:b w:val="0"/>
          <w:i w:val="0"/>
        </w:rPr>
        <w:t xml:space="preserve"> per GeV than the target it replaces, so the result would survive both inputs being wrong by any amount short of reversing that inequality.</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power source.</w:t>
      </w:r>
      <w:r>
        <w:rPr>
          <w:b w:val="0"/>
          <w:i w:val="0"/>
        </w:rPr>
        <w:t xml:space="preserve"> Setting the balance to unity and solving, the value recovered per fusion must reach 152.7 MeV with both collector alterations, or 64.3 MeV with the optimised production target as well. A non-fissioning blanket cannot supply that. A </w:t>
      </w:r>
      <w:r>
        <w:rPr>
          <w:b/>
          <w:i w:val="0"/>
        </w:rPr>
        <w:t>subcritical</w:t>
      </w:r>
      <w:r>
        <w:rPr>
          <w:b w:val="0"/>
          <w:i w:val="0"/>
        </w:rPr>
        <w:t xml:space="preserve"> blanket driven by the same fusion neutrons supplies it at a multiplication factor between 0.469 and 0.770 — deeply subcritical, against 0.95 for an accelerator-driven system and unity for a power reactor. </w:t>
      </w:r>
      <w:r>
        <w:rPr>
          <w:b/>
          <w:i w:val="0"/>
        </w:rPr>
        <w:t>The energy is heat, recovered on site, with nothing leaving the device.</w:t>
      </w:r>
      <w:r>
        <w:rPr>
          <w:b w:val="0"/>
          <w:i w:val="0"/>
        </w:rPr>
        <w:t xml:space="preserve"> The fusion supplies between 7.5 percent and 27.4 percent of it and all of the neutrons, so the device is a fusion-driven subcritical fission reactor rather than a fusion power plant, and §9.2 says so in those words.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assembly has been modelled by neutron transport.</w:t>
      </w:r>
      <w:r>
        <w:rPr>
          <w:b w:val="0"/>
          <w:i w:val="0"/>
        </w:rPr>
        <w:t xml:space="preserve"> §9.4's retention is a geometric estimate and §13.9's blanket relation is point kinetics. Both are used as requirements rather than as predictions, both are stated as such where they appear, and §10 Stage D measures what they estimate.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2" name="Picture 12"/>
            <wp:cNvGraphicFramePr>
              <a:graphicFrameLocks noChangeAspect="1"/>
            </wp:cNvGraphicFramePr>
            <a:graphic>
              <a:graphicData uri="http://schemas.openxmlformats.org/drawingml/2006/picture">
                <pic:pic>
                  <pic:nvPicPr>
                    <pic:cNvPr id="0" name="eq-e4e6f7c1977a.png"/>
                    <pic:cNvPicPr/>
                  </pic:nvPicPr>
                  <pic:blipFill>
                    <a:blip r:embed="rId19"/>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3" name="Picture 13"/>
            <wp:cNvGraphicFramePr>
              <a:graphicFrameLocks noChangeAspect="1"/>
            </wp:cNvGraphicFramePr>
            <a:graphic>
              <a:graphicData uri="http://schemas.openxmlformats.org/drawingml/2006/picture">
                <pic:pic>
                  <pic:nvPicPr>
                    <pic:cNvPr id="0" name="eq-d8719366983b.png"/>
                    <pic:cNvPicPr/>
                  </pic:nvPicPr>
                  <pic:blipFill>
                    <a:blip r:embed="rId20"/>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4" name="Picture 14"/>
            <wp:cNvGraphicFramePr>
              <a:graphicFrameLocks noChangeAspect="1"/>
            </wp:cNvGraphicFramePr>
            <a:graphic>
              <a:graphicData uri="http://schemas.openxmlformats.org/drawingml/2006/picture">
                <pic:pic>
                  <pic:nvPicPr>
                    <pic:cNvPr id="0" name="eq-4852c3250749.png"/>
                    <pic:cNvPicPr/>
                  </pic:nvPicPr>
                  <pic:blipFill>
                    <a:blip r:embed="rId21"/>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