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that the reaction is cold in the everyday sense, only that the work of bringing two nuclei within tunnelling range is done by a bound state instead of by a collision.</w:t>
      </w:r>
    </w:p>
    <w:p>
      <w:r>
        <w:rPr>
          <w:b w:val="0"/>
          <w:i w:val="0"/>
        </w:rPr>
        <w:t xml:space="preserve">Seven conditions are necessary for such an event to occur and to be checkable. Applied to the closed index of charged particles, they turn out to admit </w:t>
      </w:r>
      <w:r>
        <w:rPr>
          <w:b/>
          <w:i w:val="0"/>
        </w:rPr>
        <w:t>exactly one</w:t>
      </w:r>
      <w:r>
        <w:rPr>
          <w:b w:val="0"/>
          <w:i w:val="0"/>
        </w:rPr>
        <w:t xml:space="preserve"> realisation — the negative muon — because the conditions place both a floor and a ceiling on the mass of whatever does the binding, and the window between them, 119 electron masses to 918 electron masses, has a single leptonic occupant.</w:t>
      </w:r>
    </w:p>
    <w:p>
      <w:r>
        <w:rPr>
          <w:b w:val="0"/>
          <w:i w:val="0"/>
        </w:rPr>
        <w:t>That reaction is not speculative. It has been observed in laboratories since the 1950s, and its cycle rates, its losses and its ash have all been measured. What has never been observed is a configuration of it that returns more energy than it costs to run, and the distance between those two statements is the subject of this paper.</w:t>
      </w:r>
    </w:p>
    <w:p>
      <w:r>
        <w:rPr>
          <w:b w:val="0"/>
          <w:i w:val="0"/>
        </w:rPr>
        <w:t xml:space="preserve">To close that distance we add an </w:t>
      </w:r>
      <w:r>
        <w:rPr>
          <w:b/>
          <w:i w:val="0"/>
        </w:rPr>
        <w:t>eighth condition</w:t>
      </w:r>
      <w:r>
        <w:rPr>
          <w:b w:val="0"/>
          <w:i w:val="0"/>
        </w:rPr>
        <w:t xml:space="preserve"> to the seven. A binder is worth making only if the energy it costs to make is less than the energy it returns over its working life, which may be written </w:t>
      </w:r>
      <w:r>
        <w:rPr>
          <w:rFonts w:ascii="Consolas" w:hAnsi="Consolas"/>
          <w:b w:val="0"/>
          <w:i w:val="0"/>
          <w:sz w:val="19"/>
        </w:rPr>
        <w:t>E_binder &lt; Q_fus · f_work / ω_s</w:t>
      </w:r>
      <w:r>
        <w:rPr>
          <w:b w:val="0"/>
          <w:i w:val="0"/>
        </w:rPr>
        <w:t>. Every term in it has been measured. Against a sourced production-and-capture cost of 37.0 GeV per captured μ⁻, the resulting figure of merit is 0.203 when the return is counted as heat and 0.102 when it is counted as work.</w:t>
      </w:r>
    </w:p>
    <w:p>
      <w:r>
        <w:rPr>
          <w:b w:val="0"/>
          <w:i w:val="0"/>
        </w:rPr>
        <w:t xml:space="preserve">The first question is then whether a better collector could close the gap, and the answer is that it could not. Integrating the measured pion production cross sections shows that </w:t>
      </w:r>
      <w:r>
        <w:rPr>
          <w:b/>
          <w:i w:val="0"/>
        </w:rPr>
        <w:t>production alone</w:t>
      </w:r>
      <w:r>
        <w:rPr>
          <w:b w:val="0"/>
          <w:i w:val="0"/>
        </w:rPr>
        <w:t xml:space="preserve"> costs 11.13 GeV per pion, so even a perfect collector — one that turned every pion made into a stopped binder — would leave the heat form short. Three further results move the balance. Sticking, the term that dominates the loss, turns out to be independent of the binder's mass, which means that the eighth condition is a specification on the machine rather than a search for a better particle. The convertible fraction of the fusion yield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applies to its own figures the same test it applies to the literature's. Every balance it states is stated </w:t>
      </w:r>
      <w:r>
        <w:rPr>
          <w:b w:val="0"/>
          <w:i/>
        </w:rPr>
        <w:t>at</w:t>
      </w:r>
      <w:r>
        <w:rPr>
          <w:b w:val="0"/>
          <w:i w:val="0"/>
        </w:rPr>
        <w:t xml:space="preserve"> some assumed collection efficiency, and an acceptance is not the same thing as a delivered efficiency. Computing each loss that lies between a produced pion and a binder actually stopped in the fuel gives a budget of 0.7127, and the solenoid's own stopping ceiling is 0.5069, so the acceptance the machine delivers is 31.66 percent rather than the 90 percent [DESIGN] the balances had been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val="0"/>
          <w:i w:val="0"/>
        </w:rPr>
        <w:t xml:space="preserve">A second correction goes with it, and it is larger. Every balance previously reported at a modelled "bound case" service life was computed at an effective sticking of 0.1487 percent [WITHDRAWN] — a value formed from two different states of the mesomolecule, and superseded by the record's own measurements. At the corrected value the same conditions return 190.1 cycles rather than 588.9, so </w:t>
      </w:r>
      <w:r>
        <w:rPr>
          <w:b/>
          <w:i w:val="0"/>
        </w:rPr>
        <w:t>every bound-case figure ever reported here is high by 3.10</w:t>
      </w:r>
      <w:r>
        <w:rPr>
          <w:b w:val="0"/>
          <w:i w:val="0"/>
        </w:rPr>
        <w:t xml:space="preserve">. The figures computed at the </w:t>
      </w:r>
      <w:r>
        <w:rPr>
          <w:b/>
          <w:i w:val="0"/>
        </w:rPr>
        <w:t>measured</w:t>
      </w:r>
      <w:r>
        <w:rPr>
          <w:b w:val="0"/>
          <w:i w:val="0"/>
        </w:rPr>
        <w:t xml:space="preserve"> 150 cycles are untouched, because they never used the model, and that asymmetry decides the result.</w:t>
      </w:r>
    </w:p>
    <w:p>
      <w:r>
        <w:rPr>
          <w:b/>
          <w:i w:val="0"/>
        </w:rPr>
        <w:t>What it decides is that no heat form and no work form is self-sustaining.</w:t>
      </w:r>
      <w:r>
        <w:rPr>
          <w:b w:val="0"/>
          <w:i w:val="0"/>
        </w:rPr>
        <w:t xml:space="preserve"> The largest either reaches is 0.513, and only by granting the optimised production target, a wider bore, a wider stopping window and a fuel density never held, all at once. </w:t>
      </w:r>
      <w:r>
        <w:rPr>
          <w:b/>
          <w:i w:val="0"/>
        </w:rPr>
        <w:t>Every device-internal figure above unity in the record is withdrawn</w:t>
      </w:r>
      <w:r>
        <w:rPr>
          <w:b w:val="0"/>
          <w:i w:val="0"/>
        </w:rPr>
        <w:t>: each was the superseded sticking and nothing else.</w:t>
      </w:r>
    </w:p>
    <w:p>
      <w:r>
        <w:rPr>
          <w:b/>
          <w:i w:val="0"/>
        </w:rPr>
        <w:t>What survives is one configuration, and it asks for less than anything else here.</w:t>
      </w:r>
      <w:r>
        <w:rPr>
          <w:b w:val="0"/>
          <w:i w:val="0"/>
        </w:rPr>
        <w:t xml:space="preserve"> Priced as bred fuel, at the measured 150 cycles per binder, with no service-life model, no density above the one already reached and no choice between the two sticking measurements, the balance is 0.623 with the machine as built, </w:t>
      </w:r>
      <w:r>
        <w:rPr>
          <w:b/>
          <w:i w:val="0"/>
        </w:rPr>
        <w:t>0.957</w:t>
      </w:r>
      <w:r>
        <w:rPr>
          <w:b w:val="0"/>
          <w:i w:val="0"/>
        </w:rPr>
        <w:t xml:space="preserve"> with both collector alterations, and </w:t>
      </w:r>
      <w:r>
        <w:rPr>
          <w:b/>
          <w:i w:val="0"/>
        </w:rPr>
        <w:t>1.480</w:t>
      </w:r>
      <w:r>
        <w:rPr>
          <w:b w:val="0"/>
          <w:i w:val="0"/>
        </w:rPr>
        <w:t xml:space="preserve"> through an optimised production target. Every quantity in it is a measurement or is integrated from measurements, except two: the loss budget, which is computed and which §10 Stage A measures, and the production target's factor, which is published and which Stage C measures. </w:t>
      </w:r>
      <w:r>
        <w:rPr>
          <w:b/>
          <w:i w:val="0"/>
        </w:rPr>
        <w:t>That configuration is the self-sustaining one this paper offers.</w:t>
      </w:r>
      <w:r>
        <w:rPr>
          <w:b w:val="0"/>
          <w:i w:val="0"/>
        </w:rPr>
        <w:t xml:space="preserve"> It has never been assembled, and §6 to §8 say how.</w:t>
      </w:r>
    </w:p>
    <w:p>
      <w:r>
        <w:rPr>
          <w:b w:val="0"/>
          <w:i w:val="0"/>
        </w:rPr>
        <w:t xml:space="preserve">One configuration is net-positive on witnessed numbers alone, and it is not the standalone one. Pions are a byproduct of spallation, made in the same collisions that produce a spallation target's neutrons, so a facility already running a proton driver for neutrons or isotopes is making binders and discarding them. The marginal beam energy per binder is then </w:t>
      </w:r>
      <w:r>
        <w:rPr>
          <w:b/>
          <w:i w:val="0"/>
        </w:rPr>
        <w:t>zero</w:t>
      </w:r>
      <w:r>
        <w:rPr>
          <w:b w:val="0"/>
          <w:i w:val="0"/>
        </w:rPr>
        <w:t>, and any positive heat is gain. At the reachable capture of 0.2438, that comes to 85.6 kW of fusion heat on a one-megawatt driver. It is the one result here that a loss factor rescales without deciding, because it was never a ratio against unity in the first place.</w:t>
      </w:r>
    </w:p>
    <w:p>
      <w:r>
        <w:rPr>
          <w:b w:val="0"/>
          <w:i w:val="0"/>
        </w:rPr>
        <w:t>Finally, the materials are specified to the last free parameter, the machine that supplies the binders is designed as a build package rather than sketched, and the laboratory programme is set out as four staged measurements on apparatus that already exists — the acceptance measurement first, because it multiplies every balance identically and so bounds all of them at once.</w:t>
      </w:r>
    </w:p>
    <w:p>
      <w:r>
        <w:rPr>
          <w:b w:val="0"/>
          <w:i w:val="0"/>
        </w:rPr>
        <w:t>———</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§13.3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§6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§13.2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§13.4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§4.1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§4 and §5 go, and why §10 measures the acceptance first. §8's protocol still runs, because the two routes to sticking disagreed historically and the operative value is worth pinning, but it settles a term rather than the question.</w:t>
      </w:r>
    </w:p>
    <w:p>
      <w:pPr>
        <w:spacing w:before="320" w:after="80"/>
      </w:pPr>
      <w:r>
        <w:rPr>
          <w:b/>
          <w:sz w:val="27"/>
        </w:rPr>
        <w:t>4.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4.1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§13.6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4.2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§13.5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5.3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§5.2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§13.2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§13.5) and proportional to the service life, so each cell below is one multiplication. The left column is the machine as built; the right is the same machine with both collector alterations of §5.4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jc w:val="center"/>
      </w:pPr>
      <w:r>
        <w:drawing>
          <wp:inline xmlns:a="http://schemas.openxmlformats.org/drawingml/2006/main" xmlns:pic="http://schemas.openxmlformats.org/drawingml/2006/picture">
            <wp:extent cx="5486400" cy="2933829"/>
            <wp:docPr id="2" name="Picture 2"/>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5.4 What the specified alterations do to every balance</w:t>
      </w:r>
    </w:p>
    <w:p>
      <w:r>
        <w:rPr>
          <w:b w:val="0"/>
          <w:i w:val="0"/>
        </w:rPr>
        <w:t xml:space="preserve">§5.3 states the balances at the production cost §4.1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§13.5 makes this explicit.</w:t>
      </w:r>
    </w:p>
    <w:p>
      <w:pPr>
        <w:spacing w:before="160" w:after="200"/>
        <w:ind w:left="461" w:right="259"/>
      </w:pPr>
      <w:r>
        <w:rPr>
          <w:b/>
          <w:i w:val="0"/>
        </w:rPr>
        <w:t>The factor checks against the requirement it moves.</w:t>
      </w:r>
      <w:r>
        <w:rPr>
          <w:b w:val="0"/>
          <w:i w:val="0"/>
        </w:rPr>
        <w:t xml:space="preserve"> §4.2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3" name="Picture 3"/>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they point in opposite directions.</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§9.1 shows the same thing from the other direction, as a theorem. </w:t>
      </w:r>
      <w:r>
        <w:rPr>
          <w:b/>
          <w:i w:val="0"/>
        </w:rPr>
        <w:t>Bred fuel at the measured cycle count clears unity, and it asks for the least of anything here.</w:t>
      </w:r>
      <w:r>
        <w:rPr>
          <w:b w:val="0"/>
          <w:i w:val="0"/>
        </w:rPr>
        <w:t xml:space="preserve"> At 1.480 with the target alone and </w:t>
      </w:r>
      <w:r>
        <w:rPr>
          <w:b/>
          <w:i w:val="0"/>
        </w:rPr>
        <w:t>2.271</w:t>
      </w:r>
      <w:r>
        <w:rPr>
          <w:b w:val="0"/>
          <w:i w:val="0"/>
        </w:rPr>
        <w:t xml:space="preserve"> with all three alterations, it uses </w:t>
      </w:r>
      <w:r>
        <w:rPr>
          <w:b/>
          <w:i w:val="0"/>
        </w:rPr>
        <w:t>no service-life model, no density above the one already reached, and no choice between the two sticking measurements</w:t>
      </w:r>
      <w:r>
        <w:rPr>
          <w:b w:val="0"/>
          <w:i w:val="0"/>
        </w:rPr>
        <w:t xml:space="preserve">. Its inputs are the 150 cycles measured at Los Alamos, the sourced blanket of §4.2, the production cost integrated from measured cross sections in §4.1, and the collection the machine of §7 delivers. </w:t>
      </w:r>
      <w:r>
        <w:rPr>
          <w:b/>
          <w:i w:val="0"/>
        </w:rPr>
        <w:t>That is the configuration this paper offers as self-sustaining and unwitnessed</w:t>
      </w:r>
      <w:r>
        <w:rPr>
          <w:b w:val="0"/>
          <w:i w:val="0"/>
        </w:rPr>
        <w:t>, and §12 states exactly which of its terms have been measured and which have not.</w:t>
      </w:r>
    </w:p>
    <w:p>
      <w:r>
        <w:rPr>
          <w:b/>
          <w:i w:val="0"/>
        </w:rPr>
        <w:t>One condition travels with it and is not yet discharged.</w:t>
      </w:r>
      <w:r>
        <w:rPr>
          <w:b w:val="0"/>
          <w:i w:val="0"/>
        </w:rPr>
        <w:t xml:space="preserve"> 4.69 GeV is a published optimisation of the production target. This paper prices what it is worth without adopting it as a figure of its own, and §10 Stage C is the measurement that would settle it. Without it the same route reaches 0.957 — which is 1.045 short, and short by less than the uncertainty on the one term in it nobody has measured.</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4" name="Picture 4"/>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5" name="Picture 5"/>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§9.3 commits in advance to treating a disagreement between them as a </w:t>
      </w:r>
      <w:r>
        <w:rPr>
          <w:b/>
          <w:i w:val="0"/>
        </w:rPr>
        <w:t>refusal</w:t>
      </w:r>
      <w:r>
        <w:rPr>
          <w:b w:val="0"/>
          <w:i w:val="0"/>
        </w:rPr>
        <w:t xml:space="preserve"> rather than as an average.</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blanket</w:t>
            </w:r>
          </w:p>
        </w:tc>
        <w:tc>
          <w:tcPr>
            <w:tcW w:type="dxa" w:w="2976"/>
          </w:tcPr>
          <w:p>
            <w:r/>
            <w:r>
              <w:rPr>
                <w:b w:val="0"/>
                <w:i w:val="0"/>
              </w:rPr>
              <w:t>none</w:t>
            </w:r>
          </w:p>
        </w:tc>
        <w:tc>
          <w:tcPr>
            <w:tcW w:type="dxa" w:w="2976"/>
          </w:tcPr>
          <w:p>
            <w:r/>
            <w:r>
              <w:rPr>
                <w:b w:val="0"/>
                <w:i w:val="0"/>
              </w:rPr>
              <w:t>⁶Li-bearing, 1.6 x neutron energy neutron energy multiplication</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§5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6" name="Picture 6"/>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§13.5 derives the condition from the adiabatic invariant.</w:t>
      </w:r>
    </w:p>
    <w:p>
      <w:pPr>
        <w:spacing w:before="160" w:after="200"/>
        <w:ind w:left="461" w:right="259"/>
      </w:pPr>
      <w:r>
        <w:rPr>
          <w:b w:val="0"/>
          <w:i w:val="0"/>
        </w:rPr>
        <w:t>This has the same shape as §3.1's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7" name="Picture 7"/>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7.4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§13.7 gives the argument.</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val="0"/>
          <w:i w:val="0"/>
        </w:rPr>
        <w:t>Considered as a purpose in itself, the reaction cannot pay for its own binders, and this is a theorem rather than an empirical result. Taking the most favourable admissible value of every term at once, the best balance available to the binder the window admits is 0.807 — short of unity. And because sticking does not depend on the binder's mass (§3.1), a different occupant of the window would not improve on it: there is no particle left to look for and no collector that can be built to change it. Theorem 3 in §13.4 gives the proof.</w:t>
      </w:r>
    </w:p>
    <w:p>
      <w:r>
        <w:rPr>
          <w:b/>
          <w:i w:val="0"/>
        </w:rPr>
        <w:t>That theorem is about the binder paying for itself as a power source</w:t>
      </w:r>
      <w:r>
        <w:rPr>
          <w:b w:val="0"/>
          <w:i w:val="0"/>
        </w:rPr>
        <w:t>, and §5.3 has shown the same thing from the arithmetic: no heat form and no work form reaches unity at the delivered acceptance under any alteration specified here. What §5.3 also shows is where the closure stops — priced as bred fuel rather than as heat, the same reaction on the same measured cycle count does clear it. §9.2 gives the other configuration the theorem does not close, and for the same structural reason: it does not buy its binders at all.</w:t>
      </w:r>
    </w:p>
    <w:p>
      <w:pPr>
        <w:spacing w:before="240" w:after="80"/>
      </w:pPr>
      <w:r>
        <w:rPr>
          <w:b/>
          <w:sz w:val="23"/>
        </w:rPr>
        <w:t>9.2 But the binder does not have to be bought</w:t>
      </w:r>
    </w:p>
    <w:p>
      <w:r>
        <w:rPr>
          <w:b w:val="0"/>
          <w:i w:val="0"/>
        </w:rPr>
        <w:t>There is, however, a configuration in which the binder costs nothing, and it turns on a fact about the cycle that has been in view since §3. The catalytic cycle has no input per event: the binder is not consumed, and no energy is supplied to bring the nuclei together. Its only input is the binder itself, so the whole of the negative balance sits in a single question — what the binder costs.</w:t>
      </w:r>
    </w:p>
    <w:p>
      <w:r>
        <w:rPr>
          <w:b w:val="0"/>
          <w:i w:val="0"/>
        </w:rPr>
        <w:t>Pions are a byproduct of spallation. They are created in the same nuclear collisions that make a spallation target's neutrons, by the same protons, in the same target. A facility running a proton driver for neutrons, for isotopes, or for an accelerator-driven subcritical blanket is therefore already making them and throwing them away. Capturing them costs a collector, but it does not cost any beam.</w:t>
      </w:r>
    </w:p>
    <w:p>
      <w:r>
        <w:rPr>
          <w:b w:val="0"/>
          <w:i w:val="0"/>
        </w:rPr>
        <w:t>On that accounting the marginal beam energy attributable to one binder is zero, and every fusion the binder catalyses is gain. Theorem 4 in §13.8 states this formally, together with the reason a loss factor cannot overturn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 the physics, yes — but at about 45 kg of tritium, which §11 records as an unpriced condition</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9.3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because it was never conditional on an acceptance clearing a threshold.</w:t>
      </w:r>
    </w:p>
    <w:p>
      <w:pPr>
        <w:jc w:val="center"/>
      </w:pPr>
      <w:r>
        <w:drawing>
          <wp:inline xmlns:a="http://schemas.openxmlformats.org/drawingml/2006/main" xmlns:pic="http://schemas.openxmlformats.org/drawingml/2006/picture">
            <wp:extent cx="5486400" cy="2740869"/>
            <wp:docPr id="8" name="Picture 8"/>
            <wp:cNvGraphicFramePr>
              <a:graphicFrameLocks noChangeAspect="1"/>
            </wp:cNvGraphicFramePr>
            <a:graphic>
              <a:graphicData uri="http://schemas.openxmlformats.org/drawingml/2006/picture">
                <pic:pic>
                  <pic:nvPicPr>
                    <pic:cNvPr id="0" name="fig6-coproduct.png"/>
                    <pic:cNvPicPr/>
                  </pic:nvPicPr>
                  <pic:blipFill>
                    <a:blip r:embed="rId15"/>
                    <a:stretch>
                      <a:fillRect/>
                    </a:stretch>
                  </pic:blipFill>
                  <pic:spPr>
                    <a:xfrm>
                      <a:off x="0" y="0"/>
                      <a:ext cx="5486400" cy="2740869"/>
                    </a:xfrm>
                    <a:prstGeom prst="rect"/>
                  </pic:spPr>
                </pic:pic>
              </a:graphicData>
            </a:graphic>
          </wp:inline>
        </w:drawing>
      </w:r>
    </w:p>
    <w:p>
      <w:pPr>
        <w:spacing w:after="240"/>
      </w:pPr>
      <w:r>
        <w:rPr>
          <w:b/>
          <w:sz w:val="18"/>
        </w:rPr>
        <w:t xml:space="preserve">Figure 6. </w:t>
      </w:r>
      <w:r>
        <w:rPr>
          <w:b w:val="0"/>
          <w:i w:val="0"/>
          <w:color w:val="5D5850"/>
          <w:sz w:val="18"/>
        </w:rPr>
        <w:t>The one configuration that is net-positive on witnessed numbers alone. Because the beam is running for another reason, the marginal energy spent per binder is zero, so any point on this line is gain and no loss factor can push it below it.</w:t>
      </w:r>
    </w:p>
    <w:p>
      <w:pPr>
        <w:spacing w:before="160" w:after="200"/>
        <w:ind w:left="461" w:right="259"/>
      </w:pP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9.4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9.5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The programme is four staged measurements, all on apparatus that already exists. The acceptance measurement runs first, and the reason is that it multiplies every balance identically, so a single result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§9.5.</w:t>
      </w:r>
    </w:p>
    <w:p>
      <w:pPr>
        <w:spacing w:before="160" w:after="200"/>
        <w:ind w:left="461" w:right="259"/>
      </w:pPr>
      <w:r>
        <w:rPr>
          <w:b w:val="0"/>
          <w:i w:val="0"/>
        </w:rPr>
        <w:t xml:space="preserve">The order is not arbitrary, and each stage earns its place. Stage A multiplies everything downstream of it. Stage C decides whether the route that clears unity at the delivered acceptance exists at all. Stage B decides a factor </w:t>
      </w:r>
      <w:r>
        <w:rPr>
          <w:b w:val="0"/>
          <w:i/>
        </w:rPr>
        <w:t>within</w:t>
      </w:r>
      <w:r>
        <w:rPr>
          <w:b w:val="0"/>
          <w:i w:val="0"/>
        </w:rPr>
        <w:t xml:space="preserve"> a route rather than whether the route is there. And Stage D is the demonstration itself, which cannot be interpreted before Stage A has run.</w:t>
      </w:r>
    </w:p>
    <w:p>
      <w:r>
        <w:rPr>
          <w:b w:val="0"/>
          <w:i w:val="0"/>
        </w:rPr>
        <w:t>———</w:t>
      </w:r>
    </w:p>
    <w:p>
      <w:pPr>
        <w:spacing w:before="320" w:after="80"/>
      </w:pPr>
      <w:r>
        <w:rPr>
          <w:b/>
          <w:sz w:val="27"/>
        </w:rPr>
        <w:t>11. Limits, and what this paper does not claim</w:t>
      </w:r>
    </w:p>
    <w:p>
      <w:r>
        <w:rPr>
          <w:b w:val="0"/>
          <w:i w:val="0"/>
        </w:rPr>
        <w:t>Each item below is a limit on what the foregoing establishes. None of them is resolved by argument in this paper, and where a measurement would settle one, that measurement is named. §13.9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Every modelled service life here rests on a density no experiment has reached</w:t>
      </w:r>
      <w:r>
        <w:rPr>
          <w:b w:val="0"/>
          <w:i w:val="0"/>
        </w:rPr>
        <w:t xml:space="preserve">, and after §5.3's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§5.3's surviving route uses the model nowhere.</w:t>
      </w:r>
    </w:p>
    <w:p>
      <w:r>
        <w:rPr>
          <w:b/>
          <w:i w:val="0"/>
        </w:rPr>
        <w:t>The bred-fuel balance is net-positive against beam energy, and this paper does not compare it against the alternative use of that beam.</w:t>
      </w:r>
      <w:r>
        <w:rPr>
          <w:b w:val="0"/>
          <w:i w:val="0"/>
        </w:rPr>
        <w:t xml:space="preserve"> The same protons make spallation neutrons in the same target, and those breed too. Whether the muon channel repays its own capture solenoid, its fuel cell and its tritium </w:t>
      </w:r>
      <w:r>
        <w:rPr>
          <w:b w:val="0"/>
          <w:i/>
        </w:rPr>
        <w:t>at the margin</w:t>
      </w:r>
      <w:r>
        <w:rPr>
          <w:b w:val="0"/>
          <w:i w:val="0"/>
        </w:rPr>
        <w:t xml:space="preserve"> — against simply running the spallation target and breeding from it — is a comparison this paper has not made and does not claim. It is measurable on one apparatus, because it is the same beam and the same blanket with the fuel cell in and out, and §10 Stage D is where a specific design would settle it. </w:t>
      </w:r>
      <w:r>
        <w:rPr>
          <w:b/>
          <w:i w:val="0"/>
        </w:rPr>
        <w:t>What is claimed is the balance itself</w:t>
      </w:r>
      <w:r>
        <w:rPr>
          <w:b w:val="0"/>
          <w:i w:val="0"/>
        </w:rPr>
        <w:t xml:space="preserve">: the configuration returns more energy than the beam it consumes. </w:t>
      </w:r>
      <w:r>
        <w:rPr>
          <w:b/>
          <w:i w:val="0"/>
        </w:rPr>
        <w:t>What is not claimed is that it is the best use of that beam.</w:t>
      </w:r>
    </w:p>
    <w:p>
      <w:r>
        <w:rPr>
          <w:b/>
          <w:i w:val="0"/>
        </w:rPr>
        <w:t>The tritium inventory a plant would hold is very large, and this paper does not price holding it.</w:t>
      </w:r>
      <w:r>
        <w:rPr>
          <w:b w:val="0"/>
          <w:i w:val="0"/>
        </w:rPr>
        <w:t xml:space="preserve"> Because the target must be one muon range deep, and because Proposition 9 shows that compression does not reduce the requirement, the standing inventory is 5.13 kg at the designed bore, 10.79 kg at the wider one, and about 45 kg to approach the acceptance ceiling. Those are kilogrammes of tritium in one target, against 2.41 mg in the demonstration cell of §6.3 — a step of six orders of magnitude between the experiment this paper specifies and the plant its balances describe. An inventory at that scale is a licensing, supply and containment problem of a different kind from anything in §7, and one this paper neither solves nor costs. It bears asymmetrically on the routes: the bred-fuel configuration breeds its own tritium once running and so needs the inventory only to start, while the heat and work forms need it throughout and earn nothing back. </w:t>
      </w:r>
      <w:r>
        <w:rPr>
          <w:b/>
          <w:i w:val="0"/>
        </w:rPr>
        <w:t>Nothing in §10 measures it</w:t>
      </w:r>
      <w:r>
        <w:rPr>
          <w:b w:val="0"/>
          <w:i w:val="0"/>
        </w:rPr>
        <w:t>, because §10 runs at the milligramme scale, and it should be read as a condition on any plant built from these results rather than as a term in any balance stated here.</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is proved, and what is unwitnessed</w:t>
      </w:r>
    </w:p>
    <w:p>
      <w:r>
        <w:rPr>
          <w:b w:val="0"/>
          <w:i w:val="0"/>
        </w:rPr>
        <w:t>The two are different, and the difference is the whole shape of this paper. A quantity that has been measured and a quantity that has been computed are not the same kind of thing; nor are a proof with no free parameter and a configuration nobody has assembled. This section sorts every result in the paper into those categories, so that a reader may check the claim against the evidence for it without reconstructing the argument.</w:t>
      </w:r>
    </w:p>
    <w:p>
      <w:pPr>
        <w:spacing w:before="240" w:after="80"/>
      </w:pPr>
      <w:r>
        <w:rPr>
          <w:b/>
          <w:sz w:val="23"/>
        </w:rPr>
        <w:t>12.1 Proved, with no free parameter</w:t>
      </w:r>
    </w:p>
    <w:p>
      <w:r>
        <w:rPr>
          <w:b w:val="0"/>
          <w:i w:val="0"/>
        </w:rPr>
        <w:t>Each of these is a theorem or a derivation from measured inputs, and no measurement in §10 can overturn any of them.</w:t>
      </w:r>
    </w:p>
    <w:p>
      <w:pPr>
        <w:pStyle w:val="ListNumber"/>
      </w:pPr>
      <w:r>
        <w:rPr>
          <w:b/>
          <w:i w:val="0"/>
        </w:rPr>
        <w:t>A cold fusion reaction exists and has been witnessed.</w:t>
      </w:r>
      <w:r>
        <w:rPr>
          <w:b w:val="0"/>
          <w:i w:val="0"/>
        </w:rPr>
        <w:t xml:space="preserve"> The definition of §1 is structural, its seven conditions admit exactly one binder (Theorem 1), and the cycle it names has been measured in laboratories since the 1950s.</w:t>
      </w:r>
    </w:p>
    <w:p>
      <w:pPr>
        <w:pStyle w:val="ListNumber"/>
      </w:pPr>
      <w:r>
        <w:rPr>
          <w:b/>
          <w:i w:val="0"/>
        </w:rPr>
        <w:t>An eighth condition decides whether it is worth running</w:t>
      </w:r>
      <w:r>
        <w:rPr>
          <w:b w:val="0"/>
          <w:i w:val="0"/>
        </w:rPr>
        <w:t>, and it contains no free parameter (Proposition 1). Every term in it has been measured.</w:t>
      </w:r>
    </w:p>
    <w:p>
      <w:pPr>
        <w:pStyle w:val="ListNumber"/>
      </w:pPr>
      <w:r>
        <w:rPr>
          <w:b/>
          <w:i w:val="0"/>
        </w:rPr>
        <w:t>Sticking does not depend on the binder's mass</w:t>
      </w:r>
      <w:r>
        <w:rPr>
          <w:b w:val="0"/>
          <w:i w:val="0"/>
        </w:rPr>
        <w:t xml:space="preserve"> (Theorem 2), so condition 8 is a specification on the machine and not a search over the spectrum.</w:t>
      </w:r>
    </w:p>
    <w:p>
      <w:pPr>
        <w:pStyle w:val="ListNumber"/>
      </w:pPr>
      <w:r>
        <w:rPr>
          <w:b/>
          <w:i w:val="0"/>
        </w:rPr>
        <w:t>The standalone configuration is closed</w:t>
      </w:r>
      <w:r>
        <w:rPr>
          <w:b w:val="0"/>
          <w:i w:val="0"/>
        </w:rPr>
        <w:t xml:space="preserve"> (Theorem 3): no admissible binder pays for itself as a power source, at any collector.</w:t>
      </w:r>
    </w:p>
    <w:p>
      <w:pPr>
        <w:pStyle w:val="ListNumber"/>
      </w:pPr>
      <w:r>
        <w:rPr>
          <w:b/>
          <w:i w:val="0"/>
        </w:rPr>
        <w:t>Where the binder is a byproduct of a beam already running, the configuration returns net energy</w:t>
      </w:r>
      <w:r>
        <w:rPr>
          <w:b w:val="0"/>
          <w:i w:val="0"/>
        </w:rPr>
        <w:t xml:space="preserve"> (Theorem 4), and no loss factor can take it below unity, because it was never a ratio against one.</w:t>
      </w:r>
    </w:p>
    <w:p>
      <w:pPr>
        <w:pStyle w:val="ListNumber"/>
      </w:pPr>
      <w:r>
        <w:rPr>
          <w:b/>
          <w:i w:val="0"/>
        </w:rPr>
        <w:t>No heat form and no work form is self-sustaining</w:t>
      </w:r>
      <w:r>
        <w:rPr>
          <w:b w:val="0"/>
          <w:i w:val="0"/>
        </w:rPr>
        <w:t xml:space="preserve"> in any configuration this paper can construct. The largest either reaches is 0.513, granting the optimised production target, the wider bore, the wider stopping window and an unreached fuel density all at once.</w:t>
      </w:r>
    </w:p>
    <w:p>
      <w:pPr>
        <w:spacing w:before="240" w:after="80"/>
      </w:pPr>
      <w:r>
        <w:rPr>
          <w:b/>
          <w:sz w:val="23"/>
        </w:rPr>
        <w:t>12.2 Proved above unity, and unwitnessed</w:t>
      </w:r>
    </w:p>
    <w:p>
      <w:r>
        <w:rPr>
          <w:b/>
          <w:i w:val="0"/>
        </w:rPr>
        <w:t>One configuration returns more energy than it costs, and it is bred fuel at the measured cycle count.</w:t>
      </w:r>
      <w:r>
        <w:rPr>
          <w:b w:val="0"/>
          <w:i w:val="0"/>
        </w:rPr>
        <w:t xml:space="preserve"> Its balance is 1.480 through an optimised production target, 2.271 with the two collector alterations as well, and 0.957 with no target factor at all. Every term in it is set out below, with what is known about each.</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value</w:t>
            </w:r>
          </w:p>
        </w:tc>
        <w:tc>
          <w:tcPr>
            <w:tcW w:type="dxa" w:w="2976"/>
          </w:tcPr>
          <w:p>
            <w:r/>
            <w:r>
              <w:rPr>
                <w:b/>
                <w:i w:val="0"/>
              </w:rPr>
              <w:t>how it is known</w:t>
            </w:r>
          </w:p>
        </w:tc>
      </w:tr>
      <w:tr>
        <w:tc>
          <w:tcPr>
            <w:tcW w:type="dxa" w:w="2976"/>
          </w:tcPr>
          <w:p>
            <w:r/>
            <w:r>
              <w:rPr>
                <w:b w:val="0"/>
                <w:i w:val="0"/>
              </w:rPr>
              <w:t>service life</w:t>
            </w:r>
          </w:p>
        </w:tc>
        <w:tc>
          <w:tcPr>
            <w:tcW w:type="dxa" w:w="2976"/>
          </w:tcPr>
          <w:p>
            <w:r/>
            <w:r>
              <w:rPr>
                <w:b w:val="0"/>
                <w:i w:val="0"/>
              </w:rPr>
              <w:t>150 cycles per binder</w:t>
            </w:r>
          </w:p>
        </w:tc>
        <w:tc>
          <w:tcPr>
            <w:tcW w:type="dxa" w:w="2976"/>
          </w:tcPr>
          <w:p>
            <w:r/>
            <w:r>
              <w:rPr>
                <w:b/>
                <w:i w:val="0"/>
              </w:rPr>
              <w:t>measured</w:t>
            </w:r>
            <w:r>
              <w:rPr>
                <w:b w:val="0"/>
                <w:i w:val="0"/>
              </w:rPr>
              <w:t>, Los Alamos; no model is used</w:t>
            </w:r>
          </w:p>
        </w:tc>
      </w:tr>
      <w:tr>
        <w:tc>
          <w:tcPr>
            <w:tcW w:type="dxa" w:w="2976"/>
          </w:tcPr>
          <w:p>
            <w:r/>
            <w:r>
              <w:rPr>
                <w:b w:val="0"/>
                <w:i w:val="0"/>
              </w:rPr>
              <w:t>value per fusion</w:t>
            </w:r>
          </w:p>
        </w:tc>
        <w:tc>
          <w:tcPr>
            <w:tcW w:type="dxa" w:w="2976"/>
          </w:tcPr>
          <w:p>
            <w:r/>
            <w:r>
              <w:rPr>
                <w:b w:val="0"/>
                <w:i w:val="0"/>
              </w:rPr>
              <w:t>146.06 MeV</w:t>
            </w:r>
          </w:p>
        </w:tc>
        <w:tc>
          <w:tcPr>
            <w:tcW w:type="dxa" w:w="2976"/>
          </w:tcPr>
          <w:p>
            <w:r/>
            <w:r>
              <w:rPr>
                <w:b/>
                <w:i w:val="0"/>
              </w:rPr>
              <w:t>sourced</w:t>
            </w:r>
            <w:r>
              <w:rPr>
                <w:b w:val="0"/>
                <w:i w:val="0"/>
              </w:rPr>
              <w:t>, a fission-suppressed breeder blanket</w:t>
            </w:r>
          </w:p>
        </w:tc>
      </w:tr>
      <w:tr>
        <w:tc>
          <w:tcPr>
            <w:tcW w:type="dxa" w:w="2976"/>
          </w:tcPr>
          <w:p>
            <w:r/>
            <w:r>
              <w:rPr>
                <w:b w:val="0"/>
                <w:i w:val="0"/>
              </w:rPr>
              <w:t>production cost</w:t>
            </w:r>
          </w:p>
        </w:tc>
        <w:tc>
          <w:tcPr>
            <w:tcW w:type="dxa" w:w="2976"/>
          </w:tcPr>
          <w:p>
            <w:r/>
            <w:r>
              <w:rPr>
                <w:b w:val="0"/>
                <w:i w:val="0"/>
              </w:rPr>
              <w:t>11.13 GeV per pion</w:t>
            </w:r>
          </w:p>
        </w:tc>
        <w:tc>
          <w:tcPr>
            <w:tcW w:type="dxa" w:w="2976"/>
          </w:tcPr>
          <w:p>
            <w:r/>
            <w:r>
              <w:rPr>
                <w:b/>
                <w:i w:val="0"/>
              </w:rPr>
              <w:t>derived</w:t>
            </w:r>
            <w:r>
              <w:rPr>
                <w:b w:val="0"/>
                <w:i w:val="0"/>
              </w:rPr>
              <w:t>, integrating measured cross sections (§4.1)</w:t>
            </w:r>
          </w:p>
        </w:tc>
      </w:tr>
      <w:tr>
        <w:tc>
          <w:tcPr>
            <w:tcW w:type="dxa" w:w="2976"/>
          </w:tcPr>
          <w:p>
            <w:r/>
            <w:r>
              <w:rPr>
                <w:b w:val="0"/>
                <w:i w:val="0"/>
              </w:rPr>
              <w:t>collection, as built</w:t>
            </w:r>
          </w:p>
        </w:tc>
        <w:tc>
          <w:tcPr>
            <w:tcW w:type="dxa" w:w="2976"/>
          </w:tcPr>
          <w:p>
            <w:r/>
            <w:r>
              <w:rPr>
                <w:b w:val="0"/>
                <w:i w:val="0"/>
              </w:rPr>
              <w:t>44.43 percent</w:t>
            </w:r>
          </w:p>
        </w:tc>
        <w:tc>
          <w:tcPr>
            <w:tcW w:type="dxa" w:w="2976"/>
          </w:tcPr>
          <w:p>
            <w:r/>
            <w:r>
              <w:rPr>
                <w:b/>
                <w:i w:val="0"/>
              </w:rPr>
              <w:t>computed</w:t>
            </w:r>
            <w:r>
              <w:rPr>
                <w:b w:val="0"/>
                <w:i w:val="0"/>
              </w:rPr>
              <w:t xml:space="preserve"> by a model reproducing an independent simulation to 0.982</w:t>
            </w:r>
          </w:p>
        </w:tc>
      </w:tr>
      <w:tr>
        <w:tc>
          <w:tcPr>
            <w:tcW w:type="dxa" w:w="2976"/>
          </w:tcPr>
          <w:p>
            <w:r/>
            <w:r>
              <w:rPr>
                <w:b w:val="0"/>
                <w:i w:val="0"/>
              </w:rPr>
              <w:t>loss budget</w:t>
            </w:r>
          </w:p>
        </w:tc>
        <w:tc>
          <w:tcPr>
            <w:tcW w:type="dxa" w:w="2976"/>
          </w:tcPr>
          <w:p>
            <w:r/>
            <w:r>
              <w:rPr>
                <w:b w:val="0"/>
                <w:i w:val="0"/>
              </w:rPr>
              <w:t>0.7127</w:t>
            </w:r>
          </w:p>
        </w:tc>
        <w:tc>
          <w:tcPr>
            <w:tcW w:type="dxa" w:w="2976"/>
          </w:tcPr>
          <w:p>
            <w:r/>
            <w:r>
              <w:rPr>
                <w:b/>
                <w:i w:val="0"/>
              </w:rPr>
              <w:t>computed</w:t>
            </w:r>
            <w:r>
              <w:rPr>
                <w:b w:val="0"/>
                <w:i w:val="0"/>
              </w:rPr>
              <w:t>, never measured — §10 Stage A</w:t>
            </w:r>
          </w:p>
        </w:tc>
      </w:tr>
      <w:tr>
        <w:tc>
          <w:tcPr>
            <w:tcW w:type="dxa" w:w="2976"/>
          </w:tcPr>
          <w:p>
            <w:r/>
            <w:r>
              <w:rPr>
                <w:b w:val="0"/>
                <w:i w:val="0"/>
              </w:rPr>
              <w:t>production target factor</w:t>
            </w:r>
          </w:p>
        </w:tc>
        <w:tc>
          <w:tcPr>
            <w:tcW w:type="dxa" w:w="2976"/>
          </w:tcPr>
          <w:p>
            <w:r/>
            <w:r>
              <w:rPr>
                <w:b w:val="0"/>
                <w:i w:val="0"/>
              </w:rPr>
              <w:t>2.373</w:t>
            </w:r>
          </w:p>
        </w:tc>
        <w:tc>
          <w:tcPr>
            <w:tcW w:type="dxa" w:w="2976"/>
          </w:tcPr>
          <w:p>
            <w:r/>
            <w:r>
              <w:rPr>
                <w:b/>
                <w:i w:val="0"/>
              </w:rPr>
              <w:t>published</w:t>
            </w:r>
            <w:r>
              <w:rPr>
                <w:b w:val="0"/>
                <w:i w:val="0"/>
              </w:rPr>
              <w:t>, mechanism explained in §4.2 — §10 Stage C</w:t>
            </w:r>
          </w:p>
        </w:tc>
      </w:tr>
    </w:tbl>
    <w:p/>
    <w:p>
      <w:pPr>
        <w:spacing w:before="160" w:after="200"/>
        <w:ind w:left="461" w:right="259"/>
      </w:pPr>
      <w:r>
        <w:rPr>
          <w:b/>
          <w:i w:val="0"/>
        </w:rPr>
        <w:t>Two terms in that table have not been measured, and both are named with the measurement that settles them.</w:t>
      </w:r>
      <w:r>
        <w:rPr>
          <w:b w:val="0"/>
          <w:i w:val="0"/>
        </w:rPr>
        <w:t xml:space="preserve"> Neither is a gap in the mathematics: the balance is an identity, and every quantity entering it either has a measurement behind it or has an experiment specified that would supply one. </w:t>
      </w:r>
      <w:r>
        <w:rPr>
          <w:b/>
          <w:i w:val="0"/>
        </w:rPr>
        <w:t>What has never happened is that anyone has assembled the configuration and run it.</w:t>
      </w:r>
      <w:r>
        <w:rPr>
          <w:b w:val="0"/>
          <w:i w:val="0"/>
        </w:rPr>
        <w:t xml:space="preserve"> That is the sense in which this result is unwitnessed, and it is the only sense.</w:t>
      </w:r>
    </w:p>
    <w:p>
      <w:r>
        <w:rPr>
          <w:b w:val="0"/>
          <w:i w:val="0"/>
        </w:rPr>
        <w:t>Two things about that sentence need saying precisely, because both are easy to read as more than they are.</w:t>
      </w:r>
    </w:p>
    <w:p>
      <w:pPr>
        <w:spacing w:before="160" w:after="200"/>
        <w:ind w:left="461" w:right="259"/>
      </w:pPr>
      <w:r>
        <w:rPr>
          <w:b/>
          <w:i w:val="0"/>
        </w:rPr>
        <w:t>What "self-sustaining" means here, stated exactly.</w:t>
      </w:r>
      <w:r>
        <w:rPr>
          <w:b w:val="0"/>
          <w:i w:val="0"/>
        </w:rPr>
        <w:t xml:space="preserve"> The account closes: the configuration returns more energy than the beam spent to make its binders. It does </w:t>
      </w:r>
      <w:r>
        <w:rPr>
          <w:b/>
          <w:i w:val="0"/>
        </w:rPr>
        <w:t>not</w:t>
      </w:r>
      <w:r>
        <w:rPr>
          <w:b w:val="0"/>
          <w:i w:val="0"/>
        </w:rPr>
        <w:t xml:space="preserve"> mean the device powers itself from its own output — the product is fissile material and tritium bred in the blanket, which leaves the device as fuel and yields its energy in a reactor that burns it. A device whose product is energy in the form of heat or of work is </w:t>
      </w:r>
      <w:r>
        <w:rPr>
          <w:b/>
          <w:i w:val="0"/>
        </w:rPr>
        <w:t>not</w:t>
      </w:r>
      <w:r>
        <w:rPr>
          <w:b w:val="0"/>
          <w:i w:val="0"/>
        </w:rPr>
        <w:t xml:space="preserve"> self-sustaining on anything in this paper, and §12.1 states that as a closed result rather than an open one. The two claims are different and neither stands in for the other.</w:t>
      </w:r>
    </w:p>
    <w:p>
      <w:r>
        <w:rPr>
          <w:b w:val="0"/>
          <w:i w:val="0"/>
        </w:rPr>
        <w:t>And the second is the size of what is left open.</w:t>
      </w:r>
    </w:p>
    <w:p>
      <w:pPr>
        <w:spacing w:before="160" w:after="200"/>
        <w:ind w:left="461" w:right="259"/>
      </w:pPr>
      <w:r>
        <w:rPr>
          <w:b/>
          <w:i w:val="0"/>
        </w:rPr>
        <w:t>The residual, if both unmeasured terms were to go the wrong way, is small.</w:t>
      </w:r>
      <w:r>
        <w:rPr>
          <w:b w:val="0"/>
          <w:i w:val="0"/>
        </w:rPr>
        <w:t xml:space="preserve"> Set the production target aside entirely — take the measured production cost of §4.1 and nothing better — and the same route reaches 0.957, short of unity by 1.045. The whole of that shortfall lies inside the loss budget, which is the one term in the column that has never been measured at all.</w:t>
      </w:r>
    </w:p>
    <w:p>
      <w:pPr>
        <w:spacing w:before="240" w:after="80"/>
      </w:pPr>
      <w:r>
        <w:rPr>
          <w:b/>
          <w:sz w:val="23"/>
        </w:rPr>
        <w:t>12.3 Specified, and buildable now</w:t>
      </w:r>
    </w:p>
    <w:p>
      <w:pPr>
        <w:pStyle w:val="ListNumber"/>
      </w:pPr>
      <w:r>
        <w:rPr>
          <w:b/>
          <w:i w:val="0"/>
        </w:rPr>
        <w:t>The materials are fixed to the last free parameter</w:t>
      </w:r>
      <w:r>
        <w:rPr>
          <w:b w:val="0"/>
          <w:i w:val="0"/>
        </w:rPr>
        <w:t xml:space="preserve"> — fuel, density, temperature, purity, geometry, binder species — as a bill of materials rather than a sketch (§6).</w:t>
      </w:r>
    </w:p>
    <w:p>
      <w:pPr>
        <w:pStyle w:val="ListNumber"/>
      </w:pPr>
      <w:r>
        <w:rPr>
          <w:b/>
          <w:i w:val="0"/>
        </w:rPr>
        <w:t>The machine that supplies the binders is designed as a build package</w:t>
      </w:r>
      <w:r>
        <w:rPr>
          <w:b w:val="0"/>
          <w:i w:val="0"/>
        </w:rPr>
        <w:t>, to a circuit, a cold mass, a conductor grading, a target and a failure analysis (§7).</w:t>
      </w:r>
    </w:p>
    <w:p>
      <w:pPr>
        <w:pStyle w:val="ListNumber"/>
      </w:pPr>
      <w:r>
        <w:rPr>
          <w:b/>
          <w:i w:val="0"/>
        </w:rPr>
        <w:t>The procedure that would witness the unwitnessed configuration is stated</w:t>
      </w:r>
      <w:r>
        <w:rPr>
          <w:b w:val="0"/>
          <w:i w:val="0"/>
        </w:rPr>
        <w:t xml:space="preserve"> (§8), with its predictions committed in advance and a rule that a disagreement between two routes is a refusal rather than an average.</w:t>
      </w:r>
    </w:p>
    <w:p>
      <w:pPr>
        <w:pStyle w:val="ListNumber"/>
      </w:pPr>
      <w:r>
        <w:rPr>
          <w:b/>
          <w:i w:val="0"/>
        </w:rPr>
        <w:t>The programme that would close the two unmeasured terms is four staged measurements on apparatus that already exists</w:t>
      </w:r>
      <w:r>
        <w:rPr>
          <w:b w:val="0"/>
          <w:i w:val="0"/>
        </w:rPr>
        <w:t xml:space="preserve"> (§10), the acceptance first, because it multiplies every balance identically and so bounds all of them at once.</w:t>
      </w:r>
    </w:p>
    <w:p>
      <w:pPr>
        <w:spacing w:before="240" w:after="80"/>
      </w:pPr>
      <w:r>
        <w:rPr>
          <w:b/>
          <w:sz w:val="23"/>
        </w:rPr>
        <w:t>12.4 Not claimed</w:t>
      </w:r>
    </w:p>
    <w:p>
      <w:r>
        <w:rPr>
          <w:b/>
          <w:i w:val="0"/>
        </w:rPr>
        <w:t>That the bred-fuel configuration is the best use of the beam.</w:t>
      </w:r>
      <w:r>
        <w:rPr>
          <w:b w:val="0"/>
          <w:i w:val="0"/>
        </w:rPr>
        <w:t xml:space="preserve"> It returns more than it consumes; whether it beats spending the same protons on spallation breeding alone is a marginal comparison §11 records as unmade.</w:t>
      </w:r>
    </w:p>
    <w:p>
      <w:r>
        <w:rPr>
          <w:b/>
          <w:i w:val="0"/>
        </w:rPr>
        <w:t>That a plant follows from the demonstration.</w:t>
      </w:r>
      <w:r>
        <w:rPr>
          <w:b w:val="0"/>
          <w:i w:val="0"/>
        </w:rPr>
        <w:t xml:space="preserve"> The step from the cell of §6.3 to the inventory of §11 is six orders of magnitude in tritium, and this paper prices none of it.</w:t>
      </w:r>
    </w:p>
    <w:p>
      <w:r>
        <w:rPr>
          <w:b/>
          <w:i w:val="0"/>
        </w:rPr>
        <w:t>That the reaction is cold in the everyday sense.</w:t>
      </w:r>
      <w:r>
        <w:rPr>
          <w:b w:val="0"/>
          <w:i w:val="0"/>
        </w:rPr>
        <w:t xml:space="preserve"> §1 says what the term is used to mean here and what it is not.</w:t>
      </w:r>
    </w:p>
    <w:p>
      <w:pPr>
        <w:spacing w:before="160" w:after="200"/>
        <w:ind w:left="461" w:right="259"/>
      </w:pPr>
      <w:r>
        <w:rPr>
          <w:b/>
          <w:i w:val="0"/>
        </w:rPr>
        <w:t>The reaction is proved from what has been witnessed. One configuration of it returns more energy than it costs, and every term in that balance is measured, sourced, or has a stated experiment that would measure it. The instructions for witnessing it are §6 to §8, and the measurements that would close its two open terms are §10.</w:t>
      </w:r>
      <w:r>
        <w:rPr>
          <w:b w:val="0"/>
          <w:i w:val="0"/>
        </w:rPr>
        <w:t xml:space="preserve"> That is the whole of the claim, and no part of it is larger than the evidence behind it.</w:t>
      </w:r>
    </w:p>
    <w:p>
      <w:r>
        <w:rPr>
          <w:b w:val="0"/>
          <w:i w:val="0"/>
        </w:rPr>
        <w:t>———</w:t>
      </w:r>
    </w:p>
    <w:p>
      <w:pPr>
        <w:spacing w:before="320" w:after="80"/>
      </w:pPr>
      <w:r>
        <w:rPr>
          <w:b/>
          <w:sz w:val="27"/>
        </w:rPr>
        <w:t>13.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13.1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13.2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§5.3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§3 gives the measured values.</w:t>
      </w:r>
    </w:p>
    <w:p>
      <w:pPr>
        <w:spacing w:before="240" w:after="80"/>
      </w:pPr>
      <w:r>
        <w:rPr>
          <w:b/>
          <w:sz w:val="23"/>
        </w:rPr>
        <w:t>13.3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§13.3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§6.3 states as a specification.</w:t>
      </w:r>
    </w:p>
    <w:p>
      <w:pPr>
        <w:spacing w:before="240" w:after="80"/>
      </w:pPr>
      <w:r>
        <w:rPr>
          <w:b/>
          <w:sz w:val="23"/>
        </w:rPr>
        <w:t>13.4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9" name="Picture 9"/>
            <wp:cNvGraphicFramePr>
              <a:graphicFrameLocks noChangeAspect="1"/>
            </wp:cNvGraphicFramePr>
            <a:graphic>
              <a:graphicData uri="http://schemas.openxmlformats.org/drawingml/2006/picture">
                <pic:pic>
                  <pic:nvPicPr>
                    <pic:cNvPr id="0" name="eq-e4e6f7c1977a.png"/>
                    <pic:cNvPicPr/>
                  </pic:nvPicPr>
                  <pic:blipFill>
                    <a:blip r:embed="rId16"/>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so the right-hand side of Proposition 1 is fixed. The left-hand side, E_b, is bounded </w:t>
      </w:r>
      <w:r>
        <w:rPr>
          <w:b/>
          <w:i w:val="0"/>
        </w:rPr>
        <w:t>below</w:t>
      </w:r>
      <w:r>
        <w:rPr>
          <w:b w:val="0"/>
          <w:i w:val="0"/>
        </w:rPr>
        <w:t xml:space="preserve"> by the cost of producing the parent particle, which §13.6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§10 can overturn it. ∎</w:t>
      </w:r>
    </w:p>
    <w:p>
      <w:r>
        <w:rPr>
          <w:b/>
          <w:i w:val="0"/>
        </w:rPr>
        <w:t>Remark.</w:t>
      </w:r>
      <w:r>
        <w:rPr>
          <w:b w:val="0"/>
          <w:i w:val="0"/>
        </w:rPr>
        <w:t xml:space="preserve"> Theorem 3 is what makes the co-product configuration of §9 the interesting one: it does not contradict the theorem, because it does not pay for the binder at all.</w:t>
      </w:r>
    </w:p>
    <w:p>
      <w:pPr>
        <w:spacing w:before="240" w:after="80"/>
      </w:pPr>
      <w:r>
        <w:rPr>
          <w:b/>
          <w:sz w:val="23"/>
        </w:rPr>
        <w:t>13.5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§7.1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§5.3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§5.4 computes, and the same corollary explains why that factor moves the bred-fuel requirement from 50.8 percent to 21.4 percent.</w:t>
      </w:r>
    </w:p>
    <w:p>
      <w:pPr>
        <w:spacing w:before="240" w:after="80"/>
      </w:pPr>
      <w:r>
        <w:rPr>
          <w:b/>
          <w:sz w:val="23"/>
        </w:rPr>
        <w:t>13.6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10" name="Picture 10"/>
            <wp:cNvGraphicFramePr>
              <a:graphicFrameLocks noChangeAspect="1"/>
            </wp:cNvGraphicFramePr>
            <a:graphic>
              <a:graphicData uri="http://schemas.openxmlformats.org/drawingml/2006/picture">
                <pic:pic>
                  <pic:nvPicPr>
                    <pic:cNvPr id="0" name="eq-d8719366983b.png"/>
                    <pic:cNvPicPr/>
                  </pic:nvPicPr>
                  <pic:blipFill>
                    <a:blip r:embed="rId17"/>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13.7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§7.4, and it is why the two alterations of §5.4 are not equally cheap.</w:t>
      </w:r>
    </w:p>
    <w:p>
      <w:pPr>
        <w:spacing w:before="240" w:after="80"/>
      </w:pPr>
      <w:r>
        <w:rPr>
          <w:b/>
          <w:sz w:val="23"/>
        </w:rPr>
        <w:t>13.8 The co-product configuration</w:t>
      </w:r>
    </w:p>
    <w:p>
      <w:pPr>
        <w:spacing w:before="160" w:after="200"/>
        <w:ind w:left="461" w:right="259"/>
      </w:pPr>
      <w:r>
        <w:rPr>
          <w:b/>
          <w:i w:val="0"/>
        </w:rPr>
        <w:t>Theorem 4 (co-product positivity).</w:t>
      </w:r>
      <w:r>
        <w:rPr>
          <w:b w:val="0"/>
          <w:i w:val="0"/>
        </w:rPr>
        <w:t xml:space="preserve"> </w:t>
      </w:r>
      <w:r>
        <w:rPr>
          <w:b w:val="0"/>
          <w:i/>
        </w:rPr>
        <w:t>Where the binder is a byproduct of a beam running for another purpose, the configuration returns net energy for any positive stopped fraction, and no loss factor can take it below unity.</w:t>
      </w:r>
    </w:p>
    <w:p>
      <w:r>
        <w:rPr>
          <w:b w:val="0"/>
          <w:i w:val="0"/>
        </w:rPr>
        <w:t>&gt;</w:t>
      </w:r>
    </w:p>
    <w:p>
      <w:pPr>
        <w:spacing w:before="160" w:after="200"/>
        <w:ind w:left="461" w:right="259"/>
      </w:pPr>
      <w:r>
        <w:rPr>
          <w:b w:val="0"/>
          <w:i/>
        </w:rPr>
        <w:t>Proof.</w:t>
      </w:r>
      <w:r>
        <w:rPr>
          <w:b w:val="0"/>
          <w:i w:val="0"/>
        </w:rPr>
        <w:t xml:space="preserve"> Let the driver deliver power P for a purpose that does not depend on the pions, and let μ be the marginal </w:t>
      </w:r>
      <w:r>
        <w:rPr>
          <w:b/>
          <w:i w:val="0"/>
        </w:rPr>
        <w:t>beam</w:t>
      </w:r>
      <w:r>
        <w:rPr>
          <w:b w:val="0"/>
          <w:i w:val="0"/>
        </w:rPr>
        <w:t xml:space="preserve"> energy attributable to one binder. Pions are produced in the same nuclear collisions that make the target's neutrons, by the same protons, in the same target; capturing them requires a collector but no additional beam. Hence μ = 0.</w:t>
      </w:r>
    </w:p>
    <w:p>
      <w:r>
        <w:rPr>
          <w:b w:val="0"/>
          <w:i w:val="0"/>
        </w:rPr>
        <w:t>&gt;</w:t>
      </w:r>
    </w:p>
    <w:p>
      <w:pPr>
        <w:spacing w:before="160" w:after="200"/>
        <w:ind w:left="461" w:right="259"/>
      </w:pPr>
      <w:r>
        <w:rPr>
          <w:b w:val="0"/>
          <w:i w:val="0"/>
        </w:rPr>
        <w:t>The fusion heat returned is H = n_μ N Q_fus with n_μ = Φ_π ηₛₜₒₚ the rate of stopped binders. The net return is H - n_μ μ = H &gt; 0 for any ηₛₜₒₚ &gt; 0.</w:t>
      </w:r>
    </w:p>
    <w:p>
      <w:r>
        <w:rPr>
          <w:b w:val="0"/>
          <w:i w:val="0"/>
        </w:rPr>
        <w:t>&gt;</w:t>
      </w:r>
    </w:p>
    <w:p>
      <w:pPr>
        <w:spacing w:before="160" w:after="200"/>
        <w:ind w:left="461" w:right="259"/>
      </w:pPr>
      <w:r>
        <w:rPr>
          <w:b/>
          <w:i w:val="0"/>
        </w:rPr>
        <w:t>The balance is therefore not a ratio against unity</w:t>
      </w:r>
      <w:r>
        <w:rPr>
          <w:b w:val="0"/>
          <w:i w:val="0"/>
        </w:rPr>
        <w:t xml:space="preserve">, and this is what distinguishes it from every other configuration in the paper. A loss factor f ∈ (0,1] applied to ηₛₜₒₚ rescales H to fH, which is smaller and still positive. Applying §5.2's budget takes the returned fraction from 12.0 percent to 8.56 percent of the driver's beam energy, and 85.6 kW on a 1 MW driver — </w:t>
      </w:r>
      <w:r>
        <w:rPr>
          <w:b/>
          <w:i w:val="0"/>
        </w:rPr>
        <w:t>a different number and the same conclusion.</w:t>
      </w:r>
      <w:r>
        <w:rPr>
          <w:b w:val="0"/>
          <w:i w:val="0"/>
        </w:rPr>
        <w:t xml:space="preserve"> ∎</w:t>
      </w:r>
    </w:p>
    <w:p>
      <w:r>
        <w:rPr>
          <w:b w:val="0"/>
          <w:i w:val="0"/>
        </w:rPr>
        <w:t xml:space="preserve">The premise of that theorem is about </w:t>
      </w:r>
      <w:r>
        <w:rPr>
          <w:b/>
          <w:i w:val="0"/>
        </w:rPr>
        <w:t>beam</w:t>
      </w:r>
      <w:r>
        <w:rPr>
          <w:b w:val="0"/>
          <w:i w:val="0"/>
        </w:rPr>
        <w:t>, and a reader is owed what it does not cover.</w:t>
      </w:r>
    </w:p>
    <w:p>
      <w:pPr>
        <w:spacing w:before="160" w:after="200"/>
        <w:ind w:left="461" w:right="259"/>
      </w:pPr>
      <w:r>
        <w:rPr>
          <w:b/>
          <w:i w:val="0"/>
        </w:rPr>
        <w:t>The premise is about beam, and there is a second cost the theorem does not carry.</w:t>
      </w:r>
      <w:r>
        <w:rPr>
          <w:b w:val="0"/>
          <w:i w:val="0"/>
        </w:rPr>
        <w:t xml:space="preserve"> Capturing the pions means putting a capture solenoid and a free liquid-metal jet around the host's production target, and a host running that target for </w:t>
      </w:r>
      <w:r>
        <w:rPr>
          <w:b/>
          <w:i w:val="0"/>
        </w:rPr>
        <w:t>neutrons</w:t>
      </w:r>
      <w:r>
        <w:rPr>
          <w:b w:val="0"/>
          <w:i w:val="0"/>
        </w:rPr>
        <w:t xml:space="preserve"> may get fewer of them, or get them with a different spectrum, than it would from the target it would otherwise have chosen. That is a real cost and </w:t>
      </w:r>
      <w:r>
        <w:rPr>
          <w:b/>
          <w:i w:val="0"/>
        </w:rPr>
        <w:t>this paper does not price it</w:t>
      </w:r>
      <w:r>
        <w:rPr>
          <w:b w:val="0"/>
          <w:i w:val="0"/>
        </w:rPr>
        <w:t>, because it depends on a host design this paper does not specify.</w:t>
      </w:r>
    </w:p>
    <w:p>
      <w:r>
        <w:rPr>
          <w:b w:val="0"/>
          <w:i w:val="0"/>
        </w:rPr>
        <w:t>&gt;</w:t>
      </w:r>
    </w:p>
    <w:p>
      <w:pPr>
        <w:spacing w:before="160" w:after="200"/>
        <w:ind w:left="461" w:right="259"/>
      </w:pPr>
      <w:r>
        <w:rPr>
          <w:b w:val="0"/>
          <w:i w:val="0"/>
        </w:rPr>
        <w:t xml:space="preserve">What can be said is the condition under which it does not matter. Writing L for the fraction of the host's own product lost to the change and Vₕₒₛₜ for the value of that product, the configuration is net-positive whenever H &gt; L\,Vₕₒₛₜ. With H at 8.56 percent of the beam energy, </w:t>
      </w:r>
      <w:r>
        <w:rPr>
          <w:b/>
          <w:i w:val="0"/>
        </w:rPr>
        <w:t>a host losing less than that fraction of its own output is ahead</w:t>
      </w:r>
      <w:r>
        <w:rPr>
          <w:b w:val="0"/>
          <w:i w:val="0"/>
        </w:rPr>
        <w:t xml:space="preserve">, and one losing more is not. §10 Stage D is where a specific host would measure L; until then the co-product result should be read as </w:t>
      </w:r>
      <w:r>
        <w:rPr>
          <w:b w:val="0"/>
          <w:i/>
        </w:rPr>
        <w:t>net-positive on beam</w:t>
      </w:r>
      <w:r>
        <w:rPr>
          <w:b w:val="0"/>
          <w:i w:val="0"/>
        </w:rPr>
        <w:t xml:space="preserve">, which is what is proved, rather than </w:t>
      </w:r>
      <w:r>
        <w:rPr>
          <w:b w:val="0"/>
          <w:i/>
        </w:rPr>
        <w:t>net-positive for the facility</w:t>
      </w:r>
      <w:r>
        <w:rPr>
          <w:b w:val="0"/>
          <w:i w:val="0"/>
        </w:rPr>
        <w:t>, which is not.</w:t>
      </w:r>
    </w:p>
    <w:p>
      <w:r>
        <w:rPr>
          <w:b/>
          <w:i w:val="0"/>
        </w:rPr>
        <w:t>Remark.</w:t>
      </w:r>
      <w:r>
        <w:rPr>
          <w:b w:val="0"/>
          <w:i w:val="0"/>
        </w:rPr>
        <w:t xml:space="preserve"> Theorem 4 does not contradict Theorem 3. Theorem 3 forbids a configuration that must buy its own binders from paying for itself; Theorem 4 describes one that does not buy them.</w:t>
      </w:r>
    </w:p>
    <w:p>
      <w:pPr>
        <w:spacing w:before="240" w:after="80"/>
      </w:pPr>
      <w:r>
        <w:rPr>
          <w:b/>
          <w:sz w:val="23"/>
        </w:rPr>
        <w:t>13.9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§5.2's loss budget is a product of five terms, each derived, but the product has never been measured end to end. §10 Stage A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§5.4 is a published optimisation. Three candidate mechanisms for the discrepancy against this paper's 11.13 GeV were examined and bounded, and what survives is a normalisation requiring 2.389 interacting nucleons. §10 Stage C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§8's protocol chooses, and §8.4 commits in advance to reporting a bound rather than an average if the two routes disagree.</w:t>
      </w:r>
    </w:p>
    <w:p>
      <w:pPr>
        <w:spacing w:before="320" w:after="80"/>
      </w:pPr>
      <w:r>
        <w:rPr>
          <w:b/>
          <w:sz w:val="27"/>
        </w:rPr>
        <w:t>14.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