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xml:space="preserve"> is a nuclear fusion event in which the approach to nuclear separation is supplied by molecular binding geometry rather than by kinetic energy. Seven conditions are necessary for such an event to occur and be verifiable. Applied to the closed index of charged particles they admit </w:t>
      </w:r>
      <w:r>
        <w:rPr>
          <w:b/>
          <w:i w:val="0"/>
        </w:rPr>
        <w:t>exactly one</w:t>
      </w:r>
      <w:r>
        <w:rPr>
          <w:b w:val="0"/>
          <w:i w:val="0"/>
        </w:rPr>
        <w:t xml:space="preserve"> realisation — the negative muon — because a structural window on the binder mass, 119 electron masses to 918 electron masses, contains one leptonic occupant and no other.</w:t>
      </w:r>
    </w:p>
    <w:p>
      <w:r>
        <w:rPr>
          <w:b w:val="0"/>
          <w:i w:val="0"/>
        </w:rPr>
        <w:t>That reaction is witnessed. What has never been witnessed is a configuration of it that returns more energy than it costs, and this paper is about the difference between those two statements.</w:t>
      </w:r>
    </w:p>
    <w:p>
      <w:r>
        <w:rPr>
          <w:b w:val="0"/>
          <w:i w:val="0"/>
        </w:rPr>
        <w:t xml:space="preserve">An </w:t>
      </w:r>
      <w:r>
        <w:rPr>
          <w:b/>
          <w:i w:val="0"/>
        </w:rPr>
        <w:t>eighth condition</w:t>
      </w:r>
      <w:r>
        <w:rPr>
          <w:b w:val="0"/>
          <w:i w:val="0"/>
        </w:rPr>
        <w:t xml:space="preserve"> is added to the seven: a binder is worth making only if </w:t>
      </w:r>
      <w:r>
        <w:rPr>
          <w:rFonts w:ascii="Consolas" w:hAnsi="Consolas"/>
          <w:b w:val="0"/>
          <w:i w:val="0"/>
          <w:sz w:val="19"/>
        </w:rPr>
        <w:t>E_binder &lt; Q_fus · f_work / ω_s</w:t>
      </w:r>
      <w:r>
        <w:rPr>
          <w:b w:val="0"/>
          <w:i w:val="0"/>
        </w:rPr>
        <w:t xml:space="preserve">. Against a sourced production-and-capture cost of 37.0 GeV per captured μ⁻ the figure of merit is 0.203 as heat and 0.102 as work. Integrating the measured double-differential pion production cross sections puts </w:t>
      </w:r>
      <w:r>
        <w:rPr>
          <w:b/>
          <w:i w:val="0"/>
        </w:rPr>
        <w:t>production alone</w:t>
      </w:r>
      <w:r>
        <w:rPr>
          <w:b w:val="0"/>
          <w:i w:val="0"/>
        </w:rPr>
        <w:t xml:space="preserve"> at 11.13 GeV per pion, so </w:t>
      </w:r>
      <w:r>
        <w:rPr>
          <w:b/>
          <w:i w:val="0"/>
        </w:rPr>
        <w:t>collection efficiency cannot satisfy condition 8 on its own</w:t>
      </w:r>
      <w:r>
        <w:rPr>
          <w:b w:val="0"/>
          <w:i w:val="0"/>
        </w:rPr>
        <w:t xml:space="preserve">: a perfect collector still leaves the heat form short. Three results move the balance and one closes it. Sticking is </w:t>
      </w:r>
      <w:r>
        <w:rPr>
          <w:b/>
          <w:i w:val="0"/>
        </w:rPr>
        <w:t>binder-mass independent</w:t>
      </w:r>
      <w:r>
        <w:rPr>
          <w:b w:val="0"/>
          <w:i w:val="0"/>
        </w:rPr>
        <w:t xml:space="preserve">, so condition 8 is a specification rather than a search. The convertible fraction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does to its own figures what it does to the literature's. Every balance it states is stated </w:t>
      </w:r>
      <w:r>
        <w:rPr>
          <w:b w:val="0"/>
          <w:i/>
        </w:rPr>
        <w:t>at</w:t>
      </w:r>
      <w:r>
        <w:rPr>
          <w:b w:val="0"/>
          <w:i w:val="0"/>
        </w:rPr>
        <w:t xml:space="preserve"> some collection efficiency, and an acceptance is not a delivered efficiency. Computing every loss between a produced pion and a stopped binder gives a budget of 0.7127, and the solenoid's own stopping ceiling is 0.5069; the delivered acceptance is therefore 31.66 percent and not the 90 percent [DESIGN] the balances were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i w:val="0"/>
        </w:rPr>
        <w:t>The machine is not required to be left as built, and §5.4 prices the alterations against every balance rather than against one.</w:t>
      </w:r>
      <w:r>
        <w:rPr>
          <w:b w:val="0"/>
          <w:i w:val="0"/>
        </w:rPr>
        <w:t xml:space="preserve"> The optimised production target this paper specifies is worth 2.373 on any of them. It takes bred fuel at the demonstrated cycle count to 1.480 — the route §10 measures first — and it takes the </w:t>
      </w:r>
      <w:r>
        <w:rPr>
          <w:b/>
          <w:i w:val="0"/>
        </w:rPr>
        <w:t>heat</w:t>
      </w:r>
      <w:r>
        <w:rPr>
          <w:b w:val="0"/>
          <w:i w:val="0"/>
        </w:rPr>
        <w:t xml:space="preserve"> form, on the bound-case service life, to 1.036 and to 1.231 at the wider bore. </w:t>
      </w:r>
      <w:r>
        <w:rPr>
          <w:b/>
          <w:i w:val="0"/>
        </w:rPr>
        <w:t>A device-internal route therefore clears unity, conditionally</w:t>
      </w:r>
      <w:r>
        <w:rPr>
          <w:b w:val="0"/>
          <w:i w:val="0"/>
        </w:rPr>
        <w:t>: on Stage C confirming that target, on a service-life model §11 says over-predicts, and on the reading of "inside the device" that counts the blanket. Counting the neutron at its bare heat instead, the same alteration reaches only 0.3344, and nothing here clears.</w:t>
      </w:r>
    </w:p>
    <w:p>
      <w:r>
        <w:rPr>
          <w:b w:val="0"/>
          <w:i w:val="0"/>
        </w:rPr>
        <w:t xml:space="preserve">One configuration is net-positive on witnessed numbers alone, and it is not the standalone one. Pions are a byproduct of spallation: a facility already running a proton driver for neutrons or isotopes is making binders and discarding them, so the marginal beam energy per binder is </w:t>
      </w:r>
      <w:r>
        <w:rPr>
          <w:b/>
          <w:i w:val="0"/>
        </w:rPr>
        <w:t>zero</w:t>
      </w:r>
      <w:r>
        <w:rPr>
          <w:b w:val="0"/>
          <w:i w:val="0"/>
        </w:rPr>
        <w:t xml:space="preserve"> and any positive heat is gain. At the reachable capture of 0.2438 that is 85.6 kW of fusion heat on a one-megawatt driver. </w:t>
      </w:r>
      <w:r>
        <w:rPr>
          <w:b/>
          <w:i w:val="0"/>
        </w:rPr>
        <w:t>It is the one result here that a loss factor rescales without deciding</w:t>
      </w:r>
      <w:r>
        <w:rPr>
          <w:b w:val="0"/>
          <w:i w:val="0"/>
        </w:rPr>
        <w:t>, because it was never a ratio against unity.</w:t>
      </w:r>
    </w:p>
    <w:p>
      <w:r>
        <w:rPr>
          <w:b w:val="0"/>
          <w:i w:val="0"/>
        </w:rPr>
        <w:t>The materials are specified to the last free parameter, the machine that supplies the binders is designed as a build package, and the laboratory programme is four staged measurements on apparatus that exists — the acceptance measurement first, because it multiplies every balance identically.</w:t>
      </w:r>
    </w:p>
    <w:p>
      <w:r>
        <w:rPr>
          <w:b w:val="0"/>
          <w:i w:val="0"/>
        </w:rPr>
        <w:t>———</w:t>
      </w:r>
    </w:p>
    <w:p>
      <w:pPr>
        <w:spacing w:before="320" w:after="80"/>
      </w:pPr>
      <w:r>
        <w:rPr>
          <w:b/>
          <w:sz w:val="27"/>
        </w:rPr>
        <w:t>1. The definition, and the seven conditions</w:t>
      </w:r>
    </w:p>
    <w:p>
      <w:r>
        <w:rPr>
          <w:b/>
          <w:i w:val="0"/>
        </w:rPr>
        <w:t>A cold fusion reaction is a nuclear fusion event in which the approach to nuclear separation is supplied by molecular binding geometry rather than by kinetic energy.</w:t>
      </w:r>
      <w:r>
        <w:rPr>
          <w:b w:val="0"/>
          <w:i w:val="0"/>
        </w:rPr>
        <w:t xml:space="preserve"> The definition is structural, not thermal. It does not say the reaction is cold in the sense of being near room temperature; it says the work of bringing two nuclei within tunnelling range is done by a bound state rather than by a collision.</w:t>
      </w:r>
    </w:p>
    <w:p>
      <w:r>
        <w:rPr>
          <w:b w:val="0"/>
          <w:i w:val="0"/>
        </w:rPr>
        <w:t>Seven conditions are necessary for such an event to occur and to be verifiable.</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i w:val="0"/>
        </w:rPr>
        <w:t>Condition 2 is what excludes the electronic case, and it excludes it by a margin nothing repairs.</w:t>
      </w:r>
      <w:r>
        <w:rPr>
          <w:b w:val="0"/>
          <w:i w:val="0"/>
        </w:rPr>
        <w:t xml:space="preserve"> The internuclear separation in a muonic </w:t>
      </w:r>
      <w:r>
        <w:rPr>
          <w:b w:val="0"/>
          <w:i/>
        </w:rPr>
        <w:t>dt</w:t>
      </w:r>
      <w:r>
        <w:rPr>
          <w:b w:val="0"/>
          <w:i w:val="0"/>
        </w:rPr>
        <w:t xml:space="preserve"> molecule is 280 fm; in the electronic molecule it is 74100 fm. That is some ninety-one orders of magnitude in the tunnelling rate, and no arrangement of ordinary chemistry closes it.</w:t>
      </w:r>
    </w:p>
    <w:p>
      <w:r>
        <w:rPr>
          <w:b/>
          <w:i w:val="0"/>
        </w:rPr>
        <w:t>Ambient screening does not close it either, and the reason is a conservation argument rather than a measurement.</w:t>
      </w:r>
      <w:r>
        <w:rPr>
          <w:b w:val="0"/>
          <w:i w:val="0"/>
        </w:rPr>
        <w:t xml:space="preserve"> Reaching the required approach by screening alone would need 88 eV of static screening where the ceiling available in condensed matter is 30 eV — short by 2.9, which is 27 orders of magnitude in the rate. A vibrational quantum in D₂ is 0.365 eV, which is the scale of the energy actually on offer.</w:t>
      </w:r>
    </w:p>
    <w:p>
      <w:pPr>
        <w:spacing w:before="320" w:after="80"/>
      </w:pPr>
      <w:r>
        <w:rPr>
          <w:b/>
          <w:sz w:val="27"/>
        </w:rPr>
        <w:t>2. The unique realisation</w:t>
      </w:r>
    </w:p>
    <w:p>
      <w:r>
        <w:rPr>
          <w:b/>
          <w:i w:val="0"/>
        </w:rPr>
        <w:t>The seven conditions, applied to the closed index of charged particles, admit exactly one realisation.</w:t>
      </w:r>
      <w:r>
        <w:rPr>
          <w:b w:val="0"/>
          <w:i w:val="0"/>
        </w:rPr>
        <w:t xml:space="preserve"> Condition 2 sets a lower bound on the binder mass, because separation scales inversely with it; conditions 3 and 4 set an upper bound, because a binder heavy enough to be absorbed by a nucleus before the cycle completes catalyses nothing. Those two bounds define a </w:t>
      </w:r>
      <w:r>
        <w:rPr>
          <w:b/>
          <w:i w:val="0"/>
        </w:rPr>
        <w:t>structural window</w:t>
      </w:r>
      <w:r>
        <w:rPr>
          <w:b w:val="0"/>
          <w:i w:val="0"/>
        </w:rPr>
        <w:t xml:space="preserve"> of 119 electron masses to 918 electron masses.</w:t>
      </w:r>
    </w:p>
    <w:p>
      <w:r>
        <w:rPr>
          <w:b/>
          <w:i w:val="0"/>
        </w:rPr>
        <w:t>Exactly one particle in the known spectrum sits in that window</w:t>
      </w:r>
      <w:r>
        <w:rPr>
          <w:b w:val="0"/>
          <w:i w:val="0"/>
        </w:rPr>
        <w:t>: the muon, at 207 electron masses, which is 1.74 above the window's floor. Every other candidate is excluded, and the exclusions are not close.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i w:val="0"/>
        </w:rPr>
        <w:t>And only the negative muon.</w:t>
      </w:r>
      <w:r>
        <w:rPr>
          <w:b w:val="0"/>
          <w:i w:val="0"/>
        </w:rPr>
        <w:t xml:space="preserve"> A positive muon forms muonium and never binds two nuclei, so the species question is settled by charge before it is settled by anything else — a point §5 returns to, because it decides what the production target must be made of.</w:t>
      </w:r>
    </w:p>
    <w:p>
      <w:r>
        <w:rPr>
          <w:b/>
          <w:i w:val="0"/>
        </w:rPr>
        <w:t>The reaction is therefore not hypothetical.</w:t>
      </w:r>
      <w:r>
        <w:rPr>
          <w:b w:val="0"/>
          <w:i w:val="0"/>
        </w:rPr>
        <w:t xml:space="preserve"> μ⁻ + (d,t) → (dtμ)⁺ → ⁴He + n + μ⁻ + 17.59 MeV has been observed in laboratories since the 1950s, and its cycle rates, sticking fractions and ash have been measured. </w:t>
      </w:r>
      <w:r>
        <w:rPr>
          <w:b/>
          <w:i w:val="0"/>
        </w:rPr>
        <w:t>What is unwitnessed is a configuration of it that pays for itself.</w:t>
      </w:r>
    </w:p>
    <w:p>
      <w:pPr>
        <w:spacing w:before="320" w:after="80"/>
      </w:pPr>
      <w:r>
        <w:rPr>
          <w:b/>
          <w:sz w:val="27"/>
        </w:rPr>
        <w:t>3. The eighth condition</w:t>
      </w:r>
    </w:p>
    <w:p>
      <w:r>
        <w:rPr>
          <w:b w:val="0"/>
          <w:i w:val="0"/>
        </w:rPr>
        <w:t xml:space="preserve">The seven conditions decide whether the reaction </w:t>
      </w:r>
      <w:r>
        <w:rPr>
          <w:b w:val="0"/>
          <w:i/>
        </w:rPr>
        <w:t>occurs</w:t>
      </w:r>
      <w:r>
        <w:rPr>
          <w:b w:val="0"/>
          <w:i w:val="0"/>
        </w:rPr>
        <w:t xml:space="preserve">. None of them decides whether it is </w:t>
      </w:r>
      <w:r>
        <w:rPr>
          <w:b w:val="0"/>
          <w:i/>
        </w:rPr>
        <w:t>worth running</w:t>
      </w:r>
      <w:r>
        <w:rPr>
          <w:b w:val="0"/>
          <w:i w:val="0"/>
        </w:rPr>
        <w:t>, and the difference between those two questions is the whole of what remains unwitnessed.</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the total a single binder can return before it is lost: </w:t>
      </w:r>
      <w:r>
        <w:rPr>
          <w:rFonts w:ascii="Consolas" w:hAnsi="Consolas"/>
          <w:b w:val="0"/>
          <w:i w:val="0"/>
          <w:sz w:val="19"/>
        </w:rPr>
        <w:t>1/ω_s</w:t>
      </w:r>
      <w:r>
        <w:rPr>
          <w:b w:val="0"/>
          <w:i w:val="0"/>
        </w:rPr>
        <w:t xml:space="preserve"> is its service life in cycles, and each cycle yields </w:t>
      </w:r>
      <w:r>
        <w:rPr>
          <w:rFonts w:ascii="Consolas" w:hAnsi="Consolas"/>
          <w:b w:val="0"/>
          <w:i w:val="0"/>
          <w:sz w:val="19"/>
        </w:rPr>
        <w:t>Q_fus · f_work</w:t>
      </w:r>
      <w:r>
        <w:rPr>
          <w:b w:val="0"/>
          <w:i w:val="0"/>
        </w:rPr>
        <w:t xml:space="preserve">. </w:t>
      </w:r>
      <w:r>
        <w:rPr>
          <w:b/>
          <w:i w:val="0"/>
        </w:rPr>
        <w:t>Condition 8 is therefore not an efficiency target but an accounting identity</w:t>
      </w:r>
      <w:r>
        <w:rPr>
          <w:b w:val="0"/>
          <w:i w:val="0"/>
        </w:rPr>
        <w:t>, and every quantity in it has been measured.</w:t>
      </w:r>
    </w:p>
    <w:p>
      <w:r>
        <w:rPr>
          <w:b/>
          <w:i w:val="0"/>
        </w:rPr>
        <w:t>Two conventions, and the paper carries both.</w:t>
      </w:r>
      <w:r>
        <w:rPr>
          <w:b w:val="0"/>
          <w:i w:val="0"/>
        </w:rPr>
        <w:t xml:space="preserve"> </w:t>
      </w:r>
      <w:r>
        <w:rPr>
          <w:rFonts w:ascii="Consolas" w:hAnsi="Consolas"/>
          <w:b w:val="0"/>
          <w:i w:val="0"/>
          <w:sz w:val="19"/>
        </w:rPr>
        <w:t>f_work</w:t>
      </w:r>
      <w:r>
        <w:rPr>
          <w:b w:val="0"/>
          <w:i w:val="0"/>
        </w:rPr>
        <w:t xml:space="preserve"> counts either the heat delivered or the electrical work recoverable from it, and the two give different bounds: 7.52 GeV as heat and 3.77 GeV as work. A figure quoted without its convention is not a figure, and this paper never quotes one that way.</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and is lost from the cycle. It is the term everyone has tried to improve.</w:t>
      </w:r>
    </w:p>
    <w:p>
      <w:r>
        <w:rPr>
          <w:b/>
          <w:i w:val="0"/>
        </w:rPr>
        <w:t>It cannot be improved by changing the binder, because the binder's mass cancels out of the overlap integral that defines it.</w:t>
      </w:r>
      <w:r>
        <w:rPr>
          <w:b w:val="0"/>
          <w:i w:val="0"/>
        </w:rPr>
        <w:t xml:space="preserve"> Sticking is fixed by the ratio of the muonic orbit to the alpha's recoil momentum, and both scale with the binder mass in the same way. </w:t>
      </w:r>
      <w:r>
        <w:rPr>
          <w:b/>
          <w:i w:val="0"/>
        </w:rPr>
        <w:t>This has a consequence that is larger than the calculation</w:t>
      </w:r>
      <w:r>
        <w:rPr>
          <w:b w:val="0"/>
          <w:i w:val="0"/>
        </w:rPr>
        <w:t xml:space="preserve">: condition 8 cannot be satisfied by looking for a better particle. It is a specification on the </w:t>
      </w:r>
      <w:r>
        <w:rPr>
          <w:b w:val="0"/>
          <w:i/>
        </w:rPr>
        <w:t>machine</w:t>
      </w:r>
      <w:r>
        <w:rPr>
          <w:b w:val="0"/>
          <w:i w:val="0"/>
        </w:rPr>
        <w:t xml:space="preserve">, not a search over the </w:t>
      </w:r>
      <w:r>
        <w:rPr>
          <w:b w:val="0"/>
          <w:i/>
        </w:rPr>
        <w:t>spectrum</w:t>
      </w:r>
      <w:r>
        <w:rPr>
          <w:b w:val="0"/>
          <w:i w:val="0"/>
        </w:rPr>
        <w:t xml:space="preserve"> — and §2's window already showed there is no other occupant to search.</w:t>
      </w:r>
    </w:p>
    <w:p>
      <w:r>
        <w:rPr>
          <w:b/>
          <w:i w:val="0"/>
        </w:rPr>
        <w:t>The measured values straddle the decision.</w:t>
      </w:r>
      <w:r>
        <w:rPr>
          <w:b w:val="0"/>
          <w:i w:val="0"/>
        </w:rPr>
        <w:t xml:space="preserve"> Two published final stickings, 0.45 percent from SIN and 0.56 percent from PSI, sit either side of the break-point this paper computes at 0.1580 percent. Which of them is right decides whether the heat form of condition 8 is satisfied at perfect collection, and </w:t>
      </w:r>
      <w:r>
        <w:rPr>
          <w:b/>
          <w:i w:val="0"/>
        </w:rPr>
        <w:t>no calculation here stands in for that measurement</w:t>
      </w:r>
      <w:r>
        <w:rPr>
          <w:b w:val="0"/>
          <w:i w:val="0"/>
        </w:rPr>
        <w:t xml:space="preserve"> — §9 states the protocol that settles it.</w:t>
      </w:r>
    </w:p>
    <w:p>
      <w:pPr>
        <w:spacing w:before="320" w:after="80"/>
      </w:pPr>
      <w:r>
        <w:rPr>
          <w:b/>
          <w:sz w:val="27"/>
        </w:rPr>
        <w:t>4. What the binder costs, measured rather than assumed</w:t>
      </w:r>
    </w:p>
    <w:p>
      <w:r>
        <w:rPr>
          <w:b/>
          <w:i w:val="0"/>
        </w:rPr>
        <w:t>A collection efficiency is a ratio, and a ratio needs a denominator that was measured.</w:t>
      </w:r>
      <w:r>
        <w:rPr>
          <w:b w:val="0"/>
          <w:i w:val="0"/>
        </w:rPr>
        <w:t xml:space="preserve"> The figure of merit above rests on 37.0 GeV per captured μ⁻, which is a sourced end-to-end number for a machine built for another purpose. This section replaces it with a floor computed from the production physics, because a floor cannot be argued away by a better collector.</w:t>
      </w:r>
    </w:p>
    <w:p>
      <w:pPr>
        <w:spacing w:before="240" w:after="80"/>
      </w:pPr>
      <w:r>
        <w:rPr>
          <w:b/>
          <w:sz w:val="23"/>
        </w:rPr>
        <w:t>4.1 Production, integrated from measured cross sections</w:t>
      </w:r>
    </w:p>
    <w:p>
      <w:r>
        <w:rPr>
          <w:b w:val="0"/>
          <w:i w:val="0"/>
        </w:rPr>
        <w:t>Pion production has been measured double-differentially, and the integration is arithmetic rather than modelling. Over the large-angle acceptance — 0.35 rad to 2.15 rad, momenta to 0.80 GeV/c, at a beam of 8 GeV/c — the integrated π⁻ cross section on a heavy target is 1.0382 barn, which is 0.6107 π⁻ per proton. The forward acceptance, 0.025 rad to 0.25 rad, adds 0.1838 barn. Combined, production is 0.7188 π⁻ per proton, and at the beam energy that costs 11.13 GeV per pion.</w:t>
      </w:r>
    </w:p>
    <w:p>
      <w:pPr>
        <w:spacing w:before="160" w:after="200"/>
        <w:ind w:left="461" w:right="259"/>
      </w:pPr>
      <w:r>
        <w:rPr>
          <w:b/>
          <w:i w:val="0"/>
        </w:rPr>
        <w:t>Collection efficiency cannot satisfy condition 8 on its own.</w:t>
      </w:r>
      <w:r>
        <w:rPr>
          <w:b w:val="0"/>
          <w:i w:val="0"/>
        </w:rPr>
        <w:t xml:space="preserve"> 11.13 GeV is what the pion costs before any collector exists. Against the heat bound of 7.52 GeV a </w:t>
      </w:r>
      <w:r>
        <w:rPr>
          <w:b/>
          <w:i w:val="0"/>
        </w:rPr>
        <w:t>perfect</w:t>
      </w:r>
      <w:r>
        <w:rPr>
          <w:b w:val="0"/>
          <w:i w:val="0"/>
        </w:rPr>
        <w:t xml:space="preserve"> collector — every pion produced becoming a stopped binder, which no machine approaches — still leaves the heat form short. The gap is not in the collector.</w:t>
      </w:r>
    </w:p>
    <w:p>
      <w:r>
        <w:rPr>
          <w:b/>
          <w:i w:val="0"/>
        </w:rPr>
        <w:t>The forward hemisphere is the large one</w:t>
      </w:r>
      <w:r>
        <w:rPr>
          <w:b w:val="0"/>
          <w:i w:val="0"/>
        </w:rPr>
        <w:t>, at 15 percent of combined production against the backward sliver's 35 percent of the measured acceptance. This matters because the built front end captures the forward hemisphere, and a claim that a reactor could gain a large factor by capturing the other one is a claim about the smaller half.</w:t>
      </w:r>
    </w:p>
    <w:p>
      <w:pPr>
        <w:spacing w:before="240" w:after="80"/>
      </w:pPr>
      <w:r>
        <w:rPr>
          <w:b/>
          <w:sz w:val="23"/>
        </w:rPr>
        <w:t>4.2 Three results that move the balance</w:t>
      </w:r>
    </w:p>
    <w:p>
      <w:r>
        <w:rPr>
          <w:b/>
          <w:i w:val="0"/>
        </w:rPr>
        <w:t>First, the convertible fraction was an accounting choice rather than a limit.</w:t>
      </w:r>
      <w:r>
        <w:rPr>
          <w:b w:val="0"/>
          <w:i w:val="0"/>
        </w:rPr>
        <w:t xml:space="preserve"> Counting only the neutron gives 0.501. Counting the alpha at the hot operating point the design already requires, and including the exothermic ⁶Li breeding a </w:t>
      </w:r>
      <w:r>
        <w:rPr>
          <w:b w:val="0"/>
          <w:i/>
        </w:rPr>
        <w:t>d</w:t>
      </w:r>
      <w:r>
        <w:rPr>
          <w:b w:val="0"/>
          <w:i w:val="0"/>
        </w:rPr>
        <w:t>–</w:t>
      </w:r>
      <w:r>
        <w:rPr>
          <w:b w:val="0"/>
          <w:i/>
        </w:rPr>
        <w:t>t</w:t>
      </w:r>
      <w:r>
        <w:rPr>
          <w:b w:val="0"/>
          <w:i w:val="0"/>
        </w:rPr>
        <w:t xml:space="preserve"> cycle must run anyway, gives 0.795. Nothing was added to the physics; a term was stopped being discarded.</w:t>
      </w:r>
    </w:p>
    <w:p>
      <w:r>
        <w:rPr>
          <w:b/>
          <w:i w:val="0"/>
        </w:rPr>
        <w:t>Second, the neutron is worth more than its heat.</w:t>
      </w:r>
      <w:r>
        <w:rPr>
          <w:b w:val="0"/>
          <w:i w:val="0"/>
        </w:rPr>
        <w:t xml:space="preserve"> Priced as heat a fusion returns 26.06 MeV. Priced as </w:t>
      </w:r>
      <w:r>
        <w:rPr>
          <w:b/>
          <w:i w:val="0"/>
        </w:rPr>
        <w:t>bred fuel</w:t>
      </w:r>
      <w:r>
        <w:rPr>
          <w:b w:val="0"/>
          <w:i w:val="0"/>
        </w:rPr>
        <w:t xml:space="preserve"> — the neutron breeding tritium and fissile material in a blanket a </w:t>
      </w:r>
      <w:r>
        <w:rPr>
          <w:b w:val="0"/>
          <w:i/>
        </w:rPr>
        <w:t>d</w:t>
      </w:r>
      <w:r>
        <w:rPr>
          <w:b w:val="0"/>
          <w:i w:val="0"/>
        </w:rPr>
        <w:t>–</w:t>
      </w:r>
      <w:r>
        <w:rPr>
          <w:b w:val="0"/>
          <w:i/>
        </w:rPr>
        <w:t>t</w:t>
      </w:r>
      <w:r>
        <w:rPr>
          <w:b w:val="0"/>
          <w:i w:val="0"/>
        </w:rPr>
        <w:t xml:space="preserve"> plant must have — the same fusion returns 146.06 MeV. This is not an improvement to the reaction. It is the same reaction, the same binder, the same cycle, priced against what its neutron is actually worth.</w:t>
      </w:r>
    </w:p>
    <w:p>
      <w:r>
        <w:rPr>
          <w:b/>
          <w:i w:val="0"/>
        </w:rPr>
        <w:t>Third, the question the balance should be asked is the inverse one.</w:t>
      </w:r>
      <w:r>
        <w:rPr>
          <w:b w:val="0"/>
          <w:i w:val="0"/>
        </w:rPr>
        <w:t xml:space="preserve"> Rather than assuming a collector and computing a gain, set each balance to unity and solve for the collection efficiency at which the product breaks even.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i w:val="0"/>
        </w:rPr>
        <w:t>The result is a separation, not a margin.</w:t>
      </w:r>
      <w:r>
        <w:rPr>
          <w:b w:val="0"/>
          <w:i w:val="0"/>
        </w:rPr>
        <w:t xml:space="preserve"> Electricity is not robust: it needs 299.6 percent collection </w:t>
      </w:r>
      <w:r>
        <w:rPr>
          <w:b w:val="0"/>
          <w:i/>
        </w:rPr>
        <w:t>and</w:t>
      </w:r>
      <w:r>
        <w:rPr>
          <w:b w:val="0"/>
          <w:i w:val="0"/>
        </w:rPr>
        <w:t xml:space="preserve"> the bound-case density </w:t>
      </w:r>
      <w:r>
        <w:rPr>
          <w:b w:val="0"/>
          <w:i/>
        </w:rPr>
        <w:t>and</w:t>
      </w:r>
      <w:r>
        <w:rPr>
          <w:b w:val="0"/>
          <w:i w:val="0"/>
        </w:rPr>
        <w:t xml:space="preserve"> the favourable sticking branch, all three together. </w:t>
      </w:r>
      <w:r>
        <w:rPr>
          <w:b/>
          <w:i w:val="0"/>
        </w:rPr>
        <w:t>Bred fuel at the demonstrated 150 cycles</w:t>
      </w:r>
      <w:r>
        <w:rPr>
          <w:b w:val="0"/>
          <w:i w:val="0"/>
        </w:rPr>
        <w:t xml:space="preserve"> asks nothing of the density axis, nothing of the sticking measurement, and nothing of reactivation. It is a collector specification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is below </w:t>
      </w:r>
      <w:r>
        <w:rPr>
          <w:rFonts w:ascii="Consolas" w:hAnsi="Consolas"/>
          <w:b w:val="0"/>
          <w:i w:val="0"/>
          <w:sz w:val="19"/>
        </w:rPr>
        <w:t>p_T = 0.15 · B · R</w:t>
      </w:r>
      <w:r>
        <w:rPr>
          <w:b w:val="0"/>
          <w:i w:val="0"/>
        </w:rPr>
        <w:t xml:space="preserve">. </w:t>
      </w:r>
      <w:r>
        <w:rPr>
          <w:b/>
          <w:i w:val="0"/>
        </w:rPr>
        <w:t>Field and bore trade against each other at fixed capture</w:t>
      </w:r>
      <w:r>
        <w:rPr>
          <w:b w:val="0"/>
          <w:i w:val="0"/>
        </w:rPr>
        <w:t xml:space="preserve">, so the acceptance is set by the product </w:t>
      </w:r>
      <w:r>
        <w:rPr>
          <w:rFonts w:ascii="Consolas" w:hAnsi="Consolas"/>
          <w:b w:val="0"/>
          <w:i w:val="0"/>
          <w:sz w:val="19"/>
        </w:rPr>
        <w:t>B·R</w:t>
      </w:r>
      <w:r>
        <w:rPr>
          <w:b w:val="0"/>
          <w:i w:val="0"/>
        </w:rPr>
        <w:t xml:space="preserve"> and not by the field. The best studied front end runs 20 T on a bore giving an aperture product of 1.50 T.m; reaching the specified collector's target needs 2.60 T.m, a factor of 1.74.</w:t>
      </w:r>
    </w:p>
    <w:p>
      <w:r>
        <w:rPr>
          <w:b/>
          <w:i w:val="0"/>
        </w:rPr>
        <w:t>The acceptance is then a calculation rather than an assumption</w:t>
      </w:r>
      <w:r>
        <w:rPr>
          <w:b w:val="0"/>
          <w:i w:val="0"/>
        </w:rPr>
        <w:t xml:space="preserve"> — production, the transverse cap, the two-body pion decay integrated over the pion rest frame, and finally a momentum requirement. Run over the built machine's own configuration, the model returns 29.51 percent against that machine's published simulation,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i w:val="0"/>
        </w:rPr>
        <w:t>Every balance stated so far is stated at some collection efficiency, and none of those efficiencies is a delivered one.</w:t>
      </w:r>
      <w:r>
        <w:rPr>
          <w:b w:val="0"/>
          <w:i w:val="0"/>
        </w:rPr>
        <w:t xml:space="preserve"> Two results stand between an acceptance and a stopped binder, and every balance above must be read through them.</w:t>
      </w:r>
    </w:p>
    <w:p>
      <w:r>
        <w:rPr>
          <w:b/>
          <w:i w:val="0"/>
        </w:rPr>
        <w:t>A muon the solenoid accepts but the fuel does not stop is not a binder.</w:t>
      </w:r>
      <w:r>
        <w:rPr>
          <w:b w:val="0"/>
          <w:i w:val="0"/>
        </w:rPr>
        <w:t xml:space="preserve"> A stopping target is one muon range deep, so it stops only the part of the accepted spectrum below its range. The ceiling on capture is therefore the solenoid's own acceptance, 0.5069, which </w:t>
      </w:r>
      <w:r>
        <w:rPr>
          <w:b/>
          <w:i w:val="0"/>
        </w:rPr>
        <w:t>no target depth exceeds</w:t>
      </w:r>
      <w:r>
        <w:rPr>
          <w:b w:val="0"/>
          <w:i w:val="0"/>
        </w:rPr>
        <w:t xml:space="preserve"> and which only tens of kilogrammes of tritium approach.</w:t>
      </w:r>
    </w:p>
    <w:p>
      <w:r>
        <w:rPr>
          <w:b/>
          <w:i w:val="0"/>
        </w:rPr>
        <w:t>And every loss between a produced pion and a stopped binder is computable.</w:t>
      </w:r>
      <w:r>
        <w:rPr>
          <w:b w:val="0"/>
          <w:i w:val="0"/>
        </w:rPr>
        <w:t xml:space="preserve"> They are: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spacing w:before="240" w:after="80"/>
      </w:pPr>
      <w:r>
        <w:rPr>
          <w:b/>
          <w:sz w:val="23"/>
        </w:rPr>
        <w:t>5.3 Every balance at the acceptance actually delivered</w:t>
      </w:r>
    </w:p>
    <w:p>
      <w:r>
        <w:rPr>
          <w:b w:val="0"/>
          <w:i w:val="0"/>
        </w:rPr>
        <w:t xml:space="preserve">The balance is </w:t>
      </w:r>
      <w:r>
        <w:rPr>
          <w:b/>
          <w:i w:val="0"/>
        </w:rPr>
        <w:t>linear</w:t>
      </w:r>
      <w:r>
        <w:rPr>
          <w:b w:val="0"/>
          <w:i w:val="0"/>
        </w:rPr>
        <w:t xml:space="preserve"> in collection, so the restatement is exact rather than approximate.</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as stated at 90 percent [DESIGN]</w:t>
            </w:r>
          </w:p>
        </w:tc>
        <w:tc>
          <w:tcPr>
            <w:tcW w:type="dxa" w:w="2232"/>
          </w:tcPr>
          <w:p>
            <w:r/>
            <w:r>
              <w:rPr>
                <w:b/>
                <w:i w:val="0"/>
              </w:rPr>
              <w:t>delivered, 31.66 percent</w:t>
            </w:r>
          </w:p>
        </w:tc>
        <w:tc>
          <w:tcPr>
            <w:tcW w:type="dxa" w:w="2232"/>
          </w:tcPr>
          <w:p>
            <w:r/>
            <w:r>
              <w:rPr>
                <w:b/>
                <w:i w:val="0"/>
              </w:rPr>
              <w:t>wider bore, 37.62 percent</w:t>
            </w:r>
          </w:p>
        </w:tc>
      </w:tr>
      <w:tr>
        <w:tc>
          <w:tcPr>
            <w:tcW w:type="dxa" w:w="2232"/>
          </w:tcPr>
          <w:p>
            <w:r/>
            <w:r>
              <w:rPr>
                <w:b w:val="0"/>
                <w:i w:val="0"/>
              </w:rPr>
              <w:t>heat, demonstrated cycles</w:t>
            </w:r>
          </w:p>
        </w:tc>
        <w:tc>
          <w:tcPr>
            <w:tcW w:type="dxa" w:w="2232"/>
          </w:tcPr>
          <w:p>
            <w:r/>
            <w:r>
              <w:rPr>
                <w:b w:val="0"/>
                <w:i w:val="0"/>
              </w:rPr>
              <w:t>0.316</w:t>
            </w:r>
          </w:p>
        </w:tc>
        <w:tc>
          <w:tcPr>
            <w:tcW w:type="dxa" w:w="2232"/>
          </w:tcPr>
          <w:p>
            <w:r/>
            <w:r>
              <w:rPr>
                <w:b w:val="0"/>
                <w:i w:val="0"/>
              </w:rPr>
              <w:t>0.111</w:t>
            </w:r>
          </w:p>
        </w:tc>
        <w:tc>
          <w:tcPr>
            <w:tcW w:type="dxa" w:w="2232"/>
          </w:tcPr>
          <w:p>
            <w:r/>
            <w:r>
              <w:rPr>
                <w:b w:val="0"/>
                <w:i w:val="0"/>
              </w:rPr>
              <w:t>0.132</w:t>
            </w:r>
          </w:p>
        </w:tc>
      </w:tr>
      <w:tr>
        <w:tc>
          <w:tcPr>
            <w:tcW w:type="dxa" w:w="2232"/>
          </w:tcPr>
          <w:p>
            <w:r/>
            <w:r>
              <w:rPr>
                <w:b w:val="0"/>
                <w:i w:val="0"/>
              </w:rPr>
              <w:t>heat, bound-case service life</w:t>
            </w:r>
          </w:p>
        </w:tc>
        <w:tc>
          <w:tcPr>
            <w:tcW w:type="dxa" w:w="2232"/>
          </w:tcPr>
          <w:p>
            <w:r/>
            <w:r>
              <w:rPr>
                <w:b/>
                <w:i w:val="0"/>
              </w:rPr>
              <w:t>1.241</w:t>
            </w:r>
          </w:p>
        </w:tc>
        <w:tc>
          <w:tcPr>
            <w:tcW w:type="dxa" w:w="2232"/>
          </w:tcPr>
          <w:p>
            <w:r/>
            <w:r>
              <w:rPr>
                <w:b/>
                <w:i w:val="0"/>
              </w:rPr>
              <w:t>0.437</w:t>
            </w:r>
          </w:p>
        </w:tc>
        <w:tc>
          <w:tcPr>
            <w:tcW w:type="dxa" w:w="2232"/>
          </w:tcPr>
          <w:p>
            <w:r/>
            <w:r>
              <w:rPr>
                <w:b w:val="0"/>
                <w:i w:val="0"/>
              </w:rPr>
              <w:t>0.519</w:t>
            </w:r>
          </w:p>
        </w:tc>
      </w:tr>
      <w:tr>
        <w:tc>
          <w:tcPr>
            <w:tcW w:type="dxa" w:w="2232"/>
          </w:tcPr>
          <w:p>
            <w:r/>
            <w:r>
              <w:rPr>
                <w:b w:val="0"/>
                <w:i w:val="0"/>
              </w:rPr>
              <w:t>heat, φ = 3</w:t>
            </w:r>
          </w:p>
        </w:tc>
        <w:tc>
          <w:tcPr>
            <w:tcW w:type="dxa" w:w="2232"/>
          </w:tcPr>
          <w:p>
            <w:r/>
            <w:r>
              <w:rPr>
                <w:b w:val="0"/>
                <w:i w:val="0"/>
              </w:rPr>
              <w:t>1.011</w:t>
            </w:r>
          </w:p>
        </w:tc>
        <w:tc>
          <w:tcPr>
            <w:tcW w:type="dxa" w:w="2232"/>
          </w:tcPr>
          <w:p>
            <w:r/>
            <w:r>
              <w:rPr>
                <w:b w:val="0"/>
                <w:i w:val="0"/>
              </w:rPr>
              <w:t>0.356</w:t>
            </w:r>
          </w:p>
        </w:tc>
        <w:tc>
          <w:tcPr>
            <w:tcW w:type="dxa" w:w="2232"/>
          </w:tcPr>
          <w:p>
            <w:r/>
            <w:r>
              <w:rPr>
                <w:b w:val="0"/>
                <w:i w:val="0"/>
              </w:rPr>
              <w:t>0.423</w:t>
            </w:r>
          </w:p>
        </w:tc>
      </w:tr>
      <w:tr>
        <w:tc>
          <w:tcPr>
            <w:tcW w:type="dxa" w:w="2232"/>
          </w:tcPr>
          <w:p>
            <w:r/>
            <w:r>
              <w:rPr>
                <w:b w:val="0"/>
                <w:i w:val="0"/>
              </w:rPr>
              <w:t>work, demonstrated cycles</w:t>
            </w:r>
          </w:p>
        </w:tc>
        <w:tc>
          <w:tcPr>
            <w:tcW w:type="dxa" w:w="2232"/>
          </w:tcPr>
          <w:p>
            <w:r/>
            <w:r>
              <w:rPr>
                <w:b w:val="0"/>
                <w:i w:val="0"/>
              </w:rPr>
              <w:t>0.237</w:t>
            </w:r>
          </w:p>
        </w:tc>
        <w:tc>
          <w:tcPr>
            <w:tcW w:type="dxa" w:w="2232"/>
          </w:tcPr>
          <w:p>
            <w:r/>
            <w:r>
              <w:rPr>
                <w:b w:val="0"/>
                <w:i w:val="0"/>
              </w:rPr>
              <w:t>0.083</w:t>
            </w:r>
          </w:p>
        </w:tc>
        <w:tc>
          <w:tcPr>
            <w:tcW w:type="dxa" w:w="2232"/>
          </w:tcPr>
          <w:p>
            <w:r/>
            <w:r>
              <w:rPr>
                <w:b w:val="0"/>
                <w:i w:val="0"/>
              </w:rPr>
              <w:t>0.099</w:t>
            </w:r>
          </w:p>
        </w:tc>
      </w:tr>
      <w:tr>
        <w:tc>
          <w:tcPr>
            <w:tcW w:type="dxa" w:w="2232"/>
          </w:tcPr>
          <w:p>
            <w:r/>
            <w:r>
              <w:rPr>
                <w:b w:val="0"/>
                <w:i w:val="0"/>
              </w:rPr>
              <w:t>work, bound-case service life</w:t>
            </w:r>
          </w:p>
        </w:tc>
        <w:tc>
          <w:tcPr>
            <w:tcW w:type="dxa" w:w="2232"/>
          </w:tcPr>
          <w:p>
            <w:r/>
            <w:r>
              <w:rPr>
                <w:b w:val="0"/>
                <w:i w:val="0"/>
              </w:rPr>
              <w:t>0.931</w:t>
            </w:r>
          </w:p>
        </w:tc>
        <w:tc>
          <w:tcPr>
            <w:tcW w:type="dxa" w:w="2232"/>
          </w:tcPr>
          <w:p>
            <w:r/>
            <w:r>
              <w:rPr>
                <w:b w:val="0"/>
                <w:i w:val="0"/>
              </w:rPr>
              <w:t>0.328</w:t>
            </w:r>
          </w:p>
        </w:tc>
        <w:tc>
          <w:tcPr>
            <w:tcW w:type="dxa" w:w="2232"/>
          </w:tcPr>
          <w:p>
            <w:r/>
            <w:r>
              <w:rPr>
                <w:b w:val="0"/>
                <w:i w:val="0"/>
              </w:rPr>
              <w:t>0.389</w:t>
            </w:r>
          </w:p>
        </w:tc>
      </w:tr>
      <w:tr>
        <w:tc>
          <w:tcPr>
            <w:tcW w:type="dxa" w:w="2232"/>
          </w:tcPr>
          <w:p>
            <w:r/>
            <w:r>
              <w:rPr>
                <w:b w:val="0"/>
                <w:i w:val="0"/>
              </w:rPr>
              <w:t>bred fuel, demonstrated cycles</w:t>
            </w:r>
          </w:p>
        </w:tc>
        <w:tc>
          <w:tcPr>
            <w:tcW w:type="dxa" w:w="2232"/>
          </w:tcPr>
          <w:p>
            <w:r/>
            <w:r>
              <w:rPr>
                <w:b w:val="0"/>
                <w:i w:val="0"/>
              </w:rPr>
              <w:t>1.772</w:t>
            </w:r>
          </w:p>
        </w:tc>
        <w:tc>
          <w:tcPr>
            <w:tcW w:type="dxa" w:w="2232"/>
          </w:tcPr>
          <w:p>
            <w:r/>
            <w:r>
              <w:rPr>
                <w:b w:val="0"/>
                <w:i w:val="0"/>
              </w:rPr>
              <w:t>0.623</w:t>
            </w:r>
          </w:p>
        </w:tc>
        <w:tc>
          <w:tcPr>
            <w:tcW w:type="dxa" w:w="2232"/>
          </w:tcPr>
          <w:p>
            <w:r/>
            <w:r>
              <w:rPr>
                <w:b w:val="0"/>
                <w:i w:val="0"/>
              </w:rPr>
              <w:t>0.741</w:t>
            </w:r>
          </w:p>
        </w:tc>
      </w:tr>
      <w:tr>
        <w:tc>
          <w:tcPr>
            <w:tcW w:type="dxa" w:w="2232"/>
          </w:tcPr>
          <w:p>
            <w:r/>
            <w:r>
              <w:rPr>
                <w:b w:val="0"/>
                <w:i w:val="0"/>
              </w:rPr>
              <w:t>bred fuel, bound-case service life</w:t>
            </w:r>
          </w:p>
        </w:tc>
        <w:tc>
          <w:tcPr>
            <w:tcW w:type="dxa" w:w="2232"/>
          </w:tcPr>
          <w:p>
            <w:r/>
            <w:r>
              <w:rPr>
                <w:b w:val="0"/>
                <w:i w:val="0"/>
              </w:rPr>
              <w:t>6.96</w:t>
            </w:r>
          </w:p>
        </w:tc>
        <w:tc>
          <w:tcPr>
            <w:tcW w:type="dxa" w:w="2232"/>
          </w:tcPr>
          <w:p>
            <w:r/>
            <w:r>
              <w:rPr>
                <w:b/>
                <w:i w:val="0"/>
              </w:rPr>
              <w:t>2.449</w:t>
            </w:r>
          </w:p>
        </w:tc>
        <w:tc>
          <w:tcPr>
            <w:tcW w:type="dxa" w:w="2232"/>
          </w:tcPr>
          <w:p>
            <w:r/>
            <w:r>
              <w:rPr>
                <w:b w:val="0"/>
                <w:i w:val="0"/>
              </w:rPr>
              <w:t>2.909</w:t>
            </w:r>
          </w:p>
        </w:tc>
      </w:tr>
    </w:tbl>
    <w:p/>
    <w:p>
      <w:pPr>
        <w:spacing w:before="160" w:after="200"/>
        <w:ind w:left="461" w:right="259"/>
      </w:pPr>
      <w:r>
        <w:rPr>
          <w:b/>
          <w:i w:val="0"/>
        </w:rPr>
        <w:t>At the delivered acceptance, and with the machine left as it is, nothing clears unity.</w:t>
      </w:r>
      <w:r>
        <w:rPr>
          <w:b w:val="0"/>
          <w:i w:val="0"/>
        </w:rPr>
        <w:t xml:space="preserve"> Every heat form, every work form and bred fuel at the demonstrated cycle count fall below it. </w:t>
      </w:r>
      <w:r>
        <w:rPr>
          <w:b/>
          <w:i w:val="0"/>
        </w:rPr>
        <w:t>The figures reported at ninety percent collection in the preprints at [18] are withdrawn as end-to-end results</w:t>
      </w:r>
      <w:r>
        <w:rPr>
          <w:b w:val="0"/>
          <w:i w:val="0"/>
        </w:rPr>
        <w:t>; they stand as the conditionals they were stated at.</w:t>
      </w:r>
    </w:p>
    <w:p>
      <w:r>
        <w:rPr>
          <w:b/>
          <w:i w:val="0"/>
        </w:rPr>
        <w:t>But the machine is not required to be left as it is</w:t>
      </w:r>
      <w:r>
        <w:rPr>
          <w:b w:val="0"/>
          <w:i w:val="0"/>
        </w:rPr>
        <w:t>, and §5.4 states what the alterations specified here do to the same table.</w:t>
      </w:r>
    </w:p>
    <w:p>
      <w:pPr>
        <w:spacing w:before="240" w:after="80"/>
      </w:pPr>
      <w:r>
        <w:rPr>
          <w:b/>
          <w:sz w:val="23"/>
        </w:rPr>
        <w:t>5.4 What the specified alterations do to every balance</w:t>
      </w:r>
    </w:p>
    <w:p>
      <w:r>
        <w:rPr>
          <w:b w:val="0"/>
          <w:i w:val="0"/>
        </w:rPr>
        <w:t xml:space="preserve">§5.3 states the balances for the machine as built. Two alterations to it are specified here — an </w:t>
      </w:r>
      <w:r>
        <w:rPr>
          <w:b/>
          <w:i w:val="0"/>
        </w:rPr>
        <w:t>optimised production target</w:t>
      </w:r>
      <w:r>
        <w:rPr>
          <w:b w:val="0"/>
          <w:i w:val="0"/>
        </w:rPr>
        <w:t xml:space="preserve">, and a </w:t>
      </w:r>
      <w:r>
        <w:rPr>
          <w:b/>
          <w:i w:val="0"/>
        </w:rPr>
        <w:t>wider bore</w:t>
      </w:r>
      <w:r>
        <w:rPr>
          <w:b w:val="0"/>
          <w:i w:val="0"/>
        </w:rPr>
        <w:t xml:space="preserve">. </w:t>
      </w:r>
      <w:r>
        <w:rPr>
          <w:b/>
          <w:i w:val="0"/>
        </w:rPr>
        <w:t>The target multiplies every balance by the same factor</w:t>
      </w:r>
      <w:r>
        <w:rPr>
          <w:b w:val="0"/>
          <w:i w:val="0"/>
        </w:rPr>
        <w:t xml:space="preserve">, because a balance is </w:t>
      </w:r>
      <w:r>
        <w:rPr>
          <w:rFonts w:ascii="Consolas" w:hAnsi="Consolas"/>
          <w:b w:val="0"/>
          <w:i w:val="0"/>
          <w:sz w:val="19"/>
        </w:rPr>
        <w:t>N · V · η / E_binder</w:t>
      </w:r>
      <w:r>
        <w:rPr>
          <w:b w:val="0"/>
          <w:i w:val="0"/>
        </w:rPr>
        <w:t xml:space="preserve"> and the target moves </w:t>
      </w:r>
      <w:r>
        <w:rPr>
          <w:rFonts w:ascii="Consolas" w:hAnsi="Consolas"/>
          <w:b w:val="0"/>
          <w:i w:val="0"/>
          <w:sz w:val="19"/>
        </w:rPr>
        <w:t>E_binder</w:t>
      </w:r>
      <w:r>
        <w:rPr>
          <w:b w:val="0"/>
          <w:i w:val="0"/>
        </w:rPr>
        <w:t xml:space="preserve"> alone: from 11.13 GeV to 4.69 GeV, worth 2.373.</w:t>
      </w:r>
    </w:p>
    <w:p>
      <w:pPr>
        <w:spacing w:before="160" w:after="200"/>
        <w:ind w:left="461" w:right="259"/>
      </w:pPr>
      <w:r>
        <w:rPr>
          <w:b/>
          <w:i w:val="0"/>
        </w:rPr>
        <w:t>The factor checks against the requirement it moves.</w:t>
      </w:r>
      <w:r>
        <w:rPr>
          <w:b w:val="0"/>
          <w:i w:val="0"/>
        </w:rPr>
        <w:t xml:space="preserve"> §4.2 puts bred fuel at demonstrated cycles at 50.8 percent collection; through the optimised target that requirement is 21.4 percent, and 50.8 ÷ 2.373 returns it. The same factor applied to that route's delivered balance of 0.623 gives 1.480, which is §5.3's own figure reached from the other side.</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delivered</w:t>
            </w:r>
          </w:p>
        </w:tc>
        <w:tc>
          <w:tcPr>
            <w:tcW w:type="dxa" w:w="2232"/>
          </w:tcPr>
          <w:p>
            <w:r/>
            <w:r>
              <w:rPr>
                <w:b/>
                <w:i w:val="0"/>
              </w:rPr>
              <w:t>+ optimised target</w:t>
            </w:r>
          </w:p>
        </w:tc>
        <w:tc>
          <w:tcPr>
            <w:tcW w:type="dxa" w:w="2232"/>
          </w:tcPr>
          <w:p>
            <w:r/>
            <w:r>
              <w:rPr>
                <w:b/>
                <w:i w:val="0"/>
              </w:rPr>
              <w:t>+ target and wider bore</w:t>
            </w:r>
          </w:p>
        </w:tc>
      </w:tr>
      <w:tr>
        <w:tc>
          <w:tcPr>
            <w:tcW w:type="dxa" w:w="2232"/>
          </w:tcPr>
          <w:p>
            <w:r/>
            <w:r>
              <w:rPr>
                <w:b w:val="0"/>
                <w:i w:val="0"/>
              </w:rPr>
              <w:t>heat, demonstrated cycles</w:t>
            </w:r>
          </w:p>
        </w:tc>
        <w:tc>
          <w:tcPr>
            <w:tcW w:type="dxa" w:w="2232"/>
          </w:tcPr>
          <w:p>
            <w:r/>
            <w:r>
              <w:rPr>
                <w:b w:val="0"/>
                <w:i w:val="0"/>
              </w:rPr>
              <w:t>0.111</w:t>
            </w:r>
          </w:p>
        </w:tc>
        <w:tc>
          <w:tcPr>
            <w:tcW w:type="dxa" w:w="2232"/>
          </w:tcPr>
          <w:p>
            <w:r/>
            <w:r>
              <w:rPr>
                <w:b w:val="0"/>
                <w:i w:val="0"/>
              </w:rPr>
              <w:t>0.264</w:t>
            </w:r>
          </w:p>
        </w:tc>
        <w:tc>
          <w:tcPr>
            <w:tcW w:type="dxa" w:w="2232"/>
          </w:tcPr>
          <w:p>
            <w:r/>
            <w:r>
              <w:rPr>
                <w:b w:val="0"/>
                <w:i w:val="0"/>
              </w:rPr>
              <w:t>0.313</w:t>
            </w:r>
          </w:p>
        </w:tc>
      </w:tr>
      <w:tr>
        <w:tc>
          <w:tcPr>
            <w:tcW w:type="dxa" w:w="2232"/>
          </w:tcPr>
          <w:p>
            <w:r/>
            <w:r>
              <w:rPr>
                <w:b/>
                <w:i w:val="0"/>
              </w:rPr>
              <w:t>heat, bound-case service life</w:t>
            </w:r>
          </w:p>
        </w:tc>
        <w:tc>
          <w:tcPr>
            <w:tcW w:type="dxa" w:w="2232"/>
          </w:tcPr>
          <w:p>
            <w:r/>
            <w:r>
              <w:rPr>
                <w:b w:val="0"/>
                <w:i w:val="0"/>
              </w:rPr>
              <w:t>0.437</w:t>
            </w:r>
          </w:p>
        </w:tc>
        <w:tc>
          <w:tcPr>
            <w:tcW w:type="dxa" w:w="2232"/>
          </w:tcPr>
          <w:p>
            <w:r/>
            <w:r>
              <w:rPr>
                <w:b/>
                <w:i w:val="0"/>
              </w:rPr>
              <w:t>1.036</w:t>
            </w:r>
          </w:p>
        </w:tc>
        <w:tc>
          <w:tcPr>
            <w:tcW w:type="dxa" w:w="2232"/>
          </w:tcPr>
          <w:p>
            <w:r/>
            <w:r>
              <w:rPr>
                <w:b/>
                <w:i w:val="0"/>
              </w:rPr>
              <w:t>1.231</w:t>
            </w:r>
          </w:p>
        </w:tc>
      </w:tr>
      <w:tr>
        <w:tc>
          <w:tcPr>
            <w:tcW w:type="dxa" w:w="2232"/>
          </w:tcPr>
          <w:p>
            <w:r/>
            <w:r>
              <w:rPr>
                <w:b w:val="0"/>
                <w:i w:val="0"/>
              </w:rPr>
              <w:t>heat, φ = 3</w:t>
            </w:r>
          </w:p>
        </w:tc>
        <w:tc>
          <w:tcPr>
            <w:tcW w:type="dxa" w:w="2232"/>
          </w:tcPr>
          <w:p>
            <w:r/>
            <w:r>
              <w:rPr>
                <w:b w:val="0"/>
                <w:i w:val="0"/>
              </w:rPr>
              <w:t>0.356</w:t>
            </w:r>
          </w:p>
        </w:tc>
        <w:tc>
          <w:tcPr>
            <w:tcW w:type="dxa" w:w="2232"/>
          </w:tcPr>
          <w:p>
            <w:r/>
            <w:r>
              <w:rPr>
                <w:b w:val="0"/>
                <w:i w:val="0"/>
              </w:rPr>
              <w:t>0.844</w:t>
            </w:r>
          </w:p>
        </w:tc>
        <w:tc>
          <w:tcPr>
            <w:tcW w:type="dxa" w:w="2232"/>
          </w:tcPr>
          <w:p>
            <w:r/>
            <w:r>
              <w:rPr>
                <w:b/>
                <w:i w:val="0"/>
              </w:rPr>
              <w:t>1.003</w:t>
            </w:r>
          </w:p>
        </w:tc>
      </w:tr>
      <w:tr>
        <w:tc>
          <w:tcPr>
            <w:tcW w:type="dxa" w:w="2232"/>
          </w:tcPr>
          <w:p>
            <w:r/>
            <w:r>
              <w:rPr>
                <w:b w:val="0"/>
                <w:i w:val="0"/>
              </w:rPr>
              <w:t>work, demonstrated cycles</w:t>
            </w:r>
          </w:p>
        </w:tc>
        <w:tc>
          <w:tcPr>
            <w:tcW w:type="dxa" w:w="2232"/>
          </w:tcPr>
          <w:p>
            <w:r/>
            <w:r>
              <w:rPr>
                <w:b w:val="0"/>
                <w:i w:val="0"/>
              </w:rPr>
              <w:t>0.083</w:t>
            </w:r>
          </w:p>
        </w:tc>
        <w:tc>
          <w:tcPr>
            <w:tcW w:type="dxa" w:w="2232"/>
          </w:tcPr>
          <w:p>
            <w:r/>
            <w:r>
              <w:rPr>
                <w:b w:val="0"/>
                <w:i w:val="0"/>
              </w:rPr>
              <w:t>0.198</w:t>
            </w:r>
          </w:p>
        </w:tc>
        <w:tc>
          <w:tcPr>
            <w:tcW w:type="dxa" w:w="2232"/>
          </w:tcPr>
          <w:p>
            <w:r/>
            <w:r>
              <w:rPr>
                <w:b w:val="0"/>
                <w:i w:val="0"/>
              </w:rPr>
              <w:t>0.235</w:t>
            </w:r>
          </w:p>
        </w:tc>
      </w:tr>
      <w:tr>
        <w:tc>
          <w:tcPr>
            <w:tcW w:type="dxa" w:w="2232"/>
          </w:tcPr>
          <w:p>
            <w:r/>
            <w:r>
              <w:rPr>
                <w:b w:val="0"/>
                <w:i w:val="0"/>
              </w:rPr>
              <w:t>work, bound-case service life</w:t>
            </w:r>
          </w:p>
        </w:tc>
        <w:tc>
          <w:tcPr>
            <w:tcW w:type="dxa" w:w="2232"/>
          </w:tcPr>
          <w:p>
            <w:r/>
            <w:r>
              <w:rPr>
                <w:b w:val="0"/>
                <w:i w:val="0"/>
              </w:rPr>
              <w:t>0.328</w:t>
            </w:r>
          </w:p>
        </w:tc>
        <w:tc>
          <w:tcPr>
            <w:tcW w:type="dxa" w:w="2232"/>
          </w:tcPr>
          <w:p>
            <w:r/>
            <w:r>
              <w:rPr>
                <w:b w:val="0"/>
                <w:i w:val="0"/>
              </w:rPr>
              <w:t>0.777</w:t>
            </w:r>
          </w:p>
        </w:tc>
        <w:tc>
          <w:tcPr>
            <w:tcW w:type="dxa" w:w="2232"/>
          </w:tcPr>
          <w:p>
            <w:r/>
            <w:r>
              <w:rPr>
                <w:b w:val="0"/>
                <w:i w:val="0"/>
              </w:rPr>
              <w:t>0.924</w:t>
            </w:r>
          </w:p>
        </w:tc>
      </w:tr>
      <w:tr>
        <w:tc>
          <w:tcPr>
            <w:tcW w:type="dxa" w:w="2232"/>
          </w:tcPr>
          <w:p>
            <w:r/>
            <w:r>
              <w:rPr>
                <w:b w:val="0"/>
                <w:i w:val="0"/>
              </w:rPr>
              <w:t>bred fuel, demonstrated cycles</w:t>
            </w:r>
          </w:p>
        </w:tc>
        <w:tc>
          <w:tcPr>
            <w:tcW w:type="dxa" w:w="2232"/>
          </w:tcPr>
          <w:p>
            <w:r/>
            <w:r>
              <w:rPr>
                <w:b w:val="0"/>
                <w:i w:val="0"/>
              </w:rPr>
              <w:t>0.623</w:t>
            </w:r>
          </w:p>
        </w:tc>
        <w:tc>
          <w:tcPr>
            <w:tcW w:type="dxa" w:w="2232"/>
          </w:tcPr>
          <w:p>
            <w:r/>
            <w:r>
              <w:rPr>
                <w:b/>
                <w:i w:val="0"/>
              </w:rPr>
              <w:t>1.480</w:t>
            </w:r>
          </w:p>
        </w:tc>
        <w:tc>
          <w:tcPr>
            <w:tcW w:type="dxa" w:w="2232"/>
          </w:tcPr>
          <w:p>
            <w:r/>
            <w:r>
              <w:rPr>
                <w:b/>
                <w:i w:val="0"/>
              </w:rPr>
              <w:t>1.758</w:t>
            </w:r>
          </w:p>
        </w:tc>
      </w:tr>
      <w:tr>
        <w:tc>
          <w:tcPr>
            <w:tcW w:type="dxa" w:w="2232"/>
          </w:tcPr>
          <w:p>
            <w:r/>
            <w:r>
              <w:rPr>
                <w:b w:val="0"/>
                <w:i w:val="0"/>
              </w:rPr>
              <w:t>bred fuel, bound-case service life</w:t>
            </w:r>
          </w:p>
        </w:tc>
        <w:tc>
          <w:tcPr>
            <w:tcW w:type="dxa" w:w="2232"/>
          </w:tcPr>
          <w:p>
            <w:r/>
            <w:r>
              <w:rPr>
                <w:b w:val="0"/>
                <w:i w:val="0"/>
              </w:rPr>
              <w:t>2.449</w:t>
            </w:r>
          </w:p>
        </w:tc>
        <w:tc>
          <w:tcPr>
            <w:tcW w:type="dxa" w:w="2232"/>
          </w:tcPr>
          <w:p>
            <w:r/>
            <w:r>
              <w:rPr>
                <w:b/>
                <w:i w:val="0"/>
              </w:rPr>
              <w:t>5.811</w:t>
            </w:r>
          </w:p>
        </w:tc>
        <w:tc>
          <w:tcPr>
            <w:tcW w:type="dxa" w:w="2232"/>
          </w:tcPr>
          <w:p>
            <w:r/>
            <w:r>
              <w:rPr>
                <w:b w:val="0"/>
                <w:i w:val="0"/>
              </w:rPr>
              <w:t>—</w:t>
            </w:r>
          </w:p>
        </w:tc>
      </w:tr>
    </w:tbl>
    <w:p/>
    <w:p>
      <w:pPr>
        <w:spacing w:before="160" w:after="200"/>
        <w:ind w:left="461" w:right="259"/>
      </w:pPr>
      <w:r>
        <w:rPr>
          <w:b/>
          <w:i w:val="0"/>
        </w:rPr>
        <w:t>The answer is conditional, and it is not no.</w:t>
      </w:r>
      <w:r>
        <w:rPr>
          <w:b w:val="0"/>
          <w:i w:val="0"/>
        </w:rPr>
        <w:t xml:space="preserve"> With the optimised production target in, the heat form on the bound-case service life reaches </w:t>
      </w:r>
      <w:r>
        <w:rPr>
          <w:b/>
          <w:i w:val="0"/>
        </w:rPr>
        <w:t>1.036</w:t>
      </w:r>
      <w:r>
        <w:rPr>
          <w:b w:val="0"/>
          <w:i w:val="0"/>
        </w:rPr>
        <w:t xml:space="preserve"> at today's aperture and </w:t>
      </w:r>
      <w:r>
        <w:rPr>
          <w:b/>
          <w:i w:val="0"/>
        </w:rPr>
        <w:t>1.231</w:t>
      </w:r>
      <w:r>
        <w:rPr>
          <w:b w:val="0"/>
          <w:i w:val="0"/>
        </w:rPr>
        <w:t xml:space="preserve"> at the wider bore, and the φ = 3 case reaches </w:t>
      </w:r>
      <w:r>
        <w:rPr>
          <w:b/>
          <w:i w:val="0"/>
        </w:rPr>
        <w:t>1.003</w:t>
      </w:r>
      <w:r>
        <w:rPr>
          <w:b w:val="0"/>
          <w:i w:val="0"/>
        </w:rPr>
        <w:t xml:space="preserve"> with both. </w:t>
      </w:r>
      <w:r>
        <w:rPr>
          <w:b/>
          <w:i w:val="0"/>
        </w:rPr>
        <w:t>Those clear unity, and they are not bred fuel</w:t>
      </w:r>
      <w:r>
        <w:rPr>
          <w:b w:val="0"/>
          <w:i w:val="0"/>
        </w:rPr>
        <w:t xml:space="preserve"> — nothing leaves the device to earn them.</w:t>
      </w:r>
    </w:p>
    <w:p>
      <w:r>
        <w:rPr>
          <w:b/>
          <w:i w:val="0"/>
        </w:rPr>
        <w:t>Three conditions travel with that result, and each is stated in full below.</w:t>
      </w:r>
    </w:p>
    <w:p>
      <w:r>
        <w:rPr>
          <w:b/>
          <w:i w:val="0"/>
        </w:rPr>
        <w:t>First, it is the bound-case service life and not the demonstrated one.</w:t>
      </w:r>
      <w:r>
        <w:rPr>
          <w:b w:val="0"/>
          <w:i w:val="0"/>
        </w:rPr>
        <w:t xml:space="preserve"> At 150 cycles per binder, which is what has actually been measured, the optimised target takes heat only to 0.264 and work to 0.198. </w:t>
      </w:r>
      <w:r>
        <w:rPr>
          <w:b/>
          <w:i w:val="0"/>
        </w:rPr>
        <w:t>Nothing device-internal clears at a witnessed cycle count under any alteration specified here.</w:t>
      </w:r>
    </w:p>
    <w:p>
      <w:r>
        <w:rPr>
          <w:b/>
          <w:i w:val="0"/>
        </w:rPr>
        <w:t>Second, the bound case rests on a service-life model that over-predicts.</w:t>
      </w:r>
      <w:r>
        <w:rPr>
          <w:b w:val="0"/>
          <w:i w:val="0"/>
        </w:rPr>
        <w:t xml:space="preserve"> It returns more cycles than were measured at the one point where a comparison is possible (§11). Every figure in the two bound-case rows inherits that; the bred-fuel row at demonstrated cycles does not.</w:t>
      </w:r>
    </w:p>
    <w:p>
      <w:r>
        <w:rPr>
          <w:b/>
          <w:i w:val="0"/>
        </w:rPr>
        <w:t>Third, the factor itself is unmeasured here.</w:t>
      </w:r>
      <w:r>
        <w:rPr>
          <w:b w:val="0"/>
          <w:i w:val="0"/>
        </w:rPr>
        <w:t xml:space="preserve"> 4.69 GeV is a published optimisation this paper does not adopt, and §10 Stage C is the measurement that would settle it. </w:t>
      </w:r>
      <w:r>
        <w:rPr>
          <w:b/>
          <w:i w:val="0"/>
        </w:rPr>
        <w:t>The whole of this section is conditional on that stage</w:t>
      </w:r>
      <w:r>
        <w:rPr>
          <w:b w:val="0"/>
          <w:i w:val="0"/>
        </w:rPr>
        <w:t>, which is the second reason it runs early.</w:t>
      </w:r>
    </w:p>
    <w:p>
      <w:pPr>
        <w:spacing w:before="160" w:after="200"/>
        <w:ind w:left="461" w:right="259"/>
      </w:pPr>
      <w:r>
        <w:rPr>
          <w:b/>
          <w:i w:val="0"/>
        </w:rPr>
        <w:t>And "inside the device" has two readings that do not agree.</w:t>
      </w:r>
      <w:r>
        <w:rPr>
          <w:b w:val="0"/>
          <w:i w:val="0"/>
        </w:rPr>
        <w:t xml:space="preserve"> The heat forms above count the blanket's multiplication and its fissile heat, which is heat recovered on site. Counting the neutron at its </w:t>
      </w:r>
      <w:r>
        <w:rPr>
          <w:b/>
          <w:i w:val="0"/>
        </w:rPr>
        <w:t>bare</w:t>
      </w:r>
      <w:r>
        <w:rPr>
          <w:b w:val="0"/>
          <w:i w:val="0"/>
        </w:rPr>
        <w:t xml:space="preserve"> heat instead — no blanket, no fissile credit — the delivered figure is 0.1409, and the optimised target takes it only to 0.3344. </w:t>
      </w:r>
      <w:r>
        <w:rPr>
          <w:b/>
          <w:i w:val="0"/>
        </w:rPr>
        <w:t>On the narrow reading the criterion is not met by anything in this paper.</w:t>
      </w:r>
      <w:r>
        <w:rPr>
          <w:b w:val="0"/>
          <w:i w:val="0"/>
        </w:rPr>
        <w:t xml:space="preserve"> On the wider one it is met by a specified machine, conditionally, and §10 is what decides between them.</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r>
        <w:rPr>
          <w:b/>
          <w:i w:val="0"/>
        </w:rPr>
        <w:t>They share no instrument and no calibration</w:t>
      </w:r>
      <w:r>
        <w:rPr>
          <w:b w:val="0"/>
          <w:i w:val="0"/>
        </w:rPr>
        <w:t xml:space="preserve">, which is what makes them two routes rather than one. §9.3 commits in advance to treating a disagreement between them as a </w:t>
      </w:r>
      <w:r>
        <w:rPr>
          <w:b/>
          <w:i w:val="0"/>
        </w:rPr>
        <w:t>refusal</w:t>
      </w:r>
      <w:r>
        <w:rPr>
          <w:b w:val="0"/>
          <w:i w:val="0"/>
        </w:rPr>
        <w:t xml:space="preserve"> rather than as an average.</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blanket</w:t>
            </w:r>
          </w:p>
        </w:tc>
        <w:tc>
          <w:tcPr>
            <w:tcW w:type="dxa" w:w="2976"/>
          </w:tcPr>
          <w:p>
            <w:r/>
            <w:r>
              <w:rPr>
                <w:b w:val="0"/>
                <w:i w:val="0"/>
              </w:rPr>
              <w:t>none</w:t>
            </w:r>
          </w:p>
        </w:tc>
        <w:tc>
          <w:tcPr>
            <w:tcW w:type="dxa" w:w="2976"/>
          </w:tcPr>
          <w:p>
            <w:r/>
            <w:r>
              <w:rPr>
                <w:b w:val="0"/>
                <w:i w:val="0"/>
              </w:rPr>
              <w:t>⁶Li-bearing, 1.6 x neutron energy neutron energy multiplication</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i w:val="0"/>
        </w:rPr>
        <w:t>Answering the third directive requires the second one to be finished.</w:t>
      </w:r>
      <w:r>
        <w:rPr>
          <w:b w:val="0"/>
          <w:i w:val="0"/>
        </w:rPr>
        <w:t xml:space="preserve"> A laboratory procedure that witnesses the </w:t>
      </w:r>
      <w:r>
        <w:rPr>
          <w:b w:val="0"/>
          <w:i/>
        </w:rPr>
        <w:t>net-positive</w:t>
      </w:r>
      <w:r>
        <w:rPr>
          <w:b w:val="0"/>
          <w:i w:val="0"/>
        </w:rPr>
        <w:t xml:space="preserve"> configuration needs the machine that supplies binders at the required rate, and no such machine has been built. This section designs it, and it imports its design from the collection model of §5 rather than restating it.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reflects a pion emitted into the backward hemisphere if its pitch angle satisfies </w:t>
      </w:r>
      <w:r>
        <w:rPr>
          <w:rFonts w:ascii="Consolas" w:hAnsi="Consolas"/>
          <w:b w:val="0"/>
          <w:i w:val="0"/>
          <w:sz w:val="19"/>
        </w:rPr>
        <w:t>sin θ ≥ √(B_target / B_max)</w:t>
      </w:r>
      <w:r>
        <w:rPr>
          <w:b w:val="0"/>
          <w:i w:val="0"/>
        </w:rPr>
        <w:t xml:space="preserve">. The grade required to reach every angle the production data covers is fixed by that data's own angular limit, and it is </w:t>
      </w:r>
      <w:r>
        <w:rPr>
          <w:b/>
          <w:i w:val="0"/>
        </w:rPr>
        <w:t>1.428</w:t>
      </w:r>
      <w:r>
        <w:rPr>
          <w:b w:val="0"/>
          <w:i w:val="0"/>
        </w:rPr>
        <w:t xml:space="preserve"> — no more, because that is where the measurement ends.</w:t>
      </w:r>
    </w:p>
    <w:p>
      <w:pPr>
        <w:spacing w:before="160" w:after="200"/>
        <w:ind w:left="461" w:right="259"/>
      </w:pPr>
      <w:r>
        <w:rPr>
          <w:b/>
          <w:i w:val="0"/>
        </w:rPr>
        <w:t>This is the same shape as §3.1's finding about sticking</w:t>
      </w:r>
      <w:r>
        <w:rPr>
          <w:b w:val="0"/>
          <w:i w:val="0"/>
        </w:rPr>
        <w:t xml:space="preserve">: a parameter that looked like a lever turns out to be a requirement with a number on it. Mirroring the backward hemisphere and accepting both hemispheres are then </w:t>
      </w:r>
      <w:r>
        <w:rPr>
          <w:b/>
          <w:i w:val="0"/>
        </w:rPr>
        <w:t>the same number</w:t>
      </w:r>
      <w:r>
        <w:rPr>
          <w:b w:val="0"/>
          <w:i w:val="0"/>
        </w:rPr>
        <w:t>,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i w:val="0"/>
        </w:rPr>
        <w:t>One finding decides the production target, and it is why this section exists.</w:t>
      </w:r>
      <w:r>
        <w:rPr>
          <w:b w:val="0"/>
          <w:i w:val="0"/>
        </w:rPr>
        <w:t xml:space="preserve"> The target must sit inside the 10.7 cm warm bore. A rotating solid target — the choice of every megawatt-class facility built or planned — needs a wheel radius of 0.355 m to reach the demonstrated surface speed, which is </w:t>
      </w:r>
      <w:r>
        <w:rPr>
          <w:b/>
          <w:i w:val="0"/>
        </w:rPr>
        <w:t>larger than the bore by more than three</w:t>
      </w:r>
      <w:r>
        <w:rPr>
          <w:b w:val="0"/>
          <w:i w:val="0"/>
        </w:rPr>
        <w:t xml:space="preserve">. The rotating target is therefore excluded by the aperture, and the target must be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spacing w:before="240" w:after="80"/>
      </w:pPr>
      <w:r>
        <w:rPr>
          <w:b/>
          <w:sz w:val="23"/>
        </w:rPr>
        <w:t>7.4 The fuel cell, and where it can sit</w:t>
      </w:r>
    </w:p>
    <w:p>
      <w:r>
        <w:rPr>
          <w:b/>
          <w:i w:val="0"/>
        </w:rPr>
        <w:t>The cell cannot sit in the capture region.</w:t>
      </w:r>
      <w:r>
        <w:rPr>
          <w:b w:val="0"/>
          <w:i w:val="0"/>
        </w:rPr>
        <w:t xml:space="preserve"> The decay channel is 34.1 m long at the stopping window, and the beam must be recompressed to 20 T at the cell for the fuel to intercept it. That recompression is what sets the tritium inventory at 5.13 kg rather than the 10.79 kg a wider bore would need.</w:t>
      </w:r>
    </w:p>
    <w:p>
      <w:r>
        <w:rPr>
          <w:b/>
          <w:i w:val="0"/>
        </w:rPr>
        <w:t>And the inventory does not fall with compression.</w:t>
      </w:r>
      <w:r>
        <w:rPr>
          <w:b w:val="0"/>
          <w:i w:val="0"/>
        </w:rPr>
        <w:t xml:space="preserve"> The target is one muon range deep, so its tritium is areal density times beam area: </w:t>
      </w:r>
      <w:r>
        <w:rPr>
          <w:b/>
          <w:i w:val="0"/>
        </w:rPr>
        <w:t>density buys length, not inventory.</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i w:val="0"/>
        </w:rPr>
        <w:t>As a purpose, the reaction cannot pay for itself, and this is a theorem rather than a result.</w:t>
      </w:r>
      <w:r>
        <w:rPr>
          <w:b w:val="0"/>
          <w:i w:val="0"/>
        </w:rPr>
        <w:t xml:space="preserve"> §3.1 showed sticking is binder-mass independent, so the best balance available </w:t>
      </w:r>
      <w:r>
        <w:rPr>
          <w:b w:val="0"/>
          <w:i/>
        </w:rPr>
        <w:t>anywhere</w:t>
      </w:r>
      <w:r>
        <w:rPr>
          <w:b w:val="0"/>
          <w:i w:val="0"/>
        </w:rPr>
        <w:t xml:space="preserve"> in the structural window of §2 is 0.807 — short of unity, and short of it for every occupant the window admits. There is no particle to look for and no collector to build that changes it. §5.3 then showed that even the routes which clear unity at an assumed collection efficiency do not clear it at the delivered one.</w:t>
      </w:r>
    </w:p>
    <w:p>
      <w:pPr>
        <w:spacing w:before="240" w:after="80"/>
      </w:pPr>
      <w:r>
        <w:rPr>
          <w:b/>
          <w:sz w:val="23"/>
        </w:rPr>
        <w:t>9.2 But the binder does not have to be bought</w:t>
      </w:r>
    </w:p>
    <w:p>
      <w:r>
        <w:rPr>
          <w:b/>
          <w:i w:val="0"/>
        </w:rPr>
        <w:t>The catalytic cycle has no input per event.</w:t>
      </w:r>
      <w:r>
        <w:rPr>
          <w:b w:val="0"/>
          <w:i w:val="0"/>
        </w:rPr>
        <w:t xml:space="preserve"> Its only input is the binder, so the whole of the negative balance sits in one question — what the binder costs — and there is a configuration in which it costs nothing.</w:t>
      </w:r>
    </w:p>
    <w:p>
      <w:r>
        <w:rPr>
          <w:b/>
          <w:i w:val="0"/>
        </w:rPr>
        <w:t>Pions are a byproduct of spallation.</w:t>
      </w:r>
      <w:r>
        <w:rPr>
          <w:b w:val="0"/>
          <w:i w:val="0"/>
        </w:rPr>
        <w:t xml:space="preserve"> They are created in the same nuclear collisions that make a spallation target's neutrons, by the same protons, in the same target. A facility running a proton driver for neutrons, for isotopes, or for an accelerator-driven subcritical blanket </w:t>
      </w:r>
      <w:r>
        <w:rPr>
          <w:b/>
          <w:i w:val="0"/>
        </w:rPr>
        <w:t>is already making them and throwing them away.</w:t>
      </w:r>
      <w:r>
        <w:rPr>
          <w:b w:val="0"/>
          <w:i w:val="0"/>
        </w:rPr>
        <w:t xml:space="preserve"> Capturing them costs a collector; it does not cost beam.</w:t>
      </w:r>
    </w:p>
    <w:p>
      <w:r>
        <w:rPr>
          <w:b/>
          <w:i w:val="0"/>
        </w:rPr>
        <w:t>On that accounting the marginal beam energy per binder is zero, and every fusion the binder catalyses is gain.</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only at about 45 kg of tritium</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9.3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xml:space="preserve">, because it was never conditional on an acceptance clearing a threshold. </w:t>
      </w: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9.4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9.5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 xml:space="preserve">Four staged measurements on apparatus that exists. </w:t>
      </w:r>
      <w:r>
        <w:rPr>
          <w:b/>
          <w:i w:val="0"/>
        </w:rPr>
        <w:t>The acceptance measurement runs first, because it multiplies every balance identically and so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§9.5.</w:t>
      </w:r>
    </w:p>
    <w:p>
      <w:pPr>
        <w:spacing w:before="160" w:after="200"/>
        <w:ind w:left="461" w:right="259"/>
      </w:pPr>
      <w:r>
        <w:rPr>
          <w:b/>
          <w:i w:val="0"/>
        </w:rPr>
        <w:t>The order is not arbitrary.</w:t>
      </w:r>
      <w:r>
        <w:rPr>
          <w:b w:val="0"/>
          <w:i w:val="0"/>
        </w:rPr>
        <w:t xml:space="preserve"> Stage A multiplies everything. Stage C decides the only route that clears unity at the delivered acceptance. Stage B decides a factor within a route rather than whether the route exists. Stage D is the demonstration, and it cannot be interpreted before A.</w:t>
      </w:r>
    </w:p>
    <w:p>
      <w:r>
        <w:rPr>
          <w:b w:val="0"/>
          <w:i w:val="0"/>
        </w:rPr>
        <w:t>———</w:t>
      </w:r>
    </w:p>
    <w:p>
      <w:pPr>
        <w:spacing w:before="320" w:after="80"/>
      </w:pPr>
      <w:r>
        <w:rPr>
          <w:b/>
          <w:sz w:val="27"/>
        </w:rPr>
        <w:t>11. Limits, and what this paper does not claim</w:t>
      </w:r>
    </w:p>
    <w:p>
      <w:r>
        <w:rPr>
          <w:b/>
          <w:i w:val="0"/>
        </w:rPr>
        <w:t>Each item below is a limit on what the foregoing establishes, and none of them is resolved by argument here.</w:t>
      </w:r>
      <w:r>
        <w:rPr>
          <w:b w:val="0"/>
          <w:i w:val="0"/>
        </w:rPr>
        <w:t xml:space="preserve"> Where a measurement would settle one, that measurement is named.</w:t>
      </w:r>
    </w:p>
    <w:p>
      <w:r>
        <w:rPr>
          <w:b/>
          <w:i w:val="0"/>
        </w:rPr>
        <w:t>The deciding measurement is unmade.</w:t>
      </w:r>
      <w:r>
        <w:rPr>
          <w:b w:val="0"/>
          <w:i w:val="0"/>
        </w:rPr>
        <w:t xml:space="preserve"> The two published final stickings, 0.45 percent and 0.56 percent, straddle the break-point at 0.1580 percent.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The bound case rests on a service-life model that over-predicts its one checkable point.</w:t>
      </w:r>
      <w:r>
        <w:rPr>
          <w:b w:val="0"/>
          <w:i w:val="0"/>
        </w:rPr>
        <w:t xml:space="preserve"> The model returns more cycles than were measured at the single point where a comparison is possible, and </w:t>
      </w:r>
      <w:r>
        <w:rPr>
          <w:b/>
          <w:i w:val="0"/>
        </w:rPr>
        <w:t>every bound-case figure inherits that</w:t>
      </w:r>
      <w:r>
        <w:rPr>
          <w:b w:val="0"/>
          <w:i w:val="0"/>
        </w:rPr>
        <w:t xml:space="preserve"> while no bred-fuel figure at demonstrated cycles does. The asymmetry is why §5 leans on the demonstrated count.</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this paper claims, in order</w:t>
      </w:r>
    </w:p>
    <w:p>
      <w:pPr>
        <w:pStyle w:val="ListNumber"/>
      </w:pPr>
      <w:r>
        <w:rPr>
          <w:b/>
          <w:i w:val="0"/>
        </w:rPr>
        <w:t>A cold fusion reaction exists and is witnessed.</w:t>
      </w:r>
      <w:r>
        <w:rPr>
          <w:b w:val="0"/>
          <w:i w:val="0"/>
        </w:rPr>
        <w:t xml:space="preserve"> Its definition is structural, its seven conditions admit exactly one binder, and its cycle has been measured for seventy years.</w:t>
      </w:r>
    </w:p>
    <w:p>
      <w:pPr>
        <w:pStyle w:val="ListNumber"/>
      </w:pPr>
      <w:r>
        <w:rPr>
          <w:b/>
          <w:i w:val="0"/>
        </w:rPr>
        <w:t>An eighth condition decides whether it is worth running</w:t>
      </w:r>
      <w:r>
        <w:rPr>
          <w:b w:val="0"/>
          <w:i w:val="0"/>
        </w:rPr>
        <w:t>, and every term in it is measured.</w:t>
      </w:r>
    </w:p>
    <w:p>
      <w:pPr>
        <w:pStyle w:val="ListNumber"/>
      </w:pPr>
      <w:r>
        <w:rPr>
          <w:b/>
          <w:i w:val="0"/>
        </w:rPr>
        <w:t>No configuration of it is self-sustaining inside the device</w:t>
      </w:r>
      <w:r>
        <w:rPr>
          <w:b w:val="0"/>
          <w:i w:val="0"/>
        </w:rPr>
        <w:t xml:space="preserve"> at the collection efficiency the machine actually delivers, with the machine left as built.</w:t>
      </w:r>
    </w:p>
    <w:p>
      <w:pPr>
        <w:pStyle w:val="ListNumber"/>
      </w:pPr>
      <w:r>
        <w:rPr>
          <w:b/>
          <w:i w:val="0"/>
        </w:rPr>
        <w:t>One configuration is net-positive on witnessed numbers alone</w:t>
      </w:r>
      <w:r>
        <w:rPr>
          <w:b w:val="0"/>
          <w:i w:val="0"/>
        </w:rPr>
        <w:t xml:space="preserve"> — as a co-product of a beam already running, where the marginal energy per binder is zero — and it returns 85.6 kW on a one-megawatt driver.</w:t>
      </w:r>
    </w:p>
    <w:p>
      <w:pPr>
        <w:pStyle w:val="ListNumber"/>
      </w:pPr>
      <w:r>
        <w:rPr>
          <w:b/>
          <w:i w:val="0"/>
        </w:rPr>
        <w:t>One route clears unity at a witnessed cycle count for a device built for the purpose</w:t>
      </w:r>
      <w:r>
        <w:rPr>
          <w:b w:val="0"/>
          <w:i w:val="0"/>
        </w:rPr>
        <w:t>, and it is bred fuel through an optimised production target, at 1.480. Whether that target's gain is real is Stage C.</w:t>
      </w:r>
    </w:p>
    <w:p>
      <w:pPr>
        <w:pStyle w:val="ListNumber"/>
      </w:pPr>
      <w:r>
        <w:rPr>
          <w:b/>
          <w:i w:val="0"/>
        </w:rPr>
        <w:t>A device-internal route clears unity too, and only conditionally.</w:t>
      </w:r>
      <w:r>
        <w:rPr>
          <w:b w:val="0"/>
          <w:i w:val="0"/>
        </w:rPr>
        <w:t xml:space="preserve"> With the same optimised target, the heat form on the bound-case service life reaches 1.036, and 1.231 at the wider bore. It is conditional on Stage C and on a service-life model §11 says over-predicts, and it is met on the reading of "inside the device" that counts the blanket. On the reading that counts the neutron at its bare heat, nothing here clears.</w:t>
      </w:r>
    </w:p>
    <w:p>
      <w:pPr>
        <w:pStyle w:val="ListNumber"/>
      </w:pPr>
      <w:r>
        <w:rPr>
          <w:b/>
          <w:i w:val="0"/>
        </w:rPr>
        <w:t>The materials are specified and the machine is designed</w:t>
      </w:r>
      <w:r>
        <w:rPr>
          <w:b w:val="0"/>
          <w:i w:val="0"/>
        </w:rPr>
        <w:t>, to a bill of materials and a build package rather than to a sketch.</w:t>
      </w:r>
    </w:p>
    <w:p>
      <w:pPr>
        <w:pStyle w:val="ListNumber"/>
      </w:pPr>
      <w:r>
        <w:rPr>
          <w:b/>
          <w:i w:val="0"/>
        </w:rPr>
        <w:t>The procedure that would witness the unwitnessed configuration is stated</w:t>
      </w:r>
      <w:r>
        <w:rPr>
          <w:b w:val="0"/>
          <w:i w:val="0"/>
        </w:rPr>
        <w:t>, with its predictions committed in advance and a rule that a disagreement is a refusal rather than an average.</w:t>
      </w:r>
    </w:p>
    <w:p>
      <w:pPr>
        <w:spacing w:before="160" w:after="200"/>
        <w:ind w:left="461" w:right="259"/>
      </w:pPr>
      <w:r>
        <w:rPr>
          <w:b/>
          <w:i w:val="0"/>
        </w:rPr>
        <w:t>The reaction is proved from what has been witnessed. The net-positive configuration is specified and unwitnessed. The instructions for witnessing it are §8 and §10.</w:t>
      </w:r>
      <w:r>
        <w:rPr>
          <w:b w:val="0"/>
          <w:i w:val="0"/>
        </w:rPr>
        <w:t xml:space="preserve"> That is the whole of the claim, and no part of it is larger than the measurements behind it.</w:t>
      </w:r>
    </w:p>
    <w:p>
      <w:r>
        <w:rPr>
          <w:b w:val="0"/>
          <w:i w:val="0"/>
        </w:rPr>
        <w:t>———</w:t>
      </w:r>
    </w:p>
    <w:p>
      <w:pPr>
        <w:spacing w:before="320" w:after="80"/>
      </w:pPr>
      <w:r>
        <w:rPr>
          <w:b/>
          <w:sz w:val="27"/>
        </w:rPr>
        <w:t>13.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