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The machine is not obliged to stay as built, however, and this paper prices the alterations it proposes against every balance rather than against one. An optimised production target is worth 2.373 on any of them. It takes bred fuel at the demonstrated cycle count to 1.480, which is the route the laboratory programme measures first, and it takes the </w:t>
      </w:r>
      <w:r>
        <w:rPr>
          <w:b/>
          <w:i w:val="0"/>
        </w:rPr>
        <w:t>heat</w:t>
      </w:r>
      <w:r>
        <w:rPr>
          <w:b w:val="0"/>
          <w:i w:val="0"/>
        </w:rPr>
        <w:t xml:space="preserve"> form, on the bound-case service life, to 1.036 — or 1.231 with a wider bore as well. </w:t>
      </w:r>
      <w:r>
        <w:rPr>
          <w:b/>
          <w:i w:val="0"/>
        </w:rPr>
        <w:t>A device-internal route therefore clears unity, though conditionally</w:t>
      </w:r>
      <w:r>
        <w:rPr>
          <w:b w:val="0"/>
          <w:i w:val="0"/>
        </w:rPr>
        <w:t>: it depends on a measurement that confirms the target, on a service-life model the paper notes over-predicts, and on the reading of "inside the device" that counts the blanket. Counting the neutron at its bare heat instead, the same alteration reaches only 0.3344, and on that reading nothing here clears.</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val="0"/>
          <w:i w:val="0"/>
        </w:rPr>
        <w:t>The measured values unfortunately straddle the decision. Two published final stickings — 0.45 percent from SIN and 0.56 percent from PSI — sit on either side of the break-point this paper computes at 0.1580 percent. Which of them is right determines whether the heat form of condition 8 is satisfied even at perfect collection, and no calculation offered here can stand in for that measurement. §8 sets out the protocol that would settle it.</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actually delivered</w:t>
      </w:r>
    </w:p>
    <w:p>
      <w:r>
        <w:rPr>
          <w:b w:val="0"/>
          <w:i w:val="0"/>
        </w:rPr>
        <w:t>Because the balance is linear in collection — Proposition 6 in §13.5 — restating the table at a different efficiency is exact rather than approximate, and the paper's own two-column table provides the check.</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w:t>
      </w:r>
      <w:r>
        <w:rPr>
          <w:b/>
          <w:i w:val="0"/>
        </w:rPr>
        <w:t>The figures reported at ninety percent collection in the preprints at [18] are withdrawn as end-to-end results</w:t>
      </w:r>
      <w:r>
        <w:rPr>
          <w:b w:val="0"/>
          <w:i w:val="0"/>
        </w:rPr>
        <w:t>; they stand as the conditionals they were stated at.</w:t>
      </w:r>
    </w:p>
    <w:p>
      <w:r>
        <w:rPr>
          <w:b/>
          <w:i w:val="0"/>
        </w:rPr>
        <w:t>But the machine is not required to be left as it is</w:t>
      </w:r>
      <w:r>
        <w:rPr>
          <w:b w:val="0"/>
          <w:i w:val="0"/>
        </w:rPr>
        <w:t>, and §5.4 states what the alterations specified here do to the same table.</w:t>
      </w:r>
    </w:p>
    <w:p>
      <w:pPr>
        <w:spacing w:before="240" w:after="80"/>
      </w:pPr>
      <w:r>
        <w:rPr>
          <w:b/>
          <w:sz w:val="23"/>
        </w:rPr>
        <w:t>5.4 What the specified alterations do to every balance</w:t>
      </w:r>
    </w:p>
    <w:p>
      <w:r>
        <w:rPr>
          <w:b w:val="0"/>
          <w:i w:val="0"/>
        </w:rPr>
        <w:t xml:space="preserve">§5.3 states the balances for the machine as built. Two alterations to that machine are specified in this paper — an </w:t>
      </w:r>
      <w:r>
        <w:rPr>
          <w:b/>
          <w:i w:val="0"/>
        </w:rPr>
        <w:t>optimised production target</w:t>
      </w:r>
      <w:r>
        <w:rPr>
          <w:b w:val="0"/>
          <w:i w:val="0"/>
        </w:rPr>
        <w:t xml:space="preserve"> and a </w:t>
      </w:r>
      <w:r>
        <w:rPr>
          <w:b/>
          <w:i w:val="0"/>
        </w:rPr>
        <w:t>wider bore</w:t>
      </w:r>
      <w:r>
        <w:rPr>
          <w:b w:val="0"/>
          <w:i w:val="0"/>
        </w:rPr>
        <w:t xml:space="preserve"> — and it is worth asking what each does to the whole table rather than to one row of it. The target multiplies every balance by the same factor, because a balance has the form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jc w:val="center"/>
      </w:pPr>
      <w:r>
        <w:drawing>
          <wp:inline xmlns:a="http://schemas.openxmlformats.org/drawingml/2006/main" xmlns:pic="http://schemas.openxmlformats.org/drawingml/2006/picture">
            <wp:extent cx="5486400" cy="2996572"/>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2996572"/>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the optimised production target and the wider bore. Anything reaching the line at unity pays for itself.</w:t>
      </w:r>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result, and each is stated in full below.</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rests on a service-life model that over-predicts.</w:t>
      </w:r>
      <w:r>
        <w:rPr>
          <w:b w:val="0"/>
          <w:i w:val="0"/>
        </w:rPr>
        <w:t xml:space="preserve"> It returns more cycles than were measured at the one point where a comparison is possible (§11). Every figure in the two bound-case rows inherits that; the bred-fuel row at demonstrated cycles does not.</w:t>
      </w:r>
    </w:p>
    <w:p>
      <w:r>
        <w:rPr>
          <w:b/>
          <w:i w:val="0"/>
        </w:rPr>
        <w:t>Third, the factor itself is unmeasured here.</w:t>
      </w:r>
      <w:r>
        <w:rPr>
          <w:b w:val="0"/>
          <w:i w:val="0"/>
        </w:rPr>
        <w:t xml:space="preserve"> 4.69 GeV is a published optimisation this paper does not adopt, and §10 Stage C is the measurement that would settle it.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 xml:space="preserve">Considered as a purpose in itself, the reaction cannot pay for its own binders, and this is a theorem rather than an empirical result. Because sticking does not depend on the binder's mass (§3.1), the best balance available </w:t>
      </w:r>
      <w:r>
        <w:rPr>
          <w:b w:val="0"/>
          <w:i/>
        </w:rPr>
        <w:t>anywhere</w:t>
      </w:r>
      <w:r>
        <w:rPr>
          <w:b w:val="0"/>
          <w:i w:val="0"/>
        </w:rPr>
        <w:t xml:space="preserve"> in the structural window of §2 is 0.807 — short of unity, and short of it for every occupant the window admits. There is no particle left to look for and no collector that can be built to change it. Theorem 3 in §13.4 gives the proof. §5.3 has already shown, separately, that even the routes which clear unity at an assumed collection efficiency do not clear it at the delivered one.</w:t>
      </w:r>
    </w:p>
    <w:p>
      <w:pPr>
        <w:spacing w:before="240" w:after="80"/>
      </w:pPr>
      <w:r>
        <w:rPr>
          <w:b/>
          <w:sz w:val="23"/>
        </w:rPr>
        <w:t>9.2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only at about 45 kg of tritium</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7" name="Picture 7"/>
            <wp:cNvGraphicFramePr>
              <a:graphicFrameLocks noChangeAspect="1"/>
            </wp:cNvGraphicFramePr>
            <a:graphic>
              <a:graphicData uri="http://schemas.openxmlformats.org/drawingml/2006/picture">
                <pic:pic>
                  <pic:nvPicPr>
                    <pic:cNvPr id="0" name="fig6-coproduct.png"/>
                    <pic:cNvPicPr/>
                  </pic:nvPicPr>
                  <pic:blipFill>
                    <a:blip r:embed="rId15"/>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§13.9 lists the three that bear most directly on the results.</w:t>
      </w:r>
    </w:p>
    <w:p>
      <w:r>
        <w:rPr>
          <w:b/>
          <w:i w:val="0"/>
        </w:rPr>
        <w:t>The deciding measurement is unmade.</w:t>
      </w:r>
      <w:r>
        <w:rPr>
          <w:b w:val="0"/>
          <w:i w:val="0"/>
        </w:rPr>
        <w:t xml:space="preserve"> The two published final stickings, 0.45 percent and 0.56 percent, straddle the break-point at 0.1580 percent.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service-life model that over-predicts its one checkable point.</w:t>
      </w:r>
      <w:r>
        <w:rPr>
          <w:b w:val="0"/>
          <w:i w:val="0"/>
        </w:rPr>
        <w:t xml:space="preserve"> The model returns more cycles than were measured at the single point where a comparison is possible, and </w:t>
      </w:r>
      <w:r>
        <w:rPr>
          <w:b/>
          <w:i w:val="0"/>
        </w:rPr>
        <w:t>every bound-case figure inherits that</w:t>
      </w:r>
      <w:r>
        <w:rPr>
          <w:b w:val="0"/>
          <w:i w:val="0"/>
        </w:rPr>
        <w:t xml:space="preserve"> while no bred-fuel figure at demonstrated cycles does. The asymmetry is why §5 leans on the demonstrated count.</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xml:space="preserve"> at the collection efficiency the machine actually delivers, with the machine left as built.</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and on a service-life model §11 says over-predicts, and it is met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measurements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w:t>
      </w:r>
      <w:r>
        <w:rPr>
          <w:b w:val="0"/>
          <w:i w:val="0"/>
        </w:rPr>
        <w:t xml:space="preserve"> </w:t>
      </w:r>
      <w:r>
        <w:rPr>
          <w:b w:val="0"/>
          <w:i/>
        </w:rPr>
        <w:t>Condition 2 — that the tunnelling rate exceed the decay rate of the state producing it — places a lower bound on m_b.</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the crossing defines the floor. Evaluated on the measured constants the floor is 119 electron masses, or 60.8 MeV expressed as an energy. ∎</w:t>
      </w:r>
    </w:p>
    <w:p>
      <w:r>
        <w:rPr>
          <w:b/>
          <w:i w:val="0"/>
        </w:rPr>
        <w:t>Proposition 3 (the upper bound).</w:t>
      </w:r>
      <w:r>
        <w:rPr>
          <w:b w:val="0"/>
          <w:i w:val="0"/>
        </w:rPr>
        <w:t xml:space="preserve"> </w:t>
      </w:r>
      <w:r>
        <w:rPr>
          <w:b w:val="0"/>
          <w:i/>
        </w:rPr>
        <w:t>Conditions 3 and 4 place an upper bound on m_b.</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and the ceiling is where the absorption rate overtakes λ_f. That is 918 electron masses. ∎</w:t>
      </w:r>
    </w:p>
    <w:p>
      <w:pPr>
        <w:spacing w:before="160" w:after="200"/>
        <w:ind w:left="461" w:right="259"/>
      </w:pPr>
      <w:r>
        <w:rPr>
          <w:b/>
          <w:i w:val="0"/>
        </w:rPr>
        <w:t>Theorem 1 (uniqueness of the binder).</w:t>
      </w:r>
      <w:r>
        <w:rPr>
          <w:b w:val="0"/>
          <w:i w:val="0"/>
        </w:rPr>
        <w:t xml:space="preserve"> </w:t>
      </w:r>
      <w:r>
        <w:rPr>
          <w:b w:val="0"/>
          <w:i/>
        </w:rPr>
        <w:t>The seven conditions admit exactly one realisation in the closed index of charged particles: the negative muon.</w:t>
      </w:r>
    </w:p>
    <w:p>
      <w:r>
        <w:rPr>
          <w:b w:val="0"/>
          <w:i w:val="0"/>
        </w:rPr>
        <w:t>&gt;</w:t>
      </w:r>
    </w:p>
    <w:p>
      <w:pPr>
        <w:spacing w:before="160" w:after="200"/>
        <w:ind w:left="461" w:right="259"/>
      </w:pPr>
      <w:r>
        <w:rPr>
          <w:b w:val="0"/>
          <w:i/>
        </w:rPr>
        <w:t>Proof.</w:t>
      </w:r>
      <w:r>
        <w:rPr>
          <w:b w:val="0"/>
          <w:i w:val="0"/>
        </w:rPr>
        <w:t xml:space="preserve"> Propositions 2 and 3 confine any admissible binder to m_b ∈ [\,119,\,918\,] electron masses. The index of charged particles with lifetimes long enough to form a bound state is closed and short, and it is enumerated: the electron at 1 lies below the window; the muon at 207 electron masses lies inside it; the pion at 273 electron masses lies inside it but is hadronic and is absorbed before catalysing, failing condition 3; the kaon at 966 electron masses and the tau at 3477 electron masses lie above it. </w:t>
      </w:r>
      <w:r>
        <w:rPr>
          <w:b/>
          <w:i w:val="0"/>
        </w:rPr>
        <w:t>No other charged particle has both a mass in the window and a lifetime sufficient to form a molecule.</w:t>
      </w:r>
      <w:r>
        <w:rPr>
          <w:b w:val="0"/>
          <w:i w:val="0"/>
        </w:rPr>
        <w:t xml:space="preserve"> The window therefore contains exactly one admissible occupant.</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6"/>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No binder anywhere in the structural window satisfies condition 8 as a standalone power source.</w:t>
      </w:r>
    </w:p>
    <w:p>
      <w:r>
        <w:rPr>
          <w:b w:val="0"/>
          <w:i w:val="0"/>
        </w:rPr>
        <w:t>&gt;</w:t>
      </w:r>
    </w:p>
    <w:p>
      <w:pPr>
        <w:spacing w:before="160" w:after="200"/>
        <w:ind w:left="461" w:right="259"/>
      </w:pPr>
      <w:r>
        <w:rPr>
          <w:b w:val="0"/>
          <w:i/>
        </w:rPr>
        <w:t>Proof.</w:t>
      </w:r>
      <w:r>
        <w:rPr>
          <w:b w:val="0"/>
          <w:i w:val="0"/>
        </w:rPr>
        <w:t xml:space="preserve"> By Theorem 2, ωₛ is the same for every occupant of the window, so N ≤ 1/ωₛ is a bound common to all of them. Q_fus and f_work are properties of the fuel and the plant, not of the binder. Hence the right-hand side of Proposition 1 is a constant across the window.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anywhere in the window is 0.807 — less than unity.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7"/>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sticking value is unresolved between two published measurements.</w:t>
      </w:r>
      <w:r>
        <w:rPr>
          <w:b w:val="0"/>
          <w:i w:val="0"/>
        </w:rPr>
        <w:t xml:space="preserve"> 0.45 percent and 0.56 percent straddle the break-point at 0.1580 percent, and no argument here chooses between them. §8's protocol does,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