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The machine is not obliged to stay as built, however, and this paper prices the alterations it proposes against every balance rather than against one. An optimised production target is worth 2.373 on any of them. It takes bred fuel at the demonstrated cycle count to 1.480, which is the route the laboratory programme measures first, and it takes the </w:t>
      </w:r>
      <w:r>
        <w:rPr>
          <w:b/>
          <w:i w:val="0"/>
        </w:rPr>
        <w:t>heat</w:t>
      </w:r>
      <w:r>
        <w:rPr>
          <w:b w:val="0"/>
          <w:i w:val="0"/>
        </w:rPr>
        <w:t xml:space="preserve"> form, on the bound-case service life, to 1.036 — or 1.231 with a wider bore as well. </w:t>
      </w:r>
      <w:r>
        <w:rPr>
          <w:b/>
          <w:i w:val="0"/>
        </w:rPr>
        <w:t>A device-internal route therefore clears unity, though conditionally</w:t>
      </w:r>
      <w:r>
        <w:rPr>
          <w:b w:val="0"/>
          <w:i w:val="0"/>
        </w:rPr>
        <w:t>: it depends on a measurement that confirms the target, on a service-life model the paper notes over-predicts, and on the reading of "inside the device" that counts the blanket. Counting the neutron at its bare heat instead, the same alteration reaches only 0.3344, and on that reading nothing here clears.</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The orbit the binder occupies and the recoil it must escape both scale with that mass in the same way, so their ratio — which is what sticking depends on — does not change.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val="0"/>
          <w:i w:val="0"/>
        </w:rPr>
        <w:t>The measured values unfortunately straddle the decision. Two published final stickings — 0.45 percent from SIN and 0.56 percent from PSI — sit on either side of the break-point this paper computes at 0.1580 percent. Which of them is right determines whether the heat form of condition 8 is satisfied even at perfect collection, and no calculation offered here can stand in for that measurement. §8 sets out the protocol that would settle it.</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actually delivered</w:t>
      </w:r>
    </w:p>
    <w:p>
      <w:r>
        <w:rPr>
          <w:b w:val="0"/>
          <w:i w:val="0"/>
        </w:rPr>
        <w:t>Because the balance is linear in collection — Proposition 6 in §13.5 — restating the table at a different efficiency is exact rather than approximate, and the paper's own two-column table provides the check.</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as stated at 90 percent [DESIGN]</w:t>
            </w:r>
          </w:p>
        </w:tc>
        <w:tc>
          <w:tcPr>
            <w:tcW w:type="dxa" w:w="2232"/>
          </w:tcPr>
          <w:p>
            <w:r/>
            <w:r>
              <w:rPr>
                <w:b/>
                <w:i w:val="0"/>
              </w:rPr>
              <w:t>delivered, 31.66 percent</w:t>
            </w:r>
          </w:p>
        </w:tc>
        <w:tc>
          <w:tcPr>
            <w:tcW w:type="dxa" w:w="2232"/>
          </w:tcPr>
          <w:p>
            <w:r/>
            <w:r>
              <w:rPr>
                <w:b/>
                <w:i w:val="0"/>
              </w:rPr>
              <w:t>wider bore, 37.62 percent</w:t>
            </w:r>
          </w:p>
        </w:tc>
      </w:tr>
      <w:tr>
        <w:tc>
          <w:tcPr>
            <w:tcW w:type="dxa" w:w="2232"/>
          </w:tcPr>
          <w:p>
            <w:r/>
            <w:r>
              <w:rPr>
                <w:b w:val="0"/>
                <w:i w:val="0"/>
              </w:rPr>
              <w:t>heat, demonstrated cycles</w:t>
            </w:r>
          </w:p>
        </w:tc>
        <w:tc>
          <w:tcPr>
            <w:tcW w:type="dxa" w:w="2232"/>
          </w:tcPr>
          <w:p>
            <w:r/>
            <w:r>
              <w:rPr>
                <w:b w:val="0"/>
                <w:i w:val="0"/>
              </w:rPr>
              <w:t>0.316</w:t>
            </w:r>
          </w:p>
        </w:tc>
        <w:tc>
          <w:tcPr>
            <w:tcW w:type="dxa" w:w="2232"/>
          </w:tcPr>
          <w:p>
            <w:r/>
            <w:r>
              <w:rPr>
                <w:b w:val="0"/>
                <w:i w:val="0"/>
              </w:rPr>
              <w:t>0.111</w:t>
            </w:r>
          </w:p>
        </w:tc>
        <w:tc>
          <w:tcPr>
            <w:tcW w:type="dxa" w:w="2232"/>
          </w:tcPr>
          <w:p>
            <w:r/>
            <w:r>
              <w:rPr>
                <w:b w:val="0"/>
                <w:i w:val="0"/>
              </w:rPr>
              <w:t>0.132</w:t>
            </w:r>
          </w:p>
        </w:tc>
      </w:tr>
      <w:tr>
        <w:tc>
          <w:tcPr>
            <w:tcW w:type="dxa" w:w="2232"/>
          </w:tcPr>
          <w:p>
            <w:r/>
            <w:r>
              <w:rPr>
                <w:b w:val="0"/>
                <w:i w:val="0"/>
              </w:rPr>
              <w:t>heat, bound-case service life</w:t>
            </w:r>
          </w:p>
        </w:tc>
        <w:tc>
          <w:tcPr>
            <w:tcW w:type="dxa" w:w="2232"/>
          </w:tcPr>
          <w:p>
            <w:r/>
            <w:r>
              <w:rPr>
                <w:b/>
                <w:i w:val="0"/>
              </w:rPr>
              <w:t>1.241</w:t>
            </w:r>
          </w:p>
        </w:tc>
        <w:tc>
          <w:tcPr>
            <w:tcW w:type="dxa" w:w="2232"/>
          </w:tcPr>
          <w:p>
            <w:r/>
            <w:r>
              <w:rPr>
                <w:b/>
                <w:i w:val="0"/>
              </w:rPr>
              <w:t>0.437</w:t>
            </w:r>
          </w:p>
        </w:tc>
        <w:tc>
          <w:tcPr>
            <w:tcW w:type="dxa" w:w="2232"/>
          </w:tcPr>
          <w:p>
            <w:r/>
            <w:r>
              <w:rPr>
                <w:b w:val="0"/>
                <w:i w:val="0"/>
              </w:rPr>
              <w:t>0.519</w:t>
            </w:r>
          </w:p>
        </w:tc>
      </w:tr>
      <w:tr>
        <w:tc>
          <w:tcPr>
            <w:tcW w:type="dxa" w:w="2232"/>
          </w:tcPr>
          <w:p>
            <w:r/>
            <w:r>
              <w:rPr>
                <w:b w:val="0"/>
                <w:i w:val="0"/>
              </w:rPr>
              <w:t>heat, φ = 3</w:t>
            </w:r>
          </w:p>
        </w:tc>
        <w:tc>
          <w:tcPr>
            <w:tcW w:type="dxa" w:w="2232"/>
          </w:tcPr>
          <w:p>
            <w:r/>
            <w:r>
              <w:rPr>
                <w:b w:val="0"/>
                <w:i w:val="0"/>
              </w:rPr>
              <w:t>1.011</w:t>
            </w:r>
          </w:p>
        </w:tc>
        <w:tc>
          <w:tcPr>
            <w:tcW w:type="dxa" w:w="2232"/>
          </w:tcPr>
          <w:p>
            <w:r/>
            <w:r>
              <w:rPr>
                <w:b w:val="0"/>
                <w:i w:val="0"/>
              </w:rPr>
              <w:t>0.356</w:t>
            </w:r>
          </w:p>
        </w:tc>
        <w:tc>
          <w:tcPr>
            <w:tcW w:type="dxa" w:w="2232"/>
          </w:tcPr>
          <w:p>
            <w:r/>
            <w:r>
              <w:rPr>
                <w:b w:val="0"/>
                <w:i w:val="0"/>
              </w:rPr>
              <w:t>0.423</w:t>
            </w:r>
          </w:p>
        </w:tc>
      </w:tr>
      <w:tr>
        <w:tc>
          <w:tcPr>
            <w:tcW w:type="dxa" w:w="2232"/>
          </w:tcPr>
          <w:p>
            <w:r/>
            <w:r>
              <w:rPr>
                <w:b w:val="0"/>
                <w:i w:val="0"/>
              </w:rPr>
              <w:t>work, demonstrated cycles</w:t>
            </w:r>
          </w:p>
        </w:tc>
        <w:tc>
          <w:tcPr>
            <w:tcW w:type="dxa" w:w="2232"/>
          </w:tcPr>
          <w:p>
            <w:r/>
            <w:r>
              <w:rPr>
                <w:b w:val="0"/>
                <w:i w:val="0"/>
              </w:rPr>
              <w:t>0.237</w:t>
            </w:r>
          </w:p>
        </w:tc>
        <w:tc>
          <w:tcPr>
            <w:tcW w:type="dxa" w:w="2232"/>
          </w:tcPr>
          <w:p>
            <w:r/>
            <w:r>
              <w:rPr>
                <w:b w:val="0"/>
                <w:i w:val="0"/>
              </w:rPr>
              <w:t>0.083</w:t>
            </w:r>
          </w:p>
        </w:tc>
        <w:tc>
          <w:tcPr>
            <w:tcW w:type="dxa" w:w="2232"/>
          </w:tcPr>
          <w:p>
            <w:r/>
            <w:r>
              <w:rPr>
                <w:b w:val="0"/>
                <w:i w:val="0"/>
              </w:rPr>
              <w:t>0.099</w:t>
            </w:r>
          </w:p>
        </w:tc>
      </w:tr>
      <w:tr>
        <w:tc>
          <w:tcPr>
            <w:tcW w:type="dxa" w:w="2232"/>
          </w:tcPr>
          <w:p>
            <w:r/>
            <w:r>
              <w:rPr>
                <w:b w:val="0"/>
                <w:i w:val="0"/>
              </w:rPr>
              <w:t>work, bound-case service life</w:t>
            </w:r>
          </w:p>
        </w:tc>
        <w:tc>
          <w:tcPr>
            <w:tcW w:type="dxa" w:w="2232"/>
          </w:tcPr>
          <w:p>
            <w:r/>
            <w:r>
              <w:rPr>
                <w:b w:val="0"/>
                <w:i w:val="0"/>
              </w:rPr>
              <w:t>0.931</w:t>
            </w:r>
          </w:p>
        </w:tc>
        <w:tc>
          <w:tcPr>
            <w:tcW w:type="dxa" w:w="2232"/>
          </w:tcPr>
          <w:p>
            <w:r/>
            <w:r>
              <w:rPr>
                <w:b w:val="0"/>
                <w:i w:val="0"/>
              </w:rPr>
              <w:t>0.328</w:t>
            </w:r>
          </w:p>
        </w:tc>
        <w:tc>
          <w:tcPr>
            <w:tcW w:type="dxa" w:w="2232"/>
          </w:tcPr>
          <w:p>
            <w:r/>
            <w:r>
              <w:rPr>
                <w:b w:val="0"/>
                <w:i w:val="0"/>
              </w:rPr>
              <w:t>0.389</w:t>
            </w:r>
          </w:p>
        </w:tc>
      </w:tr>
      <w:tr>
        <w:tc>
          <w:tcPr>
            <w:tcW w:type="dxa" w:w="2232"/>
          </w:tcPr>
          <w:p>
            <w:r/>
            <w:r>
              <w:rPr>
                <w:b w:val="0"/>
                <w:i w:val="0"/>
              </w:rPr>
              <w:t>bred fuel, demonstrated cycles</w:t>
            </w:r>
          </w:p>
        </w:tc>
        <w:tc>
          <w:tcPr>
            <w:tcW w:type="dxa" w:w="2232"/>
          </w:tcPr>
          <w:p>
            <w:r/>
            <w:r>
              <w:rPr>
                <w:b w:val="0"/>
                <w:i w:val="0"/>
              </w:rPr>
              <w:t>1.772</w:t>
            </w:r>
          </w:p>
        </w:tc>
        <w:tc>
          <w:tcPr>
            <w:tcW w:type="dxa" w:w="2232"/>
          </w:tcPr>
          <w:p>
            <w:r/>
            <w:r>
              <w:rPr>
                <w:b w:val="0"/>
                <w:i w:val="0"/>
              </w:rPr>
              <w:t>0.623</w:t>
            </w:r>
          </w:p>
        </w:tc>
        <w:tc>
          <w:tcPr>
            <w:tcW w:type="dxa" w:w="2232"/>
          </w:tcPr>
          <w:p>
            <w:r/>
            <w:r>
              <w:rPr>
                <w:b w:val="0"/>
                <w:i w:val="0"/>
              </w:rPr>
              <w:t>0.741</w:t>
            </w:r>
          </w:p>
        </w:tc>
      </w:tr>
      <w:tr>
        <w:tc>
          <w:tcPr>
            <w:tcW w:type="dxa" w:w="2232"/>
          </w:tcPr>
          <w:p>
            <w:r/>
            <w:r>
              <w:rPr>
                <w:b w:val="0"/>
                <w:i w:val="0"/>
              </w:rPr>
              <w:t>bred fuel, bound-case service life</w:t>
            </w:r>
          </w:p>
        </w:tc>
        <w:tc>
          <w:tcPr>
            <w:tcW w:type="dxa" w:w="2232"/>
          </w:tcPr>
          <w:p>
            <w:r/>
            <w:r>
              <w:rPr>
                <w:b w:val="0"/>
                <w:i w:val="0"/>
              </w:rPr>
              <w:t>6.96</w:t>
            </w:r>
          </w:p>
        </w:tc>
        <w:tc>
          <w:tcPr>
            <w:tcW w:type="dxa" w:w="2232"/>
          </w:tcPr>
          <w:p>
            <w:r/>
            <w:r>
              <w:rPr>
                <w:b/>
                <w:i w:val="0"/>
              </w:rPr>
              <w:t>2.449</w:t>
            </w:r>
          </w:p>
        </w:tc>
        <w:tc>
          <w:tcPr>
            <w:tcW w:type="dxa" w:w="2232"/>
          </w:tcPr>
          <w:p>
            <w:r/>
            <w:r>
              <w:rPr>
                <w:b w:val="0"/>
                <w:i w:val="0"/>
              </w:rPr>
              <w:t>2.909</w:t>
            </w:r>
          </w:p>
        </w:tc>
      </w:tr>
    </w:tbl>
    <w:p/>
    <w:p>
      <w:pPr>
        <w:spacing w:before="160" w:after="200"/>
        <w:ind w:left="461" w:right="259"/>
      </w:pPr>
      <w:r>
        <w:rPr>
          <w:b/>
          <w:i w:val="0"/>
        </w:rPr>
        <w:t>At the delivered acceptance, and with the machine left as it is, nothing clears unity.</w:t>
      </w:r>
      <w:r>
        <w:rPr>
          <w:b w:val="0"/>
          <w:i w:val="0"/>
        </w:rPr>
        <w:t xml:space="preserve"> Every heat form, every work form and bred fuel at the demonstrated cycle count fall below it. </w:t>
      </w:r>
      <w:r>
        <w:rPr>
          <w:b/>
          <w:i w:val="0"/>
        </w:rPr>
        <w:t>The figures reported at ninety percent collection in the preprints at [18] are withdrawn as end-to-end results</w:t>
      </w:r>
      <w:r>
        <w:rPr>
          <w:b w:val="0"/>
          <w:i w:val="0"/>
        </w:rPr>
        <w:t>; they stand as the conditionals they were stated at.</w:t>
      </w:r>
    </w:p>
    <w:p>
      <w:r>
        <w:rPr>
          <w:b/>
          <w:i w:val="0"/>
        </w:rPr>
        <w:t>But the machine is not required to be left as it is</w:t>
      </w:r>
      <w:r>
        <w:rPr>
          <w:b w:val="0"/>
          <w:i w:val="0"/>
        </w:rPr>
        <w:t>, and §5.4 states what the alterations specified here do to the same table.</w:t>
      </w:r>
    </w:p>
    <w:p>
      <w:pPr>
        <w:spacing w:before="240" w:after="80"/>
      </w:pPr>
      <w:r>
        <w:rPr>
          <w:b/>
          <w:sz w:val="23"/>
        </w:rPr>
        <w:t>5.4 What the specified alterations do to every balance</w:t>
      </w:r>
    </w:p>
    <w:p>
      <w:r>
        <w:rPr>
          <w:b w:val="0"/>
          <w:i w:val="0"/>
        </w:rPr>
        <w:t xml:space="preserve">§5.3 states the balances for the machine as built. Two alterations to that machine are specified in this paper — an </w:t>
      </w:r>
      <w:r>
        <w:rPr>
          <w:b/>
          <w:i w:val="0"/>
        </w:rPr>
        <w:t>optimised production target</w:t>
      </w:r>
      <w:r>
        <w:rPr>
          <w:b w:val="0"/>
          <w:i w:val="0"/>
        </w:rPr>
        <w:t xml:space="preserve"> and a </w:t>
      </w:r>
      <w:r>
        <w:rPr>
          <w:b/>
          <w:i w:val="0"/>
        </w:rPr>
        <w:t>wider bore</w:t>
      </w:r>
      <w:r>
        <w:rPr>
          <w:b w:val="0"/>
          <w:i w:val="0"/>
        </w:rPr>
        <w:t xml:space="preserve"> — and it is worth asking what each does to the whole table rather than to one row of it. The target multiplies every balance by the same factor, because a balance has the form </w:t>
      </w:r>
      <w:r>
        <w:rPr>
          <w:rFonts w:ascii="Consolas" w:hAnsi="Consolas"/>
          <w:b w:val="0"/>
          <w:i w:val="0"/>
          <w:sz w:val="19"/>
        </w:rPr>
        <w:t>N · V · η / E_binder</w:t>
      </w:r>
      <w:r>
        <w:rPr>
          <w:b w:val="0"/>
          <w:i w:val="0"/>
        </w:rPr>
        <w:t xml:space="preserve"> and the target moves </w:t>
      </w:r>
      <w:r>
        <w:rPr>
          <w:rFonts w:ascii="Consolas" w:hAnsi="Consolas"/>
          <w:b w:val="0"/>
          <w:i w:val="0"/>
          <w:sz w:val="19"/>
        </w:rPr>
        <w:t>E_binder</w:t>
      </w:r>
      <w:r>
        <w:rPr>
          <w:b w:val="0"/>
          <w:i w:val="0"/>
        </w:rPr>
        <w:t xml:space="preserve"> alone: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demonstrated cycles at 50.8 percent collection; through the optimised target that requirement is 21.4 percent, and 50.8 ÷ 2.373 returns it. The same factor applied to that route's delivered balance of 0.623 gives 1.480, which is §5.3's own figure reached from the other side.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delivered</w:t>
            </w:r>
          </w:p>
        </w:tc>
        <w:tc>
          <w:tcPr>
            <w:tcW w:type="dxa" w:w="2232"/>
          </w:tcPr>
          <w:p>
            <w:r/>
            <w:r>
              <w:rPr>
                <w:b/>
                <w:i w:val="0"/>
              </w:rPr>
              <w:t>+ optimised target</w:t>
            </w:r>
          </w:p>
        </w:tc>
        <w:tc>
          <w:tcPr>
            <w:tcW w:type="dxa" w:w="2232"/>
          </w:tcPr>
          <w:p>
            <w:r/>
            <w:r>
              <w:rPr>
                <w:b/>
                <w:i w:val="0"/>
              </w:rPr>
              <w:t>+ target and wider bore</w:t>
            </w:r>
          </w:p>
        </w:tc>
      </w:tr>
      <w:tr>
        <w:tc>
          <w:tcPr>
            <w:tcW w:type="dxa" w:w="2232"/>
          </w:tcPr>
          <w:p>
            <w:r/>
            <w:r>
              <w:rPr>
                <w:b w:val="0"/>
                <w:i w:val="0"/>
              </w:rPr>
              <w:t>heat, demonstrated cycles</w:t>
            </w:r>
          </w:p>
        </w:tc>
        <w:tc>
          <w:tcPr>
            <w:tcW w:type="dxa" w:w="2232"/>
          </w:tcPr>
          <w:p>
            <w:r/>
            <w:r>
              <w:rPr>
                <w:b w:val="0"/>
                <w:i w:val="0"/>
              </w:rPr>
              <w:t>0.111</w:t>
            </w:r>
          </w:p>
        </w:tc>
        <w:tc>
          <w:tcPr>
            <w:tcW w:type="dxa" w:w="2232"/>
          </w:tcPr>
          <w:p>
            <w:r/>
            <w:r>
              <w:rPr>
                <w:b w:val="0"/>
                <w:i w:val="0"/>
              </w:rPr>
              <w:t>0.264</w:t>
            </w:r>
          </w:p>
        </w:tc>
        <w:tc>
          <w:tcPr>
            <w:tcW w:type="dxa" w:w="2232"/>
          </w:tcPr>
          <w:p>
            <w:r/>
            <w:r>
              <w:rPr>
                <w:b w:val="0"/>
                <w:i w:val="0"/>
              </w:rPr>
              <w:t>0.313</w:t>
            </w:r>
          </w:p>
        </w:tc>
      </w:tr>
      <w:tr>
        <w:tc>
          <w:tcPr>
            <w:tcW w:type="dxa" w:w="2232"/>
          </w:tcPr>
          <w:p>
            <w:r/>
            <w:r>
              <w:rPr>
                <w:b/>
                <w:i w:val="0"/>
              </w:rPr>
              <w:t>heat, bound-case service life</w:t>
            </w:r>
          </w:p>
        </w:tc>
        <w:tc>
          <w:tcPr>
            <w:tcW w:type="dxa" w:w="2232"/>
          </w:tcPr>
          <w:p>
            <w:r/>
            <w:r>
              <w:rPr>
                <w:b w:val="0"/>
                <w:i w:val="0"/>
              </w:rPr>
              <w:t>0.437</w:t>
            </w:r>
          </w:p>
        </w:tc>
        <w:tc>
          <w:tcPr>
            <w:tcW w:type="dxa" w:w="2232"/>
          </w:tcPr>
          <w:p>
            <w:r/>
            <w:r>
              <w:rPr>
                <w:b/>
                <w:i w:val="0"/>
              </w:rPr>
              <w:t>1.036</w:t>
            </w:r>
          </w:p>
        </w:tc>
        <w:tc>
          <w:tcPr>
            <w:tcW w:type="dxa" w:w="2232"/>
          </w:tcPr>
          <w:p>
            <w:r/>
            <w:r>
              <w:rPr>
                <w:b/>
                <w:i w:val="0"/>
              </w:rPr>
              <w:t>1.231</w:t>
            </w:r>
          </w:p>
        </w:tc>
      </w:tr>
      <w:tr>
        <w:tc>
          <w:tcPr>
            <w:tcW w:type="dxa" w:w="2232"/>
          </w:tcPr>
          <w:p>
            <w:r/>
            <w:r>
              <w:rPr>
                <w:b w:val="0"/>
                <w:i w:val="0"/>
              </w:rPr>
              <w:t>heat, φ = 3</w:t>
            </w:r>
          </w:p>
        </w:tc>
        <w:tc>
          <w:tcPr>
            <w:tcW w:type="dxa" w:w="2232"/>
          </w:tcPr>
          <w:p>
            <w:r/>
            <w:r>
              <w:rPr>
                <w:b w:val="0"/>
                <w:i w:val="0"/>
              </w:rPr>
              <w:t>0.356</w:t>
            </w:r>
          </w:p>
        </w:tc>
        <w:tc>
          <w:tcPr>
            <w:tcW w:type="dxa" w:w="2232"/>
          </w:tcPr>
          <w:p>
            <w:r/>
            <w:r>
              <w:rPr>
                <w:b w:val="0"/>
                <w:i w:val="0"/>
              </w:rPr>
              <w:t>0.844</w:t>
            </w:r>
          </w:p>
        </w:tc>
        <w:tc>
          <w:tcPr>
            <w:tcW w:type="dxa" w:w="2232"/>
          </w:tcPr>
          <w:p>
            <w:r/>
            <w:r>
              <w:rPr>
                <w:b/>
                <w:i w:val="0"/>
              </w:rPr>
              <w:t>1.003</w:t>
            </w:r>
          </w:p>
        </w:tc>
      </w:tr>
      <w:tr>
        <w:tc>
          <w:tcPr>
            <w:tcW w:type="dxa" w:w="2232"/>
          </w:tcPr>
          <w:p>
            <w:r/>
            <w:r>
              <w:rPr>
                <w:b w:val="0"/>
                <w:i w:val="0"/>
              </w:rPr>
              <w:t>work, demonstrated cycles</w:t>
            </w:r>
          </w:p>
        </w:tc>
        <w:tc>
          <w:tcPr>
            <w:tcW w:type="dxa" w:w="2232"/>
          </w:tcPr>
          <w:p>
            <w:r/>
            <w:r>
              <w:rPr>
                <w:b w:val="0"/>
                <w:i w:val="0"/>
              </w:rPr>
              <w:t>0.083</w:t>
            </w:r>
          </w:p>
        </w:tc>
        <w:tc>
          <w:tcPr>
            <w:tcW w:type="dxa" w:w="2232"/>
          </w:tcPr>
          <w:p>
            <w:r/>
            <w:r>
              <w:rPr>
                <w:b w:val="0"/>
                <w:i w:val="0"/>
              </w:rPr>
              <w:t>0.198</w:t>
            </w:r>
          </w:p>
        </w:tc>
        <w:tc>
          <w:tcPr>
            <w:tcW w:type="dxa" w:w="2232"/>
          </w:tcPr>
          <w:p>
            <w:r/>
            <w:r>
              <w:rPr>
                <w:b w:val="0"/>
                <w:i w:val="0"/>
              </w:rPr>
              <w:t>0.235</w:t>
            </w:r>
          </w:p>
        </w:tc>
      </w:tr>
      <w:tr>
        <w:tc>
          <w:tcPr>
            <w:tcW w:type="dxa" w:w="2232"/>
          </w:tcPr>
          <w:p>
            <w:r/>
            <w:r>
              <w:rPr>
                <w:b w:val="0"/>
                <w:i w:val="0"/>
              </w:rPr>
              <w:t>work, bound-case service life</w:t>
            </w:r>
          </w:p>
        </w:tc>
        <w:tc>
          <w:tcPr>
            <w:tcW w:type="dxa" w:w="2232"/>
          </w:tcPr>
          <w:p>
            <w:r/>
            <w:r>
              <w:rPr>
                <w:b w:val="0"/>
                <w:i w:val="0"/>
              </w:rPr>
              <w:t>0.328</w:t>
            </w:r>
          </w:p>
        </w:tc>
        <w:tc>
          <w:tcPr>
            <w:tcW w:type="dxa" w:w="2232"/>
          </w:tcPr>
          <w:p>
            <w:r/>
            <w:r>
              <w:rPr>
                <w:b w:val="0"/>
                <w:i w:val="0"/>
              </w:rPr>
              <w:t>0.777</w:t>
            </w:r>
          </w:p>
        </w:tc>
        <w:tc>
          <w:tcPr>
            <w:tcW w:type="dxa" w:w="2232"/>
          </w:tcPr>
          <w:p>
            <w:r/>
            <w:r>
              <w:rPr>
                <w:b w:val="0"/>
                <w:i w:val="0"/>
              </w:rPr>
              <w:t>0.924</w:t>
            </w:r>
          </w:p>
        </w:tc>
      </w:tr>
      <w:tr>
        <w:tc>
          <w:tcPr>
            <w:tcW w:type="dxa" w:w="2232"/>
          </w:tcPr>
          <w:p>
            <w:r/>
            <w:r>
              <w:rPr>
                <w:b w:val="0"/>
                <w:i w:val="0"/>
              </w:rPr>
              <w:t>bred fuel, demonstrated cycles</w:t>
            </w:r>
          </w:p>
        </w:tc>
        <w:tc>
          <w:tcPr>
            <w:tcW w:type="dxa" w:w="2232"/>
          </w:tcPr>
          <w:p>
            <w:r/>
            <w:r>
              <w:rPr>
                <w:b w:val="0"/>
                <w:i w:val="0"/>
              </w:rPr>
              <w:t>0.623</w:t>
            </w:r>
          </w:p>
        </w:tc>
        <w:tc>
          <w:tcPr>
            <w:tcW w:type="dxa" w:w="2232"/>
          </w:tcPr>
          <w:p>
            <w:r/>
            <w:r>
              <w:rPr>
                <w:b/>
                <w:i w:val="0"/>
              </w:rPr>
              <w:t>1.480</w:t>
            </w:r>
          </w:p>
        </w:tc>
        <w:tc>
          <w:tcPr>
            <w:tcW w:type="dxa" w:w="2232"/>
          </w:tcPr>
          <w:p>
            <w:r/>
            <w:r>
              <w:rPr>
                <w:b/>
                <w:i w:val="0"/>
              </w:rPr>
              <w:t>1.758</w:t>
            </w:r>
          </w:p>
        </w:tc>
      </w:tr>
      <w:tr>
        <w:tc>
          <w:tcPr>
            <w:tcW w:type="dxa" w:w="2232"/>
          </w:tcPr>
          <w:p>
            <w:r/>
            <w:r>
              <w:rPr>
                <w:b w:val="0"/>
                <w:i w:val="0"/>
              </w:rPr>
              <w:t>bred fuel, bound-case service life</w:t>
            </w:r>
          </w:p>
        </w:tc>
        <w:tc>
          <w:tcPr>
            <w:tcW w:type="dxa" w:w="2232"/>
          </w:tcPr>
          <w:p>
            <w:r/>
            <w:r>
              <w:rPr>
                <w:b w:val="0"/>
                <w:i w:val="0"/>
              </w:rPr>
              <w:t>2.449</w:t>
            </w:r>
          </w:p>
        </w:tc>
        <w:tc>
          <w:tcPr>
            <w:tcW w:type="dxa" w:w="2232"/>
          </w:tcPr>
          <w:p>
            <w:r/>
            <w:r>
              <w:rPr>
                <w:b/>
                <w:i w:val="0"/>
              </w:rPr>
              <w:t>5.811</w:t>
            </w:r>
          </w:p>
        </w:tc>
        <w:tc>
          <w:tcPr>
            <w:tcW w:type="dxa" w:w="2232"/>
          </w:tcPr>
          <w:p>
            <w:r/>
            <w:r>
              <w:rPr>
                <w:b w:val="0"/>
                <w:i w:val="0"/>
              </w:rPr>
              <w:t>—</w:t>
            </w:r>
          </w:p>
        </w:tc>
      </w:tr>
    </w:tbl>
    <w:p/>
    <w:p>
      <w:pPr>
        <w:jc w:val="center"/>
      </w:pPr>
      <w:r>
        <w:drawing>
          <wp:inline xmlns:a="http://schemas.openxmlformats.org/drawingml/2006/main" xmlns:pic="http://schemas.openxmlformats.org/drawingml/2006/picture">
            <wp:extent cx="5486400" cy="2996572"/>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2996572"/>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the optimised production target and the wider bore. Anything reaching the line at unity pays for itself.</w:t>
      </w:r>
    </w:p>
    <w:p>
      <w:pPr>
        <w:spacing w:before="160" w:after="200"/>
        <w:ind w:left="461" w:right="259"/>
      </w:pPr>
      <w:r>
        <w:rPr>
          <w:b/>
          <w:i w:val="0"/>
        </w:rPr>
        <w:t>The answer is conditional, and it is not no.</w:t>
      </w:r>
      <w:r>
        <w:rPr>
          <w:b w:val="0"/>
          <w:i w:val="0"/>
        </w:rPr>
        <w:t xml:space="preserve"> With the optimised production target in, the heat form on the bound-case service life reaches </w:t>
      </w:r>
      <w:r>
        <w:rPr>
          <w:b/>
          <w:i w:val="0"/>
        </w:rPr>
        <w:t>1.036</w:t>
      </w:r>
      <w:r>
        <w:rPr>
          <w:b w:val="0"/>
          <w:i w:val="0"/>
        </w:rPr>
        <w:t xml:space="preserve"> at today's aperture and </w:t>
      </w:r>
      <w:r>
        <w:rPr>
          <w:b/>
          <w:i w:val="0"/>
        </w:rPr>
        <w:t>1.231</w:t>
      </w:r>
      <w:r>
        <w:rPr>
          <w:b w:val="0"/>
          <w:i w:val="0"/>
        </w:rPr>
        <w:t xml:space="preserve"> at the wider bore, and the φ = 3 case reaches </w:t>
      </w:r>
      <w:r>
        <w:rPr>
          <w:b/>
          <w:i w:val="0"/>
        </w:rPr>
        <w:t>1.003</w:t>
      </w:r>
      <w:r>
        <w:rPr>
          <w:b w:val="0"/>
          <w:i w:val="0"/>
        </w:rPr>
        <w:t xml:space="preserve"> with both. </w:t>
      </w:r>
      <w:r>
        <w:rPr>
          <w:b/>
          <w:i w:val="0"/>
        </w:rPr>
        <w:t>Those clear unity, and they are not bred fuel</w:t>
      </w:r>
      <w:r>
        <w:rPr>
          <w:b w:val="0"/>
          <w:i w:val="0"/>
        </w:rPr>
        <w:t xml:space="preserve"> — nothing leaves the device to earn them.</w:t>
      </w:r>
    </w:p>
    <w:p>
      <w:r>
        <w:rPr>
          <w:b/>
          <w:i w:val="0"/>
        </w:rPr>
        <w:t>Three conditions travel with that result, and each is stated in full below.</w:t>
      </w:r>
    </w:p>
    <w:p>
      <w:r>
        <w:rPr>
          <w:b/>
          <w:i w:val="0"/>
        </w:rPr>
        <w:t>First, it is the bound-case service life and not the demonstrated one.</w:t>
      </w:r>
      <w:r>
        <w:rPr>
          <w:b w:val="0"/>
          <w:i w:val="0"/>
        </w:rPr>
        <w:t xml:space="preserve"> At 150 cycles per binder, which is what has actually been measured, the optimised target takes heat only to 0.264 and work to 0.198. </w:t>
      </w:r>
      <w:r>
        <w:rPr>
          <w:b/>
          <w:i w:val="0"/>
        </w:rPr>
        <w:t>Nothing device-internal clears at a witnessed cycle count under any alteration specified here.</w:t>
      </w:r>
    </w:p>
    <w:p>
      <w:r>
        <w:rPr>
          <w:b/>
          <w:i w:val="0"/>
        </w:rPr>
        <w:t>Second, the bound case rests on a service-life model that over-predicts.</w:t>
      </w:r>
      <w:r>
        <w:rPr>
          <w:b w:val="0"/>
          <w:i w:val="0"/>
        </w:rPr>
        <w:t xml:space="preserve"> It returns more cycles than were measured at the one point where a comparison is possible (§11). Every figure in the two bound-case rows inherits that; the bred-fuel row at demonstrated cycles does not.</w:t>
      </w:r>
    </w:p>
    <w:p>
      <w:r>
        <w:rPr>
          <w:b/>
          <w:i w:val="0"/>
        </w:rPr>
        <w:t>Third, the factor itself is unmeasured here.</w:t>
      </w:r>
      <w:r>
        <w:rPr>
          <w:b w:val="0"/>
          <w:i w:val="0"/>
        </w:rPr>
        <w:t xml:space="preserve"> 4.69 GeV is a published optimisation this paper does not adopt, and §10 Stage C is the measurement that would settle it. </w:t>
      </w:r>
      <w:r>
        <w:rPr>
          <w:b/>
          <w:i w:val="0"/>
        </w:rPr>
        <w:t>The whole of this section is conditional on that stage</w:t>
      </w:r>
      <w:r>
        <w:rPr>
          <w:b w:val="0"/>
          <w:i w:val="0"/>
        </w:rPr>
        <w:t>, which is the second reason it runs early.</w:t>
      </w:r>
    </w:p>
    <w:p>
      <w:pPr>
        <w:spacing w:before="160" w:after="200"/>
        <w:ind w:left="461" w:right="259"/>
      </w:pPr>
      <w:r>
        <w:rPr>
          <w:b/>
          <w:i w:val="0"/>
        </w:rPr>
        <w:t>And "inside the device" has two readings that do not agree.</w:t>
      </w:r>
      <w:r>
        <w:rPr>
          <w:b w:val="0"/>
          <w:i w:val="0"/>
        </w:rPr>
        <w:t xml:space="preserve"> The heat forms above count the blanket's multiplication and its fissile heat, which is heat recovered on site. Counting the neutron at its </w:t>
      </w:r>
      <w:r>
        <w:rPr>
          <w:b/>
          <w:i w:val="0"/>
        </w:rPr>
        <w:t>bare</w:t>
      </w:r>
      <w:r>
        <w:rPr>
          <w:b w:val="0"/>
          <w:i w:val="0"/>
        </w:rPr>
        <w:t xml:space="preserve"> heat instead — no blanket, no fissile credit — the delivered figure is 0.1409, and the optimised target takes it only to 0.3344. </w:t>
      </w:r>
      <w:r>
        <w:rPr>
          <w:b/>
          <w:i w:val="0"/>
        </w:rPr>
        <w:t>On the narrow reading the criterion is not met by anything in this paper.</w:t>
      </w:r>
      <w:r>
        <w:rPr>
          <w:b w:val="0"/>
          <w:i w:val="0"/>
        </w:rPr>
        <w:t xml:space="preserve"> On the wider one it is met by a specified machine, conditionally, and §10 is what decides between them.</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§9.3 commits in advance to treating a disagreement between them as a </w:t>
      </w:r>
      <w:r>
        <w:rPr>
          <w:b/>
          <w:i w:val="0"/>
        </w:rPr>
        <w:t>refusal</w:t>
      </w:r>
      <w:r>
        <w:rPr>
          <w:b w:val="0"/>
          <w:i w:val="0"/>
        </w:rPr>
        <w:t xml:space="preserve"> rather than as an average.</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blanket</w:t>
            </w:r>
          </w:p>
        </w:tc>
        <w:tc>
          <w:tcPr>
            <w:tcW w:type="dxa" w:w="2976"/>
          </w:tcPr>
          <w:p>
            <w:r/>
            <w:r>
              <w:rPr>
                <w:b w:val="0"/>
                <w:i w:val="0"/>
              </w:rPr>
              <w:t>none</w:t>
            </w:r>
          </w:p>
        </w:tc>
        <w:tc>
          <w:tcPr>
            <w:tcW w:type="dxa" w:w="2976"/>
          </w:tcPr>
          <w:p>
            <w:r/>
            <w:r>
              <w:rPr>
                <w:b w:val="0"/>
                <w:i w:val="0"/>
              </w:rPr>
              <w:t>⁶Li-bearing, 1.6 x neutron energy neutron energy multiplication</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 xml:space="preserve">Considered as a purpose in itself, the reaction cannot pay for its own binders, and this is a theorem rather than an empirical result. Because sticking does not depend on the binder's mass (§3.1), the best balance available </w:t>
      </w:r>
      <w:r>
        <w:rPr>
          <w:b w:val="0"/>
          <w:i/>
        </w:rPr>
        <w:t>anywhere</w:t>
      </w:r>
      <w:r>
        <w:rPr>
          <w:b w:val="0"/>
          <w:i w:val="0"/>
        </w:rPr>
        <w:t xml:space="preserve"> in the structural window of §2 is 0.807 — short of unity, and short of it for every occupant the window admits. There is no particle left to look for and no collector that can be built to change it. Theorem 3 in §13.4 gives the proof. §5.3 has already shown, separately, that even the routes which clear unity at an assumed collection efficiency do not clear it at the delivered one.</w:t>
      </w:r>
    </w:p>
    <w:p>
      <w:pPr>
        <w:spacing w:before="240" w:after="80"/>
      </w:pPr>
      <w:r>
        <w:rPr>
          <w:b/>
          <w:sz w:val="23"/>
        </w:rPr>
        <w:t>9.2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only at about 45 kg of tritium</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9.3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7" name="Picture 7"/>
            <wp:cNvGraphicFramePr>
              <a:graphicFrameLocks noChangeAspect="1"/>
            </wp:cNvGraphicFramePr>
            <a:graphic>
              <a:graphicData uri="http://schemas.openxmlformats.org/drawingml/2006/picture">
                <pic:pic>
                  <pic:nvPicPr>
                    <pic:cNvPr id="0" name="fig6-coproduct.png"/>
                    <pic:cNvPicPr/>
                  </pic:nvPicPr>
                  <pic:blipFill>
                    <a:blip r:embed="rId15"/>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9.4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9.5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§9.5.</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§13.9 lists the three that bear most directly on the results.</w:t>
      </w:r>
    </w:p>
    <w:p>
      <w:r>
        <w:rPr>
          <w:b/>
          <w:i w:val="0"/>
        </w:rPr>
        <w:t>The deciding measurement is unmade.</w:t>
      </w:r>
      <w:r>
        <w:rPr>
          <w:b w:val="0"/>
          <w:i w:val="0"/>
        </w:rPr>
        <w:t xml:space="preserve"> The two published final stickings, 0.45 percent and 0.56 percent, straddle the break-point at 0.1580 percent.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The bound case rests on a service-life model that over-predicts its one checkable point.</w:t>
      </w:r>
      <w:r>
        <w:rPr>
          <w:b w:val="0"/>
          <w:i w:val="0"/>
        </w:rPr>
        <w:t xml:space="preserve"> The model returns more cycles than were measured at the single point where a comparison is possible, and </w:t>
      </w:r>
      <w:r>
        <w:rPr>
          <w:b/>
          <w:i w:val="0"/>
        </w:rPr>
        <w:t>every bound-case figure inherits that</w:t>
      </w:r>
      <w:r>
        <w:rPr>
          <w:b w:val="0"/>
          <w:i w:val="0"/>
        </w:rPr>
        <w:t xml:space="preserve"> while no bred-fuel figure at demonstrated cycles does. The asymmetry is why §5 leans on the demonstrated count.</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this paper claims, in order</w:t>
      </w:r>
    </w:p>
    <w:p>
      <w:pPr>
        <w:pStyle w:val="ListNumber"/>
      </w:pPr>
      <w:r>
        <w:rPr>
          <w:b/>
          <w:i w:val="0"/>
        </w:rPr>
        <w:t>A cold fusion reaction exists and is witnessed.</w:t>
      </w:r>
      <w:r>
        <w:rPr>
          <w:b w:val="0"/>
          <w:i w:val="0"/>
        </w:rPr>
        <w:t xml:space="preserve"> Its definition is structural, its seven conditions admit exactly one binder, and its cycle has been measured for seventy years.</w:t>
      </w:r>
    </w:p>
    <w:p>
      <w:pPr>
        <w:pStyle w:val="ListNumber"/>
      </w:pPr>
      <w:r>
        <w:rPr>
          <w:b/>
          <w:i w:val="0"/>
        </w:rPr>
        <w:t>An eighth condition decides whether it is worth running</w:t>
      </w:r>
      <w:r>
        <w:rPr>
          <w:b w:val="0"/>
          <w:i w:val="0"/>
        </w:rPr>
        <w:t>, and every term in it is measured.</w:t>
      </w:r>
    </w:p>
    <w:p>
      <w:pPr>
        <w:pStyle w:val="ListNumber"/>
      </w:pPr>
      <w:r>
        <w:rPr>
          <w:b/>
          <w:i w:val="0"/>
        </w:rPr>
        <w:t>No configuration of it is self-sustaining inside the device</w:t>
      </w:r>
      <w:r>
        <w:rPr>
          <w:b w:val="0"/>
          <w:i w:val="0"/>
        </w:rPr>
        <w:t xml:space="preserve"> at the collection efficiency the machine actually delivers, with the machine left as built.</w:t>
      </w:r>
    </w:p>
    <w:p>
      <w:pPr>
        <w:pStyle w:val="ListNumber"/>
      </w:pPr>
      <w:r>
        <w:rPr>
          <w:b/>
          <w:i w:val="0"/>
        </w:rPr>
        <w:t>One configuration is net-positive on witnessed numbers alone</w:t>
      </w:r>
      <w:r>
        <w:rPr>
          <w:b w:val="0"/>
          <w:i w:val="0"/>
        </w:rPr>
        <w:t xml:space="preserve"> — as a co-product of a beam already running, where the marginal energy per binder is zero — and it returns 85.6 kW on a one-megawatt driver.</w:t>
      </w:r>
    </w:p>
    <w:p>
      <w:pPr>
        <w:pStyle w:val="ListNumber"/>
      </w:pPr>
      <w:r>
        <w:rPr>
          <w:b/>
          <w:i w:val="0"/>
        </w:rPr>
        <w:t>One route clears unity at a witnessed cycle count for a device built for the purpose</w:t>
      </w:r>
      <w:r>
        <w:rPr>
          <w:b w:val="0"/>
          <w:i w:val="0"/>
        </w:rPr>
        <w:t>, and it is bred fuel through an optimised production target, at 1.480. Whether that target's gain is real is Stage C.</w:t>
      </w:r>
    </w:p>
    <w:p>
      <w:pPr>
        <w:pStyle w:val="ListNumber"/>
      </w:pPr>
      <w:r>
        <w:rPr>
          <w:b/>
          <w:i w:val="0"/>
        </w:rPr>
        <w:t>A device-internal route clears unity too, and only conditionally.</w:t>
      </w:r>
      <w:r>
        <w:rPr>
          <w:b w:val="0"/>
          <w:i w:val="0"/>
        </w:rPr>
        <w:t xml:space="preserve"> With the same optimised target, the heat form on the bound-case service life reaches 1.036, and 1.231 at the wider bore. It is conditional on Stage C and on a service-life model §11 says over-predicts, and it is met on the reading of "inside the device" that counts the blanket. On the reading that counts the neutron at its bare heat, nothing here clears.</w:t>
      </w:r>
    </w:p>
    <w:p>
      <w:pPr>
        <w:pStyle w:val="ListNumber"/>
      </w:pPr>
      <w:r>
        <w:rPr>
          <w:b/>
          <w:i w:val="0"/>
        </w:rPr>
        <w:t>The materials are specified and the machine is designed</w:t>
      </w:r>
      <w:r>
        <w:rPr>
          <w:b w:val="0"/>
          <w:i w:val="0"/>
        </w:rPr>
        <w:t>, to a bill of materials and a build package rather than to a sketch.</w:t>
      </w:r>
    </w:p>
    <w:p>
      <w:pPr>
        <w:pStyle w:val="ListNumber"/>
      </w:pPr>
      <w:r>
        <w:rPr>
          <w:b/>
          <w:i w:val="0"/>
        </w:rPr>
        <w:t>The procedure that would witness the unwitnessed configuration is stated</w:t>
      </w:r>
      <w:r>
        <w:rPr>
          <w:b w:val="0"/>
          <w:i w:val="0"/>
        </w:rPr>
        <w:t>, with its predictions committed in advance and a rule that a disagreement is a refusal rather than an average.</w:t>
      </w:r>
    </w:p>
    <w:p>
      <w:pPr>
        <w:spacing w:before="160" w:after="200"/>
        <w:ind w:left="461" w:right="259"/>
      </w:pPr>
      <w:r>
        <w:rPr>
          <w:b/>
          <w:i w:val="0"/>
        </w:rPr>
        <w:t>The reaction is proved from what has been witnessed. The net-positive configuration is specified and unwitnessed. The instructions for witnessing it are §8 and §10.</w:t>
      </w:r>
      <w:r>
        <w:rPr>
          <w:b w:val="0"/>
          <w:i w:val="0"/>
        </w:rPr>
        <w:t xml:space="preserve"> That is the whole of the claim, and no part of it is larger than the measurements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w:t>
      </w:r>
      <w:r>
        <w:rPr>
          <w:b w:val="0"/>
          <w:i w:val="0"/>
        </w:rPr>
        <w:t xml:space="preserve"> </w:t>
      </w:r>
      <w:r>
        <w:rPr>
          <w:b w:val="0"/>
          <w:i/>
        </w:rPr>
        <w:t>Condition 2 — that the tunnelling rate exceed the decay rate of the state producing it — places a lower bound on m_b.</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the crossing defines the floor. Evaluated on the measured constants the floor is 119 electron masses, or 60.8 MeV expressed as an energy. ∎</w:t>
      </w:r>
    </w:p>
    <w:p>
      <w:r>
        <w:rPr>
          <w:b/>
          <w:i w:val="0"/>
        </w:rPr>
        <w:t>Proposition 3 (the upper bound).</w:t>
      </w:r>
      <w:r>
        <w:rPr>
          <w:b w:val="0"/>
          <w:i w:val="0"/>
        </w:rPr>
        <w:t xml:space="preserve"> </w:t>
      </w:r>
      <w:r>
        <w:rPr>
          <w:b w:val="0"/>
          <w:i/>
        </w:rPr>
        <w:t>Conditions 3 and 4 place an upper bound on m_b.</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and the ceiling is where the absorption rate overtakes λ_f. That is 918 electron masses. ∎</w:t>
      </w:r>
    </w:p>
    <w:p>
      <w:pPr>
        <w:spacing w:before="160" w:after="200"/>
        <w:ind w:left="461" w:right="259"/>
      </w:pPr>
      <w:r>
        <w:rPr>
          <w:b/>
          <w:i w:val="0"/>
        </w:rPr>
        <w:t>Theorem 1 (uniqueness of the binder).</w:t>
      </w:r>
      <w:r>
        <w:rPr>
          <w:b w:val="0"/>
          <w:i w:val="0"/>
        </w:rPr>
        <w:t xml:space="preserve"> </w:t>
      </w:r>
      <w:r>
        <w:rPr>
          <w:b w:val="0"/>
          <w:i/>
        </w:rPr>
        <w:t>The seven conditions admit exactly one realisation in the closed index of charged particles: the negative muon.</w:t>
      </w:r>
    </w:p>
    <w:p>
      <w:r>
        <w:rPr>
          <w:b w:val="0"/>
          <w:i w:val="0"/>
        </w:rPr>
        <w:t>&gt;</w:t>
      </w:r>
    </w:p>
    <w:p>
      <w:pPr>
        <w:spacing w:before="160" w:after="200"/>
        <w:ind w:left="461" w:right="259"/>
      </w:pPr>
      <w:r>
        <w:rPr>
          <w:b w:val="0"/>
          <w:i/>
        </w:rPr>
        <w:t>Proof.</w:t>
      </w:r>
      <w:r>
        <w:rPr>
          <w:b w:val="0"/>
          <w:i w:val="0"/>
        </w:rPr>
        <w:t xml:space="preserve"> Propositions 2 and 3 confine any admissible binder to m_b ∈ [\,119,\,918\,] electron masses. The index of charged particles with lifetimes long enough to form a bound state is closed and short, and it is enumerated: the electron at 1 lies below the window; the muon at 207 electron masses lies inside it; the pion at 273 electron masses lies inside it but is hadronic and is absorbed before catalysing, failing condition 3; the kaon at 966 electron masses and the tau at 3477 electron masses lie above it. </w:t>
      </w:r>
      <w:r>
        <w:rPr>
          <w:b/>
          <w:i w:val="0"/>
        </w:rPr>
        <w:t>No other charged particle has both a mass in the window and a lifetime sufficient to form a molecule.</w:t>
      </w:r>
      <w:r>
        <w:rPr>
          <w:b w:val="0"/>
          <w:i w:val="0"/>
        </w:rPr>
        <w:t xml:space="preserve"> The window therefore contains exactly one admissible occupant.</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8" name="Picture 8"/>
            <wp:cNvGraphicFramePr>
              <a:graphicFrameLocks noChangeAspect="1"/>
            </wp:cNvGraphicFramePr>
            <a:graphic>
              <a:graphicData uri="http://schemas.openxmlformats.org/drawingml/2006/picture">
                <pic:pic>
                  <pic:nvPicPr>
                    <pic:cNvPr id="0" name="eq-e4e6f7c1977a.png"/>
                    <pic:cNvPicPr/>
                  </pic:nvPicPr>
                  <pic:blipFill>
                    <a:blip r:embed="rId16"/>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No binder anywhere in the structural window satisfies condition 8 as a standalone power source.</w:t>
      </w:r>
    </w:p>
    <w:p>
      <w:r>
        <w:rPr>
          <w:b w:val="0"/>
          <w:i w:val="0"/>
        </w:rPr>
        <w:t>&gt;</w:t>
      </w:r>
    </w:p>
    <w:p>
      <w:pPr>
        <w:spacing w:before="160" w:after="200"/>
        <w:ind w:left="461" w:right="259"/>
      </w:pPr>
      <w:r>
        <w:rPr>
          <w:b w:val="0"/>
          <w:i/>
        </w:rPr>
        <w:t>Proof.</w:t>
      </w:r>
      <w:r>
        <w:rPr>
          <w:b w:val="0"/>
          <w:i w:val="0"/>
        </w:rPr>
        <w:t xml:space="preserve"> By Theorem 2, ωₛ is the same for every occupant of the window, so N ≤ 1/ωₛ is a bound common to all of them. Q_fus and f_work are properties of the fuel and the plant, not of the binder. Hence the right-hand side of Proposition 1 is a constant across the window.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anywhere in the window is 0.807 — less than unity.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9" name="Picture 9"/>
            <wp:cNvGraphicFramePr>
              <a:graphicFrameLocks noChangeAspect="1"/>
            </wp:cNvGraphicFramePr>
            <a:graphic>
              <a:graphicData uri="http://schemas.openxmlformats.org/drawingml/2006/picture">
                <pic:pic>
                  <pic:nvPicPr>
                    <pic:cNvPr id="0" name="eq-d8719366983b.png"/>
                    <pic:cNvPicPr/>
                  </pic:nvPicPr>
                  <pic:blipFill>
                    <a:blip r:embed="rId17"/>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sticking value is unresolved between two published measurements.</w:t>
      </w:r>
      <w:r>
        <w:rPr>
          <w:b w:val="0"/>
          <w:i w:val="0"/>
        </w:rPr>
        <w:t xml:space="preserve"> 0.45 percent and 0.56 percent straddle the break-point at 0.1580 percent, and no argument here chooses between them. §8's protocol does,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