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 because the conditions place both a floor and a ceiling on the binder's mass, and the window between them, 119 electron masses to 918 electron masses, has a single occupant. Of 13 charged particles scanned, 5 outlive the mesomolecular formation time and 2 lie inside the window; one survives the remaining test. The window's lower bound may move by a factor of 207 and its upper by 3.54 before that count changes.</w:t>
      </w:r>
    </w:p>
    <w:p>
      <w:r>
        <w:rPr>
          <w:b w:val="0"/>
          <w:i w:val="0"/>
        </w:rPr>
        <w:t xml:space="preserve">A second uniqueness result closes the other half of the configuration. </w:t>
      </w:r>
      <w:r>
        <w:rPr>
          <w:b/>
          <w:i w:val="0"/>
        </w:rPr>
        <w:t>The fuel is unique as well.</w:t>
      </w:r>
      <w:r>
        <w:rPr>
          <w:b w:val="0"/>
          <w:i w:val="0"/>
        </w:rPr>
        <w:t xml:space="preserve"> That </w:t>
      </w:r>
      <w:r>
        <w:rPr>
          <w:b w:val="0"/>
          <w:i/>
        </w:rPr>
        <w:t>d</w:t>
      </w:r>
      <w:r>
        <w:rPr>
          <w:b w:val="0"/>
          <w:i w:val="0"/>
        </w:rPr>
        <w:t>–</w:t>
      </w:r>
      <w:r>
        <w:rPr>
          <w:b w:val="0"/>
          <w:i/>
        </w:rPr>
        <w:t>t</w:t>
      </w:r>
      <w:r>
        <w:rPr>
          <w:b w:val="0"/>
          <w:i w:val="0"/>
        </w:rPr>
        <w:t xml:space="preserve"> is the best mesomolecular fuel is not news to the field; what is set out here is the closed argument for it, over the whole candidate set at once. </w:t>
      </w:r>
      <w:r>
        <w:rPr>
          <w:b w:val="0"/>
          <w:i/>
        </w:rPr>
        <w:t>d</w:t>
      </w:r>
      <w:r>
        <w:rPr>
          <w:b w:val="0"/>
          <w:i w:val="0"/>
        </w:rPr>
        <w:t>–</w:t>
      </w:r>
      <w:r>
        <w:rPr>
          <w:b w:val="0"/>
          <w:i/>
        </w:rPr>
        <w:t>t</w:t>
      </w:r>
      <w:r>
        <w:rPr>
          <w:b w:val="0"/>
          <w:i w:val="0"/>
        </w:rPr>
        <w:t xml:space="preserve"> maximises the energy returned per binder by a factor of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xml:space="preserve">, which punishes a slow cycle exactly as it punishes a sticky one. The ordering survives every competitor's cycle rate being sent to infinity, leaving </w:t>
      </w:r>
      <w:r>
        <w:rPr>
          <w:b w:val="0"/>
          <w:i/>
        </w:rPr>
        <w:t>d</w:t>
      </w:r>
      <w:r>
        <w:rPr>
          <w:b w:val="0"/>
          <w:i w:val="0"/>
        </w:rPr>
        <w:t>–</w:t>
      </w:r>
      <w:r>
        <w:rPr>
          <w:b w:val="0"/>
          <w:i/>
        </w:rPr>
        <w:t>t</w:t>
      </w:r>
      <w:r>
        <w:rPr>
          <w:b w:val="0"/>
          <w:i w:val="0"/>
        </w:rPr>
        <w:t xml:space="preserve"> ahead by a factor of 24.58, so it rests on the stickings alone.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It contains no fitted term: two are measured, one is integrated from measured cross sections, and the fourth is a conversion fraction computed at a stated operating point and carried in both of its conventions.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at the production cost this paper integrates</w:t>
      </w:r>
      <w:r>
        <w:rPr>
          <w:b w:val="0"/>
          <w:i w:val="0"/>
        </w:rPr>
        <w:t xml:space="preserve">. The closest is bred fuel at the demonstrated 150 cycles per binder, at 0.623 as built; with both specified collector alterations it reaches 0.957, short of unity by a factor of 1.045 and short by no term other than a loss budget that has never been measured end to end. One route does cross — bred fuel through a </w:t>
      </w:r>
      <w:r>
        <w:rPr>
          <w:b w:val="0"/>
          <w:i/>
        </w:rPr>
        <w:t>published</w:t>
      </w:r>
      <w:r>
        <w:rPr>
          <w:b w:val="0"/>
          <w:i w:val="0"/>
        </w:rPr>
        <w:t xml:space="preserve"> optimisation of the production target, at 1.480 — and it crosses on an optimisation worth a factor of 2.373 that this paper prices and </w:t>
      </w:r>
      <w:r>
        <w:rPr>
          <w:b/>
          <w:i w:val="0"/>
        </w:rPr>
        <w:t>declines to adopt</w:t>
      </w:r>
      <w:r>
        <w:rPr>
          <w:b w:val="0"/>
          <w:i w:val="0"/>
        </w:rPr>
        <w:t>, because the gap between that optimisation and the integrated 11.13 GeV is a discrepancy the paper records and does not close.</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less tritium than the specified one by a factor of 64.71 and needs no lithium and no breeding blanket, at the cost of a fusion yield a factor of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a factor of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i w:val="0"/>
        </w:rPr>
        <w:t>Two</w:t>
      </w:r>
      <w:r>
        <w:rPr>
          <w:b w:val="0"/>
          <w:i w:val="0"/>
        </w:rPr>
        <w:t xml:space="preserve"> particles in the known spectrum sit inside that window, not one, and the second is removed by a test that is not about mass at all. The muon lies at 207 electron masses, a factor of 1.74 above the floor; the pion lies at 273 electron masses, inside the window and excluded because it is a hadron, absorbed by a nucleus long before a cycle completes. </w:t>
      </w:r>
      <w:r>
        <w:rPr>
          <w:b/>
          <w:i w:val="0"/>
        </w:rPr>
        <w:t>One particle survives every test</w:t>
      </w:r>
      <w:r>
        <w:rPr>
          <w:b w:val="0"/>
          <w:i w:val="0"/>
        </w:rPr>
        <w:t>, and §14.3 runs the scan in the order that constrains — lifetime first, because that is the cut whose set can be closed against the Review of Particle Physics without judgement, and mass only afterwards.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excluded</w:t>
            </w:r>
          </w:p>
        </w:tc>
        <w:tc>
          <w:tcPr>
            <w:tcW w:type="dxa" w:w="2976"/>
          </w:tcPr>
          <w:p>
            <w:r/>
            <w:r>
              <w:rPr>
                <w:b/>
                <w:i w:val="0"/>
              </w:rPr>
              <w:t>grounds</w:t>
            </w:r>
          </w:p>
        </w:tc>
        <w:tc>
          <w:tcPr>
            <w:tcW w:type="dxa" w:w="2976"/>
          </w:tcPr>
          <w:p>
            <w:r/>
            <w:r>
              <w:rPr>
                <w:b/>
                <w:i w:val="0"/>
              </w:rPr>
              <w:t>consulted at</w:t>
            </w:r>
          </w:p>
        </w:tc>
      </w:tr>
      <w:tr>
        <w:tc>
          <w:tcPr>
            <w:tcW w:type="dxa" w:w="2976"/>
          </w:tcPr>
          <w:p>
            <w:r/>
            <w:r>
              <w:rPr>
                <w:b w:val="0"/>
                <w:i w:val="0"/>
              </w:rPr>
              <w:t>electron-bound systems</w:t>
            </w:r>
          </w:p>
        </w:tc>
        <w:tc>
          <w:tcPr>
            <w:tcW w:type="dxa" w:w="2976"/>
          </w:tcPr>
          <w:p>
            <w:r/>
            <w:r>
              <w:rPr>
                <w:b w:val="0"/>
                <w:i w:val="0"/>
              </w:rPr>
              <w:t>geometry: 74100 fm against 280 fm, some ninety-one orders short — the electron lies below the window</w:t>
            </w:r>
          </w:p>
        </w:tc>
        <w:tc>
          <w:tcPr>
            <w:tcW w:type="dxa" w:w="2976"/>
          </w:tcPr>
          <w:p>
            <w:r/>
            <w:r>
              <w:rPr>
                <w:b w:val="0"/>
                <w:i w:val="0"/>
              </w:rPr>
              <w:t>mass</w:t>
            </w:r>
          </w:p>
        </w:tc>
      </w:tr>
      <w:tr>
        <w:tc>
          <w:tcPr>
            <w:tcW w:type="dxa" w:w="2976"/>
          </w:tcPr>
          <w:p>
            <w:r/>
            <w:r>
              <w:rPr>
                <w:b w:val="0"/>
                <w:i w:val="0"/>
              </w:rPr>
              <w:t>the pion</w:t>
            </w:r>
          </w:p>
        </w:tc>
        <w:tc>
          <w:tcPr>
            <w:tcW w:type="dxa" w:w="2976"/>
          </w:tcPr>
          <w:p>
            <w:r/>
            <w:r>
              <w:rPr>
                <w:b w:val="0"/>
                <w:i w:val="0"/>
              </w:rPr>
              <w:t>a hadron: absorbed by a nucleus before the cycle completes, failing conditions 3 and 4</w:t>
            </w:r>
          </w:p>
        </w:tc>
        <w:tc>
          <w:tcPr>
            <w:tcW w:type="dxa" w:w="2976"/>
          </w:tcPr>
          <w:p>
            <w:r/>
            <w:r>
              <w:rPr>
                <w:b w:val="0"/>
                <w:i w:val="0"/>
              </w:rPr>
              <w:t xml:space="preserve">the hadron test, </w:t>
            </w:r>
            <w:r>
              <w:rPr>
                <w:b/>
                <w:i w:val="0"/>
              </w:rPr>
              <w:t>inside</w:t>
            </w:r>
            <w:r>
              <w:rPr>
                <w:b w:val="0"/>
                <w:i w:val="0"/>
              </w:rPr>
              <w:t xml:space="preserve"> the window</w:t>
            </w:r>
          </w:p>
        </w:tc>
      </w:tr>
      <w:tr>
        <w:tc>
          <w:tcPr>
            <w:tcW w:type="dxa" w:w="2976"/>
          </w:tcPr>
          <w:p>
            <w:r/>
            <w:r>
              <w:rPr>
                <w:b w:val="0"/>
                <w:i w:val="0"/>
              </w:rPr>
              <w:t>the kaon and the antiproton</w:t>
            </w:r>
          </w:p>
        </w:tc>
        <w:tc>
          <w:tcPr>
            <w:tcW w:type="dxa" w:w="2976"/>
          </w:tcPr>
          <w:p>
            <w:r/>
            <w:r>
              <w:rPr>
                <w:b w:val="0"/>
                <w:i w:val="0"/>
              </w:rPr>
              <w:t>above the window's ceiling at 966 electron masses and beyond</w:t>
            </w:r>
          </w:p>
        </w:tc>
        <w:tc>
          <w:tcPr>
            <w:tcW w:type="dxa" w:w="2976"/>
          </w:tcPr>
          <w:p>
            <w:r/>
            <w:r>
              <w:rPr>
                <w:b w:val="0"/>
                <w:i w:val="0"/>
              </w:rPr>
              <w:t>mass</w:t>
            </w:r>
          </w:p>
        </w:tc>
      </w:tr>
      <w:tr>
        <w:tc>
          <w:tcPr>
            <w:tcW w:type="dxa" w:w="2976"/>
          </w:tcPr>
          <w:p>
            <w:r/>
            <w:r>
              <w:rPr>
                <w:b w:val="0"/>
                <w:i w:val="0"/>
              </w:rPr>
              <w:t>the tau, the charged hyperons, the charmed and bottom hadrons, every resonance</w:t>
            </w:r>
          </w:p>
        </w:tc>
        <w:tc>
          <w:tcPr>
            <w:tcW w:type="dxa" w:w="2976"/>
          </w:tcPr>
          <w:p>
            <w:r/>
            <w:r>
              <w:rPr>
                <w:b w:val="0"/>
                <w:i w:val="0"/>
              </w:rPr>
              <w:t xml:space="preserve">too short-lived to reach the mesomolecular formation time, so excluded </w:t>
            </w:r>
            <w:r>
              <w:rPr>
                <w:b/>
                <w:i w:val="0"/>
              </w:rPr>
              <w:t>before</w:t>
            </w:r>
            <w:r>
              <w:rPr>
                <w:b w:val="0"/>
                <w:i w:val="0"/>
              </w:rPr>
              <w:t xml:space="preserve"> a mass is consulted</w:t>
            </w:r>
          </w:p>
        </w:tc>
        <w:tc>
          <w:tcPr>
            <w:tcW w:type="dxa" w:w="2976"/>
          </w:tcPr>
          <w:p>
            <w:r/>
            <w:r>
              <w:rPr>
                <w:b w:val="0"/>
                <w:i w:val="0"/>
              </w:rPr>
              <w:t>lifetime</w:t>
            </w:r>
          </w:p>
        </w:tc>
      </w:tr>
      <w:tr>
        <w:tc>
          <w:tcPr>
            <w:tcW w:type="dxa" w:w="2976"/>
          </w:tcPr>
          <w:p>
            <w:r/>
            <w:r>
              <w:rPr>
                <w:b w:val="0"/>
                <w:i w:val="0"/>
              </w:rPr>
              <w:t>enhanced ambient screening</w:t>
            </w:r>
          </w:p>
        </w:tc>
        <w:tc>
          <w:tcPr>
            <w:tcW w:type="dxa" w:w="2976"/>
          </w:tcPr>
          <w:p>
            <w:r/>
            <w:r>
              <w:rPr>
                <w:b w:val="0"/>
                <w:i w:val="0"/>
              </w:rPr>
              <w:t>conservation, §1</w:t>
            </w:r>
          </w:p>
        </w:tc>
        <w:tc>
          <w:tcPr>
            <w:tcW w:type="dxa" w:w="2976"/>
          </w:tcPr>
          <w:p>
            <w:r/>
            <w:r>
              <w:rPr>
                <w:b w:val="0"/>
                <w:i w:val="0"/>
              </w:rPr>
              <w:t>—</w:t>
            </w:r>
          </w:p>
        </w:tc>
      </w:tr>
      <w:tr>
        <w:tc>
          <w:tcPr>
            <w:tcW w:type="dxa" w:w="2976"/>
          </w:tcPr>
          <w:p>
            <w:r/>
            <w:r>
              <w:rPr>
                <w:b w:val="0"/>
                <w:i w:val="0"/>
              </w:rPr>
              <w:t>thermal and inertial fusion</w:t>
            </w:r>
          </w:p>
        </w:tc>
        <w:tc>
          <w:tcPr>
            <w:tcW w:type="dxa" w:w="2976"/>
          </w:tcPr>
          <w:p>
            <w:r/>
            <w:r>
              <w:rPr>
                <w:b w:val="0"/>
                <w:i w:val="0"/>
              </w:rPr>
              <w:t>by definition — approach supplied by kinetic energy</w:t>
            </w:r>
          </w:p>
        </w:tc>
        <w:tc>
          <w:tcPr>
            <w:tcW w:type="dxa" w:w="2976"/>
          </w:tcPr>
          <w:p>
            <w:r/>
            <w:r>
              <w:rPr>
                <w:b w:val="0"/>
                <w:i w:val="0"/>
              </w:rPr>
              <w:t>—</w:t>
            </w:r>
          </w:p>
        </w:tc>
      </w:tr>
      <w:tr>
        <w:tc>
          <w:tcPr>
            <w:tcW w:type="dxa" w:w="2976"/>
          </w:tcPr>
          <w:p>
            <w:r/>
            <w:r>
              <w:rPr>
                <w:b w:val="0"/>
                <w:i w:val="0"/>
              </w:rPr>
              <w:t>chain multiplication of binders</w:t>
            </w:r>
          </w:p>
        </w:tc>
        <w:tc>
          <w:tcPr>
            <w:tcW w:type="dxa" w:w="2976"/>
          </w:tcPr>
          <w:p>
            <w:r/>
            <w:r>
              <w:rPr>
                <w:b w:val="0"/>
                <w:i w:val="0"/>
              </w:rPr>
              <w:t>no nuclear event releases enough to fund a second binder</w:t>
            </w:r>
          </w:p>
        </w:tc>
        <w:tc>
          <w:tcPr>
            <w:tcW w:type="dxa" w:w="2976"/>
          </w:tcPr>
          <w:p>
            <w:r/>
            <w:r>
              <w:rPr>
                <w:b w:val="0"/>
                <w:i w:val="0"/>
              </w:rPr>
              <w:t>—</w:t>
            </w:r>
          </w:p>
        </w:tc>
      </w:tr>
    </w:tbl>
    <w:p/>
    <w:p>
      <w:r>
        <w:rPr>
          <w:b w:val="0"/>
          <w:i w:val="0"/>
        </w:rPr>
        <w:t>None of the exclusions is a near thing, and §14.3's Corollary 1.0 prices how far the window's own bounds may move before the surviving set changes: a factor of 207 at the floor and 3.54 at the ceiling.</w:t>
      </w:r>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about what the mesomolecule holds, and this paper had assumed </w:t>
      </w:r>
      <w:r>
        <w:rPr>
          <w:b w:val="0"/>
          <w:i/>
        </w:rPr>
        <w:t>d</w:t>
      </w:r>
      <w:r>
        <w:rPr>
          <w:b w:val="0"/>
          <w:i w:val="0"/>
        </w:rPr>
        <w:t>–</w:t>
      </w:r>
      <w:r>
        <w:rPr>
          <w:b w:val="0"/>
          <w:i/>
        </w:rPr>
        <w:t>t</w:t>
      </w:r>
      <w:r>
        <w:rPr>
          <w:b w:val="0"/>
          <w:i w:val="0"/>
        </w:rPr>
        <w:t xml:space="preserve"> throughout without asking. That </w:t>
      </w:r>
      <w:r>
        <w:rPr>
          <w:b w:val="0"/>
          <w:i/>
        </w:rPr>
        <w:t>d</w:t>
      </w:r>
      <w:r>
        <w:rPr>
          <w:b w:val="0"/>
          <w:i w:val="0"/>
        </w:rPr>
        <w:t>–</w:t>
      </w:r>
      <w:r>
        <w:rPr>
          <w:b w:val="0"/>
          <w:i/>
        </w:rPr>
        <w:t>t</w:t>
      </w:r>
      <w:r>
        <w:rPr>
          <w:b w:val="0"/>
          <w:i w:val="0"/>
        </w:rPr>
        <w:t xml:space="preserve"> is the best mesomolecular fuel is not news to the field; what is set out here is the closed argument for it, because the fuel is where this reaction's largest practical liability sits, and a uniqueness claim covering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10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pair</w:t>
            </w:r>
          </w:p>
        </w:tc>
        <w:tc>
          <w:tcPr>
            <w:tcW w:type="dxa" w:w="2976"/>
          </w:tcPr>
          <w:p>
            <w:r/>
            <w:r>
              <w:rPr>
                <w:b/>
                <w:i w:val="0"/>
              </w:rPr>
              <w:t>cycles per muon</w:t>
            </w:r>
          </w:p>
        </w:tc>
        <w:tc>
          <w:tcPr>
            <w:tcW w:type="dxa" w:w="2976"/>
          </w:tcPr>
          <w:p>
            <w:r/>
            <w:r>
              <w:rPr>
                <w:b/>
                <w:i w:val="0"/>
              </w:rPr>
              <w:t>energy per muon</w:t>
            </w:r>
          </w:p>
        </w:tc>
      </w:tr>
      <w:tr>
        <w:tc>
          <w:tcPr>
            <w:tcW w:type="dxa" w:w="2976"/>
          </w:tcPr>
          <w:p>
            <w:r/>
            <w:r>
              <w:rPr>
                <w:b/>
                <w:i w:val="0"/>
              </w:rPr>
              <w:t>d–t</w:t>
            </w:r>
          </w:p>
        </w:tc>
        <w:tc>
          <w:tcPr>
            <w:tcW w:type="dxa" w:w="2976"/>
          </w:tcPr>
          <w:p>
            <w:r/>
            <w:r>
              <w:rPr>
                <w:b/>
                <w:i w:val="0"/>
              </w:rPr>
              <w:t>113.08 cycles</w:t>
            </w:r>
          </w:p>
        </w:tc>
        <w:tc>
          <w:tcPr>
            <w:tcW w:type="dxa" w:w="2976"/>
          </w:tcPr>
          <w:p>
            <w:r/>
            <w:r>
              <w:rPr>
                <w:b/>
                <w:i w:val="0"/>
              </w:rPr>
              <w:t>1989.1 MeV</w:t>
            </w:r>
          </w:p>
        </w:tc>
      </w:tr>
      <w:tr>
        <w:tc>
          <w:tcPr>
            <w:tcW w:type="dxa" w:w="2976"/>
          </w:tcPr>
          <w:p>
            <w:r/>
            <w:r>
              <w:rPr>
                <w:b w:val="0"/>
                <w:i w:val="0"/>
              </w:rPr>
              <w:t>t–t</w:t>
            </w:r>
          </w:p>
        </w:tc>
        <w:tc>
          <w:tcPr>
            <w:tcW w:type="dxa" w:w="2976"/>
          </w:tcPr>
          <w:p>
            <w:r/>
            <w:r>
              <w:rPr>
                <w:b w:val="0"/>
                <w:i w:val="0"/>
              </w:rPr>
              <w:t>2.26 cycles</w:t>
            </w:r>
          </w:p>
        </w:tc>
        <w:tc>
          <w:tcPr>
            <w:tcW w:type="dxa" w:w="2976"/>
          </w:tcPr>
          <w:p>
            <w:r/>
            <w:r>
              <w:rPr>
                <w:b w:val="0"/>
                <w:i w:val="0"/>
              </w:rPr>
              <w:t>25.55 MeV</w:t>
            </w:r>
          </w:p>
        </w:tc>
      </w:tr>
      <w:tr>
        <w:tc>
          <w:tcPr>
            <w:tcW w:type="dxa" w:w="2976"/>
          </w:tcPr>
          <w:p>
            <w:r/>
            <w:r>
              <w:rPr>
                <w:b w:val="0"/>
                <w:i w:val="0"/>
              </w:rPr>
              <w:t>p–t</w:t>
            </w:r>
          </w:p>
        </w:tc>
        <w:tc>
          <w:tcPr>
            <w:tcW w:type="dxa" w:w="2976"/>
          </w:tcPr>
          <w:p>
            <w:r/>
            <w:r>
              <w:rPr>
                <w:b w:val="0"/>
                <w:i w:val="0"/>
              </w:rPr>
              <w:t>0.7117 cycles</w:t>
            </w:r>
          </w:p>
        </w:tc>
        <w:tc>
          <w:tcPr>
            <w:tcW w:type="dxa" w:w="2976"/>
          </w:tcPr>
          <w:p>
            <w:r/>
            <w:r>
              <w:rPr>
                <w:b w:val="0"/>
                <w:i w:val="0"/>
              </w:rPr>
              <w:t>14.098 MeV</w:t>
            </w:r>
          </w:p>
        </w:tc>
      </w:tr>
      <w:tr>
        <w:tc>
          <w:tcPr>
            <w:tcW w:type="dxa" w:w="2976"/>
          </w:tcPr>
          <w:p>
            <w:r/>
            <w:r>
              <w:rPr>
                <w:b w:val="0"/>
                <w:i w:val="0"/>
              </w:rPr>
              <w:t>d–d</w:t>
            </w:r>
          </w:p>
        </w:tc>
        <w:tc>
          <w:tcPr>
            <w:tcW w:type="dxa" w:w="2976"/>
          </w:tcPr>
          <w:p>
            <w:r/>
            <w:r>
              <w:rPr>
                <w:b w:val="0"/>
                <w:i w:val="0"/>
              </w:rPr>
              <w:t>2.36 cycles</w:t>
            </w:r>
          </w:p>
        </w:tc>
        <w:tc>
          <w:tcPr>
            <w:tcW w:type="dxa" w:w="2976"/>
          </w:tcPr>
          <w:p>
            <w:r/>
            <w:r>
              <w:rPr>
                <w:b w:val="0"/>
                <w:i w:val="0"/>
              </w:rPr>
              <w:t>8.62 MeV</w:t>
            </w:r>
          </w:p>
        </w:tc>
      </w:tr>
      <w:tr>
        <w:tc>
          <w:tcPr>
            <w:tcW w:type="dxa" w:w="2976"/>
          </w:tcPr>
          <w:p>
            <w:r/>
            <w:r>
              <w:rPr>
                <w:b w:val="0"/>
                <w:i w:val="0"/>
              </w:rPr>
              <w:t>p–d</w:t>
            </w:r>
          </w:p>
        </w:tc>
        <w:tc>
          <w:tcPr>
            <w:tcW w:type="dxa" w:w="2976"/>
          </w:tcPr>
          <w:p>
            <w:r/>
            <w:r>
              <w:rPr>
                <w:b w:val="0"/>
                <w:i w:val="0"/>
              </w:rPr>
              <w:t>1.0191 cycles</w:t>
            </w:r>
          </w:p>
        </w:tc>
        <w:tc>
          <w:tcPr>
            <w:tcW w:type="dxa" w:w="2976"/>
          </w:tcPr>
          <w:p>
            <w:r/>
            <w:r>
              <w:rPr>
                <w:b w:val="0"/>
                <w:i w:val="0"/>
              </w:rPr>
              <w:t>5.595 MeV</w:t>
            </w:r>
          </w:p>
        </w:tc>
      </w:tr>
      <w:tr>
        <w:tc>
          <w:tcPr>
            <w:tcW w:type="dxa" w:w="2976"/>
          </w:tcPr>
          <w:p>
            <w:r/>
            <w:r>
              <w:rPr>
                <w:b w:val="0"/>
                <w:i w:val="0"/>
              </w:rPr>
              <w:t>d–³He</w:t>
            </w:r>
          </w:p>
        </w:tc>
        <w:tc>
          <w:tcPr>
            <w:tcW w:type="dxa" w:w="2976"/>
          </w:tcPr>
          <w:p>
            <w:r/>
            <w:r>
              <w:rPr>
                <w:b w:val="0"/>
                <w:i w:val="0"/>
              </w:rPr>
              <w:t>0.1805 cycles</w:t>
            </w:r>
          </w:p>
        </w:tc>
        <w:tc>
          <w:tcPr>
            <w:tcW w:type="dxa" w:w="2976"/>
          </w:tcPr>
          <w:p>
            <w:r/>
            <w:r>
              <w:rPr>
                <w:b w:val="0"/>
                <w:i w:val="0"/>
              </w:rPr>
              <w:t>3.311 MeV</w:t>
            </w:r>
          </w:p>
        </w:tc>
      </w:tr>
      <w:tr>
        <w:tc>
          <w:tcPr>
            <w:tcW w:type="dxa" w:w="2976"/>
          </w:tcPr>
          <w:p>
            <w:r/>
            <w:r>
              <w:rPr>
                <w:b w:val="0"/>
                <w:i w:val="0"/>
              </w:rPr>
              <w:t>p–³He</w:t>
            </w:r>
          </w:p>
        </w:tc>
        <w:tc>
          <w:tcPr>
            <w:tcW w:type="dxa" w:w="2976"/>
          </w:tcPr>
          <w:p>
            <w:r/>
            <w:r>
              <w:rPr>
                <w:b w:val="0"/>
                <w:i w:val="0"/>
              </w:rPr>
              <w:t>0.0215 cycles</w:t>
            </w:r>
          </w:p>
        </w:tc>
        <w:tc>
          <w:tcPr>
            <w:tcW w:type="dxa" w:w="2976"/>
          </w:tcPr>
          <w:p>
            <w:r/>
            <w:r>
              <w:rPr>
                <w:b w:val="0"/>
                <w:i w:val="0"/>
              </w:rPr>
              <w:t>0.0400 MeV</w:t>
            </w:r>
          </w:p>
        </w:tc>
      </w:tr>
      <w:tr>
        <w:tc>
          <w:tcPr>
            <w:tcW w:type="dxa" w:w="2976"/>
          </w:tcPr>
          <w:p>
            <w:r/>
            <w:r>
              <w:rPr>
                <w:b w:val="0"/>
                <w:i w:val="0"/>
              </w:rPr>
              <w:t>p–p</w:t>
            </w:r>
          </w:p>
        </w:tc>
        <w:tc>
          <w:tcPr>
            <w:tcW w:type="dxa" w:w="2976"/>
          </w:tcPr>
          <w:p>
            <w:r/>
            <w:r>
              <w:rPr>
                <w:b w:val="0"/>
                <w:i w:val="0"/>
              </w:rPr>
              <w:t>0.00022 cycles</w:t>
            </w:r>
          </w:p>
        </w:tc>
        <w:tc>
          <w:tcPr>
            <w:tcW w:type="dxa" w:w="2976"/>
          </w:tcPr>
          <w:p>
            <w:r/>
            <w:r>
              <w:rPr>
                <w:b w:val="0"/>
                <w:i w:val="0"/>
              </w:rPr>
              <w:t>0.00032 MeV</w:t>
            </w:r>
          </w:p>
        </w:tc>
      </w:tr>
    </w:tbl>
    <w:p/>
    <w:p>
      <w:r>
        <w:rPr>
          <w:b w:val="0"/>
          <w:i w:val="0"/>
        </w:rPr>
        <w:t xml:space="preserve">The whole set is shown rather than summarised, because a uniqueness claim over a closed set is only checkable if the set is on the page. Two entries repay reading, and both are visible in the table itself. </w:t>
      </w:r>
      <w:r>
        <w:rPr>
          <w:b w:val="0"/>
          <w:i/>
        </w:rPr>
        <w:t>p</w:t>
      </w:r>
      <w:r>
        <w:rPr>
          <w:b w:val="0"/>
          <w:i w:val="0"/>
        </w:rPr>
        <w:t>–</w:t>
      </w:r>
      <w:r>
        <w:rPr>
          <w:b w:val="0"/>
          <w:i/>
        </w:rPr>
        <w:t>t</w:t>
      </w:r>
      <w:r>
        <w:rPr>
          <w:b w:val="0"/>
          <w:i w:val="0"/>
        </w:rPr>
        <w:t xml:space="preserve"> completes </w:t>
      </w:r>
      <w:r>
        <w:rPr>
          <w:b/>
          <w:i w:val="0"/>
        </w:rPr>
        <w:t>fewer</w:t>
      </w:r>
      <w:r>
        <w:rPr>
          <w:b w:val="0"/>
          <w:i w:val="0"/>
        </w:rPr>
        <w:t xml:space="preserve"> cycles than </w:t>
      </w:r>
      <w:r>
        <w:rPr>
          <w:b w:val="0"/>
          <w:i/>
        </w:rPr>
        <w:t>d</w:t>
      </w:r>
      <w:r>
        <w:rPr>
          <w:b w:val="0"/>
          <w:i w:val="0"/>
        </w:rPr>
        <w:t>–</w:t>
      </w:r>
      <w:r>
        <w:rPr>
          <w:b w:val="0"/>
          <w:i/>
        </w:rPr>
        <w:t>d</w:t>
      </w:r>
      <w:r>
        <w:rPr>
          <w:b w:val="0"/>
          <w:i w:val="0"/>
        </w:rPr>
        <w:t xml:space="preserve"> and returns </w:t>
      </w:r>
      <w:r>
        <w:rPr>
          <w:b/>
          <w:i w:val="0"/>
        </w:rPr>
        <w:t>more</w:t>
      </w:r>
      <w:r>
        <w:rPr>
          <w:b w:val="0"/>
          <w:i w:val="0"/>
        </w:rPr>
        <w:t xml:space="preserve"> energy per binder than it, its larger release per fusion outweighing its shorter catalytic life — which is what it means for the figure of merit to be neither column alone. And </w:t>
      </w:r>
      <w:r>
        <w:rPr>
          <w:b w:val="0"/>
          <w:i/>
        </w:rPr>
        <w:t>p</w:t>
      </w:r>
      <w:r>
        <w:rPr>
          <w:b w:val="0"/>
          <w:i w:val="0"/>
        </w:rPr>
        <w:t>–</w:t>
      </w:r>
      <w:r>
        <w:rPr>
          <w:b w:val="0"/>
          <w:i/>
        </w:rPr>
        <w:t>d</w:t>
      </w:r>
      <w:r>
        <w:rPr>
          <w:b w:val="0"/>
          <w:i w:val="0"/>
        </w:rPr>
        <w:t xml:space="preserve"> completes just over one cycle, so the entries below </w:t>
      </w:r>
      <w:r>
        <w:rPr>
          <w:b w:val="0"/>
          <w:i/>
        </w:rPr>
        <w:t>d</w:t>
      </w:r>
      <w:r>
        <w:rPr>
          <w:b w:val="0"/>
          <w:i w:val="0"/>
        </w:rPr>
        <w:t>–</w:t>
      </w:r>
      <w:r>
        <w:rPr>
          <w:b w:val="0"/>
          <w:i/>
        </w:rPr>
        <w:t>d</w:t>
      </w:r>
      <w:r>
        <w:rPr>
          <w:b w:val="0"/>
          <w:i w:val="0"/>
        </w:rPr>
        <w:t xml:space="preserve"> are behind rather than sterile.</w:t>
      </w:r>
    </w:p>
    <w:p>
      <w:pPr>
        <w:spacing w:before="160" w:after="200"/>
        <w:ind w:left="461" w:right="259"/>
      </w:pPr>
      <w:r>
        <w:rPr>
          <w:b/>
          <w:i w:val="0"/>
        </w:rPr>
        <w:t>Theorem 4 (uniqueness of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a factor of 77.85 against the next candidate. §14.8 proves it.</w:t>
      </w:r>
    </w:p>
    <w:p>
      <w:r>
        <w:rPr>
          <w:b/>
          <w:i w:val="0"/>
        </w:rPr>
        <w:t>And the ranking does not rest on the cycle rates.</w:t>
      </w:r>
      <w:r>
        <w:rPr>
          <w:b w:val="0"/>
          <w:i w:val="0"/>
        </w:rPr>
        <w:t xml:space="preserve"> They are literature bands rather than a single measurement for every pair, so a reader is entitled to ask what the ordering would survive. The answer is: all of it. Since a binder completes at most </w:t>
      </w:r>
      <w:r>
        <w:rPr>
          <w:rFonts w:ascii="Consolas" w:hAnsi="Consolas"/>
          <w:b w:val="0"/>
          <w:i w:val="0"/>
          <w:sz w:val="19"/>
        </w:rPr>
        <w:t>1/ω_s</w:t>
      </w:r>
      <w:r>
        <w:rPr>
          <w:b w:val="0"/>
          <w:i w:val="0"/>
        </w:rPr>
        <w:t xml:space="preserve"> cycles whatever the cycle rate, no pair can return more than </w:t>
      </w:r>
      <w:r>
        <w:rPr>
          <w:rFonts w:ascii="Consolas" w:hAnsi="Consolas"/>
          <w:b w:val="0"/>
          <w:i w:val="0"/>
          <w:sz w:val="19"/>
        </w:rPr>
        <w:t>Q/ω_s</w:t>
      </w:r>
      <w:r>
        <w:rPr>
          <w:b w:val="0"/>
          <w:i w:val="0"/>
        </w:rPr>
        <w:t xml:space="preserve"> per binder however fast it is made to run, and that ceiling consults no rate at all. The largest ceiling any competitor has is </w:t>
      </w:r>
      <w:r>
        <w:rPr>
          <w:b w:val="0"/>
          <w:i/>
        </w:rPr>
        <w:t>t</w:t>
      </w:r>
      <w:r>
        <w:rPr>
          <w:b w:val="0"/>
          <w:i w:val="0"/>
        </w:rPr>
        <w:t>–</w:t>
      </w:r>
      <w:r>
        <w:rPr>
          <w:b w:val="0"/>
          <w:i/>
        </w:rPr>
        <w:t>t</w:t>
      </w:r>
      <w:r>
        <w:rPr>
          <w:b w:val="0"/>
          <w:i w:val="0"/>
        </w:rPr>
        <w:t xml:space="preserve">'s, at 80.93 MeV — so </w:t>
      </w:r>
      <w:r>
        <w:rPr>
          <w:b w:val="0"/>
          <w:i/>
        </w:rPr>
        <w:t>d</w:t>
      </w:r>
      <w:r>
        <w:rPr>
          <w:b w:val="0"/>
          <w:i w:val="0"/>
        </w:rPr>
        <w:t>–</w:t>
      </w:r>
      <w:r>
        <w:rPr>
          <w:b w:val="0"/>
          <w:i/>
        </w:rPr>
        <w:t>t</w:t>
      </w:r>
      <w:r>
        <w:rPr>
          <w:b w:val="0"/>
          <w:i w:val="0"/>
        </w:rPr>
        <w:t xml:space="preserve">'s own value still leads by a factor of 24.58 with </w:t>
      </w:r>
      <w:r>
        <w:rPr>
          <w:b/>
          <w:i w:val="0"/>
        </w:rPr>
        <w:t>every other pair's cycle rate sent to infinity</w:t>
      </w:r>
      <w:r>
        <w:rPr>
          <w:b w:val="0"/>
          <w:i w:val="0"/>
        </w:rPr>
        <w:t>. Corollary 4.1 in §14.8 states it. Only the stickings are load-bearing after that, and the margin one of them would have to close is the same factor of 24.58.</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ahead by factors of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What the ranking does not settle.</w:t>
      </w:r>
      <w:r>
        <w:rPr>
          <w:b w:val="0"/>
          <w:i w:val="0"/>
        </w:rPr>
        <w:t xml:space="preserve"> It ranks on energy returned per binder, which is the right objective for a machine that must pay for its binders and the wrong one for a machine judged on what it must hold. A designer weighing tritium inventory rather than yield is asking a different question, the ranking cannot see it, and §8 answers it.</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w:t>
      </w:r>
      <w:r>
        <w:rPr>
          <w:b/>
          <w:i w:val="0"/>
        </w:rPr>
        <w:t>sticking</w:t>
      </w:r>
      <w:r>
        <w:rPr>
          <w:b w:val="0"/>
          <w:i w:val="0"/>
        </w:rPr>
        <w:t xml:space="preserve"> probability per cycle.</w:t>
      </w:r>
    </w:p>
    <w:p>
      <w:r>
        <w:rPr>
          <w:rFonts w:ascii="Consolas" w:hAnsi="Consolas"/>
          <w:b w:val="0"/>
          <w:i w:val="0"/>
          <w:sz w:val="19"/>
        </w:rPr>
        <w:t>ω_s</w:t>
      </w:r>
      <w:r>
        <w:rPr>
          <w:b w:val="0"/>
          <w:i w:val="0"/>
        </w:rPr>
        <w:t xml:space="preserve"> is the sticking probability throughout this paper, and it is one of the binder's two loss channels rather than both of them: the other is free decay, which §3's figure of merit carries explicitly as </w:t>
      </w:r>
      <w:r>
        <w:rPr>
          <w:rFonts w:ascii="Consolas" w:hAnsi="Consolas"/>
          <w:b w:val="0"/>
          <w:i w:val="0"/>
          <w:sz w:val="19"/>
        </w:rPr>
        <w:t>λ_0/λ_c</w:t>
      </w:r>
      <w:r>
        <w:rPr>
          <w:b w:val="0"/>
          <w:i w:val="0"/>
        </w:rPr>
        <w:t xml:space="preserve">. Condition 8 omits it deliberately. A binder that also decays completes </w:t>
      </w:r>
      <w:r>
        <w:rPr>
          <w:b w:val="0"/>
          <w:i/>
        </w:rPr>
        <w:t>fewer</w:t>
      </w:r>
      <w:r>
        <w:rPr>
          <w:b w:val="0"/>
          <w:i w:val="0"/>
        </w:rPr>
        <w:t xml:space="preserve"> cycles than </w:t>
      </w:r>
      <w:r>
        <w:rPr>
          <w:rFonts w:ascii="Consolas" w:hAnsi="Consolas"/>
          <w:b w:val="0"/>
          <w:i w:val="0"/>
          <w:sz w:val="19"/>
        </w:rPr>
        <w:t>1/ω_s</w:t>
      </w:r>
      <w:r>
        <w:rPr>
          <w:b w:val="0"/>
          <w:i w:val="0"/>
        </w:rPr>
        <w:t xml:space="preserve">, so the right-hand side is a ceiling on what one binder can return and the condition is </w:t>
      </w:r>
      <w:r>
        <w:rPr>
          <w:b/>
          <w:i w:val="0"/>
        </w:rPr>
        <w:t>necessary</w:t>
      </w:r>
      <w:r>
        <w:rPr>
          <w:b w:val="0"/>
          <w:i w:val="0"/>
        </w:rPr>
        <w:t xml:space="preserve"> rather than sufficient — which is the direction that matters here, because every verdict this paper reaches on condition 8 is negative, and a negative verdict against a generous bound is stronger than one against a tight bound.</w:t>
      </w:r>
    </w:p>
    <w:p>
      <w:r>
        <w:rPr>
          <w:b w:val="0"/>
          <w:i w:val="0"/>
        </w:rPr>
        <w:t xml:space="preserve">Condition 8 is therefore not an efficiency target that might be approached with better engineering but an accounting identity, and it contains no fitted quantity: </w:t>
      </w:r>
      <w:r>
        <w:rPr>
          <w:rFonts w:ascii="Consolas" w:hAnsi="Consolas"/>
          <w:b w:val="0"/>
          <w:i w:val="0"/>
          <w:sz w:val="19"/>
        </w:rPr>
        <w:t>Q_fus</w:t>
      </w:r>
      <w:r>
        <w:rPr>
          <w:b w:val="0"/>
          <w:i w:val="0"/>
        </w:rPr>
        <w:t xml:space="preserve"> and </w:t>
      </w:r>
      <w:r>
        <w:rPr>
          <w:rFonts w:ascii="Consolas" w:hAnsi="Consolas"/>
          <w:b w:val="0"/>
          <w:i w:val="0"/>
          <w:sz w:val="19"/>
        </w:rPr>
        <w:t>ω_s</w:t>
      </w:r>
      <w:r>
        <w:rPr>
          <w:b w:val="0"/>
          <w:i w:val="0"/>
        </w:rPr>
        <w:t xml:space="preserve"> are measured, </w:t>
      </w:r>
      <w:r>
        <w:rPr>
          <w:rFonts w:ascii="Consolas" w:hAnsi="Consolas"/>
          <w:b w:val="0"/>
          <w:i w:val="0"/>
          <w:sz w:val="19"/>
        </w:rPr>
        <w:t>E_binder</w:t>
      </w:r>
      <w:r>
        <w:rPr>
          <w:b w:val="0"/>
          <w:i w:val="0"/>
        </w:rPr>
        <w:t xml:space="preserve"> is integrated in §5.1 from measured cross sections, and </w:t>
      </w:r>
      <w:r>
        <w:rPr>
          <w:rFonts w:ascii="Consolas" w:hAnsi="Consolas"/>
          <w:b w:val="0"/>
          <w:i w:val="0"/>
          <w:sz w:val="19"/>
        </w:rPr>
        <w:t>f_work</w:t>
      </w:r>
      <w:r>
        <w:rPr>
          <w:b w:val="0"/>
          <w:i w:val="0"/>
        </w:rPr>
        <w:t xml:space="preserve"> is computed from a stated operating point and carried in both of its conventions rather than chosen. Proposition 1 in §14.2 derives it, including the two distinct reasons the cycle bound is never attained.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Sticking is the probability that the muon leaves the fusion bound to the alpha particle and is lost from the cycle. Of the binder's two loss channels it is the larger at the cycle rates this reaction runs at, and it is the one most attempts at improvement have aimed at — the other, free decay, is a property of the muon and cannot be aimed at at all.</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which is 0.1081 π⁻ per proton — the two acceptances are quoted in different units in the source tables, so the cross sections do not add to the yield and the conversion is stated rather than left to the reader.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 xml:space="preserve">It is worth noting which hemisphere carries the yield, because a common argument turns on it. The machine that has been built captures the </w:t>
      </w:r>
      <w:r>
        <w:rPr>
          <w:b/>
          <w:i w:val="0"/>
        </w:rPr>
        <w:t>forward</w:t>
      </w:r>
      <w:r>
        <w:rPr>
          <w:b w:val="0"/>
          <w:i w:val="0"/>
        </w:rPr>
        <w:t xml:space="preserve"> hemisphere, and it is sometimes suggested that a reactor could gain a large factor by capturing the backward one as well. Run through the acceptance model of §6.1 that gain is 1.20 — worth having, and not a factor of several. The two acceptance windows the integration above uses are not hemispheres and should not be read as though they were: the forward window contributes 15 percent of combined production, while the backward sliver is 35 percent of the </w:t>
      </w:r>
      <w:r>
        <w:rPr>
          <w:b w:val="0"/>
          <w:i/>
        </w:rPr>
        <w:t>measured acceptance</w:t>
      </w:r>
      <w:r>
        <w:rPr>
          <w:b w:val="0"/>
          <w:i w:val="0"/>
        </w:rPr>
        <w:t>, which is a different denominator.</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1.735 — and Corollary 9.1 in §14.7 is why that factor is not free: the beam widens with the bore, so the fuel target's tritium inventory rises as its square.</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figure at which the preprints at [18] read them, and which §7 restates every one of them away from.</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1.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a factor of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a factor of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2" name="Picture 2"/>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2.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 second qualifies the first.</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in §14.4 shows the same thing from the other direction. </w:t>
      </w:r>
      <w:r>
        <w:rPr>
          <w:b/>
          <w:i w:val="0"/>
        </w:rPr>
        <w:t>Bred fuel is the one row that crosses unity, and it crosses only through the optimised target.</w:t>
      </w:r>
      <w:r>
        <w:rPr>
          <w:b w:val="0"/>
          <w:i w:val="0"/>
        </w:rPr>
        <w:t xml:space="preserve"> At 1.480 with that target alone and </w:t>
      </w:r>
      <w:r>
        <w:rPr>
          <w:b/>
          <w:i w:val="0"/>
        </w:rPr>
        <w:t>2.271</w:t>
      </w:r>
      <w:r>
        <w:rPr>
          <w:b w:val="0"/>
          <w:i w:val="0"/>
        </w:rPr>
        <w:t xml:space="preserve"> with all three alterations, the row uses </w:t>
      </w:r>
      <w:r>
        <w:rPr>
          <w:b/>
          <w:i w:val="0"/>
        </w:rPr>
        <w:t>no service-life model, no density above the one already reached, and no choice between the two sticking measurements</w:t>
      </w:r>
      <w:r>
        <w:rPr>
          <w:b w:val="0"/>
          <w:i w:val="0"/>
        </w:rPr>
        <w:t xml:space="preserve"> — its inputs are the 150 cycles measured at Los Alamos, the sourced blanket of §5.2 and the collection the machine of §10 delivers. </w:t>
      </w:r>
      <w:r>
        <w:rPr>
          <w:b/>
          <w:i w:val="0"/>
        </w:rPr>
        <w:t>But it does not cross on this paper's own production cost.</w:t>
      </w:r>
      <w:r>
        <w:rPr>
          <w:b w:val="0"/>
          <w:i w:val="0"/>
        </w:rPr>
        <w:t xml:space="preserve"> At the 11.13 GeV §5.1 integrates, the same route reaches 0.623 as built and 0.957 with both collector alterations, short of unity by a factor of 1.045; </w:t>
      </w:r>
      <w:r>
        <w:rPr>
          <w:b/>
          <w:i w:val="0"/>
        </w:rPr>
        <w:t>everything above unity in the table above is bought by the 4.69 GeV optimisation</w:t>
      </w:r>
      <w:r>
        <w:rPr>
          <w:b w:val="0"/>
          <w:i w:val="0"/>
        </w:rPr>
        <w:t>, which this paper prices and declines to adopt.</w:t>
      </w:r>
    </w:p>
    <w:p>
      <w:r>
        <w:rPr>
          <w:b/>
          <w:i w:val="0"/>
        </w:rPr>
        <w:t>Which half of that table is this paper's, and it is the first.</w:t>
      </w:r>
      <w:r>
        <w:rPr>
          <w:b w:val="0"/>
          <w:i w:val="0"/>
        </w:rPr>
        <w:t xml:space="preserve"> 4.69 GeV is a </w:t>
      </w:r>
      <w:r>
        <w:rPr>
          <w:b w:val="0"/>
          <w:i/>
        </w:rPr>
        <w:t>published</w:t>
      </w:r>
      <w:r>
        <w:rPr>
          <w:b w:val="0"/>
          <w:i w:val="0"/>
        </w:rPr>
        <w:t xml:space="preserve"> optimisation of the production target, worth a factor of 2.373 on every balance; §5.1 integrates 11.13 GeV from measured cross sections and that is the figure this paper stands behind. The two are a discrepancy §12 records and does not close, and a normalisation measurement on one target — pions per beam particle against pions per interaction, nothing else changed — is what would settle it. </w:t>
      </w:r>
      <w:r>
        <w:rPr>
          <w:b/>
          <w:i w:val="0"/>
        </w:rPr>
        <w:t>Until it is made, the reading this paper offers is the first column: the best route reaches 0.957 against the unity it must clear, falls short by a factor of 1.045, and falls short by no term other than a loss budget nobody has measured end to end.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Proposition 11 in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a factor of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a factor of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states </w:t>
      </w:r>
      <w:r>
        <w:rPr>
          <w:b/>
          <w:i w:val="0"/>
        </w:rPr>
        <w:t>what must be procured, built or assayed</w:t>
      </w:r>
      <w:r>
        <w:rPr>
          <w:b w:val="0"/>
          <w:i w:val="0"/>
        </w:rPr>
        <w:t xml:space="preserve"> to run the reaction.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3" name="Picture 3"/>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3.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Theorem 4 — it maximises the energy returned per binder over the closed candidate set, and by Corollary 4.1 no rival can be made to catch it</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4" name="Picture 4"/>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4.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final sticking has been observed directly in two independent experiments — 0.45 percent at SIN and 0.56 percent at PSI — from which the measured reactivation gives the two effective values §4.1 works with.</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5" name="Picture 5"/>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5.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a field grade of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6" name="Picture 6"/>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6.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is the procedure that would witness the configuration §9 specifies.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11.3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§14.9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an end-to-end count of stopped binders per pion produced has been made. §6.2 computes the losses between the two and §7 restates every balance through them, but a computed budget is not a measurement, and the margin over the falsification floor is 1.073.</w:t>
      </w:r>
    </w:p>
    <w:p>
      <w:r>
        <w:rPr>
          <w:b/>
          <w:i w:val="0"/>
        </w:rPr>
        <w:t>The fuel scan's cycle rates and stickings are literature bands, not one measurement each.</w:t>
      </w:r>
      <w:r>
        <w:rPr>
          <w:b w:val="0"/>
          <w:i w:val="0"/>
        </w:rPr>
        <w:t xml:space="preserve"> They are measured for </w:t>
      </w:r>
      <w:r>
        <w:rPr>
          <w:b w:val="0"/>
          <w:i/>
        </w:rPr>
        <w:t>d</w:t>
      </w:r>
      <w:r>
        <w:rPr>
          <w:b w:val="0"/>
          <w:i w:val="0"/>
        </w:rPr>
        <w:t>–</w:t>
      </w:r>
      <w:r>
        <w:rPr>
          <w:b w:val="0"/>
          <w:i/>
        </w:rPr>
        <w:t>t</w:t>
      </w:r>
      <w:r>
        <w:rPr>
          <w:b w:val="0"/>
          <w:i w:val="0"/>
        </w:rPr>
        <w:t xml:space="preserve">, </w:t>
      </w:r>
      <w:r>
        <w:rPr>
          <w:b w:val="0"/>
          <w:i/>
        </w:rPr>
        <w:t>d</w:t>
      </w:r>
      <w:r>
        <w:rPr>
          <w:b w:val="0"/>
          <w:i w:val="0"/>
        </w:rPr>
        <w:t>–</w:t>
      </w:r>
      <w:r>
        <w:rPr>
          <w:b w:val="0"/>
          <w:i/>
        </w:rPr>
        <w:t>d</w:t>
      </w:r>
      <w:r>
        <w:rPr>
          <w:b w:val="0"/>
          <w:i w:val="0"/>
        </w:rPr>
        <w:t xml:space="preserve"> and </w:t>
      </w:r>
      <w:r>
        <w:rPr>
          <w:b w:val="0"/>
          <w:i/>
        </w:rPr>
        <w:t>t</w:t>
      </w:r>
      <w:r>
        <w:rPr>
          <w:b w:val="0"/>
          <w:i w:val="0"/>
        </w:rPr>
        <w:t>–</w:t>
      </w:r>
      <w:r>
        <w:rPr>
          <w:b w:val="0"/>
          <w:i/>
        </w:rPr>
        <w:t>t</w:t>
      </w:r>
      <w:r>
        <w:rPr>
          <w:b w:val="0"/>
          <w:i w:val="0"/>
        </w:rPr>
        <w:t xml:space="preserve"> and order-of-magnitude for the pairs that catalyse almost nothing, and §3's table prints them as they stand. Corollary 4.1 bounds what that costs: the ranking survives every competitor's cycle rate being sent to infinity, so only the stickings are load-bearing, and a competitor would have to be a factor of 24.58 less sticky than the record says before the ordering could move. What the bands do reach is the </w:t>
      </w:r>
      <w:r>
        <w:rPr>
          <w:b w:val="0"/>
          <w:i/>
        </w:rPr>
        <w:t>size</w:t>
      </w:r>
      <w:r>
        <w:rPr>
          <w:b w:val="0"/>
          <w:i w:val="0"/>
        </w:rPr>
        <w:t xml:space="preserve"> of the margins quoted in §3, not the order of the table.</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A normalisation measurement on one target would settle it: pions per beam particle against pions per interaction, with nothing else changed.</w:t>
      </w:r>
    </w:p>
    <w:p>
      <w:r>
        <w:rPr>
          <w:b/>
          <w:i w:val="0"/>
        </w:rPr>
        <w:t>And the standalone configuration is closed rather than open.</w:t>
      </w:r>
      <w:r>
        <w:rPr>
          <w:b w:val="0"/>
          <w:i w:val="0"/>
        </w:rPr>
        <w:t xml:space="preserve"> Theorem 3 in §14.4 is a theorem, and no measurement in §11 can overturn it. What a measurement can decide is the bred-fuel route, which is the one this paper leaves standing, and the production cost that route turns on.</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Number"/>
      </w:pP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Number"/>
      </w:pPr>
      <w:r>
        <w:rPr>
          <w:b/>
          <w:i w:val="0"/>
        </w:rPr>
        <w:t>The binder is unique.</w:t>
      </w:r>
      <w:r>
        <w:rPr>
          <w:b w:val="0"/>
          <w:i w:val="0"/>
        </w:rPr>
        <w:t xml:space="preserve"> The seven conditions place a floor and a ceiling on the binder's mass, and the window between them, 119 electron masses to 918 electron masses, has exactly one occupant in the charged spectrum (Theorem 1, §14.3). Of 13 charged particles scanned, 5 outlive the mesomolecular formation time, 2 lie inside the window, and one survives the hadron test.</w:t>
      </w:r>
    </w:p>
    <w:p>
      <w:pPr>
        <w:pStyle w:val="ListNumber"/>
      </w:pP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a factor of 77.85 against the next candidate (Theorem 4, §14.8) — and the runner-up uses more tritium rather than less. </w:t>
      </w:r>
      <w:r>
        <w:rPr>
          <w:b/>
          <w:i w:val="0"/>
        </w:rPr>
        <w:t>That ranking is not a near thing either</w:t>
      </w:r>
      <w:r>
        <w:rPr>
          <w:b w:val="0"/>
          <w:i w:val="0"/>
        </w:rPr>
        <w:t xml:space="preserve">: it survives every competitor's cycle rate being sent to infinity, leaving </w:t>
      </w:r>
      <w:r>
        <w:rPr>
          <w:b w:val="0"/>
          <w:i/>
        </w:rPr>
        <w:t>d</w:t>
      </w:r>
      <w:r>
        <w:rPr>
          <w:b w:val="0"/>
          <w:i w:val="0"/>
        </w:rPr>
        <w:t>–</w:t>
      </w:r>
      <w:r>
        <w:rPr>
          <w:b w:val="0"/>
          <w:i/>
        </w:rPr>
        <w:t>t</w:t>
      </w:r>
      <w:r>
        <w:rPr>
          <w:b w:val="0"/>
          <w:i w:val="0"/>
        </w:rPr>
        <w:t xml:space="preserve"> ahead by a factor of 24.58 (Corollary 4.1).</w:t>
      </w:r>
    </w:p>
    <w:p>
      <w:pPr>
        <w:pStyle w:val="ListNumber"/>
      </w:pPr>
      <w:r>
        <w:rPr>
          <w:b/>
          <w:i w:val="0"/>
        </w:rPr>
        <w:t>The window is not a near thing.</w:t>
      </w:r>
      <w:r>
        <w:rPr>
          <w:b w:val="0"/>
          <w:i w:val="0"/>
        </w:rPr>
        <w:t xml:space="preserve"> Its lower bound may move by a factor of 207 and its upper by 3.54 before the count of occupants changes.</w:t>
      </w:r>
    </w:p>
    <w:p>
      <w:pPr>
        <w:pStyle w:val="ListNumber"/>
      </w:pPr>
      <w:r>
        <w:rPr>
          <w:b/>
          <w:i w:val="0"/>
        </w:rPr>
        <w:t>An eighth condition decides whether the reaction is worth running</w:t>
      </w:r>
      <w:r>
        <w:rPr>
          <w:b w:val="0"/>
          <w:i w:val="0"/>
        </w:rPr>
        <w:t>, and it contains no free parameter and no fitted one (Proposition 1, §14.2). Two of its terms are measured, one is integrated from measured cross sections, and the fourth is a conversion fraction computed at a stated operating point and carried in both of its conventions.</w:t>
      </w:r>
    </w:p>
    <w:p>
      <w:pPr>
        <w:pStyle w:val="ListNumber"/>
      </w:pP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Number"/>
      </w:pP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Number"/>
      </w:pPr>
      <w:r>
        <w:rPr>
          <w:b/>
          <w:i w:val="0"/>
        </w:rPr>
        <w:t>The acceptance model is validated against an independent simulation</w:t>
      </w:r>
      <w:r>
        <w:rPr>
          <w:b w:val="0"/>
          <w:i w:val="0"/>
        </w:rPr>
        <w:t xml:space="preserve"> of a machine that was built, agreeing to 0.982.</w:t>
      </w:r>
    </w:p>
    <w:p>
      <w:pPr>
        <w:pStyle w:val="ListNumber"/>
      </w:pPr>
      <w:r>
        <w:rPr>
          <w:b/>
          <w:i w:val="0"/>
        </w:rPr>
        <w:t>The standalone configuration is closed</w:t>
      </w:r>
      <w:r>
        <w:rPr>
          <w:b w:val="0"/>
          <w:i w:val="0"/>
        </w:rPr>
        <w:t xml:space="preserve"> (Theorem 3, §14.4):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Number"/>
      </w:pPr>
      <w:r>
        <w:rPr>
          <w:b/>
          <w:i w:val="0"/>
        </w:rPr>
        <w:t>Nothing clears unity at this paper's own production cost.</w:t>
      </w:r>
      <w:r>
        <w:rPr>
          <w:b w:val="0"/>
          <w:i w:val="0"/>
        </w:rPr>
        <w:t xml:space="preserve"> The closest is bred fuel at the measured 150 cycles, at 0.623 as built; with both collector alterations of §7.1 it reaches 0.957, short of unity by a factor of 1.045 and short by no term other than the loss budget, which is the one quantity in the column that has never been measured.</w:t>
      </w:r>
    </w:p>
    <w:p>
      <w:pPr>
        <w:pStyle w:val="ListNumber"/>
      </w:pPr>
      <w:r>
        <w:rPr>
          <w:b/>
          <w:i w:val="0"/>
        </w:rPr>
        <w:t>One route does cross unity, and it crosses on a figure this paper declines to adopt.</w:t>
      </w:r>
      <w:r>
        <w:rPr>
          <w:b w:val="0"/>
          <w:i w:val="0"/>
        </w:rPr>
        <w:t xml:space="preserve"> Through a </w:t>
      </w:r>
      <w:r>
        <w:rPr>
          <w:b w:val="0"/>
          <w:i/>
        </w:rPr>
        <w:t>published</w:t>
      </w:r>
      <w:r>
        <w:rPr>
          <w:b w:val="0"/>
          <w:i w:val="0"/>
        </w:rPr>
        <w:t xml:space="preserve"> optimisation of the production target at 4.69 GeV — worth a factor of 2.373 on every balance against the 11.13 GeV §5.1 integrates — bred fuel at the measured cycle count reaches 1.480, and 2.271 with all three alterations. </w:t>
      </w:r>
      <w:r>
        <w:rPr>
          <w:b/>
          <w:i w:val="0"/>
        </w:rPr>
        <w:t>That factor is a discrepancy §12 records and does not close</w:t>
      </w:r>
      <w:r>
        <w:rPr>
          <w:b w:val="0"/>
          <w:i w:val="0"/>
        </w:rPr>
        <w:t>, so the route is reported and not claimed, and a normalisation measurement on one target is what would settle it.</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at a production cost this paper is willing to stand behind</w:t>
      </w:r>
      <w:r>
        <w:rPr>
          <w:b w:val="0"/>
          <w:i w:val="0"/>
        </w:rPr>
        <w:t xml:space="preserve"> — §7 states how far short the best one falls, and the item immediately above states the one route that crosses and whose figure it crosses on.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λ_c</w:t>
            </w:r>
          </w:p>
        </w:tc>
        <w:tc>
          <w:tcPr>
            <w:tcW w:type="dxa" w:w="4464"/>
          </w:tcPr>
          <w:p>
            <w:r/>
            <w:r>
              <w:rPr>
                <w:b w:val="0"/>
                <w:i w:val="0"/>
              </w:rPr>
              <w:t>the cycle rate: fusions per unit time from one binder</w:t>
            </w:r>
          </w:p>
        </w:tc>
      </w:tr>
      <w:tr>
        <w:tc>
          <w:tcPr>
            <w:tcW w:type="dxa" w:w="4464"/>
          </w:tcPr>
          <w:p>
            <w:r/>
            <w:r>
              <w:rPr>
                <w:b w:val="0"/>
                <w:i w:val="0"/>
              </w:rPr>
              <w:t>ωₛ</w:t>
            </w:r>
          </w:p>
        </w:tc>
        <w:tc>
          <w:tcPr>
            <w:tcW w:type="dxa" w:w="4464"/>
          </w:tcPr>
          <w:p>
            <w:r/>
            <w:r>
              <w:rPr>
                <w:b/>
                <w:i w:val="0"/>
              </w:rPr>
              <w:t>sticking</w:t>
            </w:r>
            <w:r>
              <w:rPr>
                <w:b w:val="0"/>
                <w:i w:val="0"/>
              </w:rPr>
              <w:t>: the probability, per cycle, that the binder is lost to a fusion product. It is one of the binder's two loss channels; the other is free decay, carried as λ₀/λ_c</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For the bound: let p be the probability that the binder survives one complete cycle against sticking, so ωₛ = 1 - p. The number of cycles is geometrically distributed and its expectation is N = p/(1-p), which is exactly one cycle short of 1/ωₛ — so the cap is attained neither at any ωₛ nor in the limit, and it is tight to a relative error of ωₛ rather than absolutely.</w:t>
      </w:r>
    </w:p>
    <w:p>
      <w:r>
        <w:rPr>
          <w:b w:val="0"/>
          <w:i w:val="0"/>
        </w:rPr>
        <w:t xml:space="preserve">That is the first of two reasons N &lt; 1/ωₛ, and the smaller one. The second is that sticking is not the binder's only loss channel: it also decays, at a rate that does not care whether a cycle is in progress, and Proposition 10 in §14.8 carries both losses together as N = 1/(ωₛ + λ₀/λ_c). Both effects run the same way, so 1/ωₛ remains an upper bound and condition 8 remains </w:t>
      </w:r>
      <w:r>
        <w:rPr>
          <w:b/>
          <w:i w:val="0"/>
        </w:rPr>
        <w:t>necessary</w:t>
      </w:r>
      <w:r>
        <w:rPr>
          <w:b w:val="0"/>
          <w:i w:val="0"/>
        </w:rPr>
        <w:t xml:space="preserve">. </w:t>
      </w:r>
      <w:r>
        <w:rPr>
          <w:b/>
          <w:i w:val="0"/>
        </w:rPr>
        <w:t>The cap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and no fitted one. Two of its terms are measured, one is integrated from measured cross sections in §5.1, and the fourth is a conversion fraction computed at a stated operating point and carried in both conventions; §4 gives the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7" name="Picture 7"/>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 and the fuel is not a free choice either, since by Theorem 4 no other admissible pair returns as much per binder, and by Corollary 4.1 none can be made to. The right-hand side of Proposition 1 is therefore fixed on both axes rather than on one.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two-column table the preprints at [18] printed at thirty and ninety percent collection provides the check: every row's ratio lies between 2.998 and 3.010, against an exact three. §7's own two columns are the delivered figures 31.66 percent and 48.61 percent, which are not in that ratio and are not the fixture.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8" name="Picture 8"/>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 the metal of the published jet this checks against, rather than the lead §9.3's charge-ratio requirement calls for —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10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9" name="Picture 9"/>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The first of those is the point at which this proposition and Proposition 1 must be read together: Proposition 1's exact mean is one cycle below 1/ωₛ and this one reaches it, because this expression is first-order in the two loss terms and discards exactly that offset. They agree to first order, the difference is one cycle in the ceiling 198 cycles itself, and every figure in this paper is quoted from the measured count rather than from either. Neither ceiling alone is the operative bound for any real fuel, which is why fuels ranked on sticking alone rank wrongly.</w:t>
      </w:r>
    </w:p>
    <w:p>
      <w:r>
        <w:rPr>
          <w:b/>
          <w:i w:val="0"/>
        </w:rPr>
        <w:t>Theorem 4 (uniqueness of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Q is fixed by the masses. For λ_c and ωₛ the inputs are the muon-catalysis literature's own bands — measured for d–t, d–d and t–t, and order-of-magnitude for the pairs that catalyse almost nothing — and the paper states them as bands rather than as measurements. Evaluating Proposition 10 on each and multiplying by Q gives the table of §3, whose maximum is d–t at 1989.1 MeV against 25.55 MeV for the next entry — a factor of 77.85. The ordering is a finite comparison over the tabulated inputs and contains no free parameter. ∎</w:t>
      </w:r>
    </w:p>
    <w:p>
      <w:r>
        <w:rPr>
          <w:b w:val="0"/>
          <w:i w:val="0"/>
        </w:rPr>
        <w:t>The bands are the weakest input in that proof, so the next result removes half of them from it.</w:t>
      </w:r>
    </w:p>
    <w:p>
      <w:pPr>
        <w:spacing w:before="160" w:after="200"/>
        <w:ind w:left="461" w:right="259"/>
      </w:pPr>
      <w:r>
        <w:rPr>
          <w:b/>
          <w:i w:val="0"/>
        </w:rPr>
        <w:t>Corollary 4.1 (the ranking does not consult the cycle rates).</w:t>
      </w:r>
      <w:r>
        <w:rPr>
          <w:b w:val="0"/>
          <w:i w:val="0"/>
        </w:rPr>
        <w:t xml:space="preserve"> </w:t>
      </w:r>
      <w:r>
        <w:rPr>
          <w:b w:val="0"/>
          <w:i/>
        </w:rPr>
        <w:t>Every competitor's cycle rate may be sent to infinity without changing the maximum.</w:t>
      </w:r>
    </w:p>
    <w:p>
      <w:r>
        <w:rPr>
          <w:b w:val="0"/>
          <w:i w:val="0"/>
        </w:rPr>
        <w:t>&gt;</w:t>
      </w:r>
    </w:p>
    <w:p>
      <w:pPr>
        <w:spacing w:before="160" w:after="200"/>
        <w:ind w:left="461" w:right="259"/>
      </w:pPr>
      <w:r>
        <w:rPr>
          <w:b w:val="0"/>
          <w:i/>
        </w:rPr>
        <w:t>Proof.</w:t>
      </w:r>
      <w:r>
        <w:rPr>
          <w:b w:val="0"/>
          <w:i w:val="0"/>
        </w:rPr>
        <w:t xml:space="preserve"> By Proposition 10, N ≤ 1/ωₛ for any λ_c, with equality in the limit λ_c → ∞. Hence N\,Q ≤ Q/ωₛ, a ceiling in which no cycle rate appears. The largest such ceiling over the competitors is t–t's, at 80.93 MeV, and d–t's own tabulated value 1989.1 MeV exceeds it by a factor of 24.58. The maximum is therefore unchanged under any upward revision of any competitor's cycle rate whatsoever. ∎</w:t>
      </w:r>
    </w:p>
    <w:p>
      <w:r>
        <w:rPr>
          <w:b/>
          <w:i w:val="0"/>
        </w:rPr>
        <w:t>What that leaves load-bearing.</w:t>
      </w:r>
      <w:r>
        <w:rPr>
          <w:b w:val="0"/>
          <w:i w:val="0"/>
        </w:rPr>
        <w:t xml:space="preserve"> Only the stickings, and only through the ceiling Q/ωₛ. A competitor would have to be shown 24.58 times less sticky than the band records before the ordering could move — not faster, less sticky — and Theorem 2 has already shown that sticking is a property of the fusion kinematics rather than something a design may choose.</w:t>
      </w:r>
    </w:p>
    <w:p>
      <w:r>
        <w:rPr>
          <w:b/>
          <w:i w:val="0"/>
        </w:rPr>
        <w:t>Corollary 4.2.</w:t>
      </w:r>
      <w:r>
        <w:rPr>
          <w:b w:val="0"/>
          <w:i w:val="0"/>
        </w:rPr>
        <w:t xml:space="preserve"> No pair without tritium comes within a factor of 230.76 of d–t on energy per binder, so the reaction's tritium requirement is not an artefact of the choice of fuel. It follows from the fuel being unique.</w:t>
      </w:r>
    </w:p>
    <w:p>
      <w:r>
        <w:rPr>
          <w:b/>
          <w:i w:val="0"/>
        </w:rPr>
        <w:t>Proposition 11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10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which a normalisation measurement would settle.</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