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8" name="Picture 8"/>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comparison a builder will ask for first is made, in §9.4.</w:t>
      </w:r>
      <w:r>
        <w:rPr>
          <w:b w:val="0"/>
          <w:i w:val="0"/>
        </w:rPr>
        <w:t xml:space="preserve"> The same beam spent on a </w:t>
      </w:r>
      <w:r>
        <w:rPr>
          <w:b/>
          <w:i w:val="0"/>
        </w:rPr>
        <w:t>spallation</w:t>
      </w:r>
      <w:r>
        <w:rPr>
          <w:b w:val="0"/>
          <w:i w:val="0"/>
        </w:rPr>
        <w:t xml:space="preserve">-driven subcritical system would also multiply, and the answer turns out to rest on the structure rather than on the arithmetic: the muon channel is </w:t>
      </w:r>
      <w:r>
        <w:rPr>
          <w:b w:val="0"/>
          <w:i/>
        </w:rPr>
        <w:t>additive</w:t>
      </w:r>
      <w:r>
        <w:rPr>
          <w:b w:val="0"/>
          <w:i w:val="0"/>
        </w:rPr>
        <w:t xml:space="preserve"> to spallation rather than an alternative to it, because the same protons make both in the same target. What it can cost is the target's own yield, and §9.4 states how much of that it may cost before it stops paying.</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Number"/>
      </w:pP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Number"/>
      </w:pPr>
      <w:r>
        <w:rPr>
          <w:b/>
          <w:i w:val="0"/>
        </w:rPr>
        <w:t>Source jerk.</w:t>
      </w:r>
      <w:r>
        <w:rPr>
          <w:b w:val="0"/>
          <w:i w:val="0"/>
        </w:rPr>
        <w:t xml:space="preserve"> Withdraw the source from a steady subcritical state and read the prompt drop against the delayed-neutron plateau.</w:t>
      </w:r>
    </w:p>
    <w:p>
      <w:pPr>
        <w:pStyle w:val="ListNumber"/>
      </w:pP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Against spallation on the same beam</w:t>
      </w:r>
    </w:p>
    <w:p>
      <w:r>
        <w:rPr>
          <w:b w:val="0"/>
          <w:i w:val="0"/>
        </w:rPr>
        <w:t xml:space="preserve">A reader who has followed §9.2 will ask the obvious question, and it is the right one: </w:t>
      </w:r>
      <w:r>
        <w:rPr>
          <w:b/>
          <w:i w:val="0"/>
        </w:rPr>
        <w:t>the same protons could drive a subcritical blanket by spallation alone, without any of this.</w:t>
      </w:r>
      <w:r>
        <w:rPr>
          <w:b w:val="0"/>
          <w:i w:val="0"/>
        </w:rPr>
        <w:t xml:space="preserve"> Why buy a capture solenoid, a fuel cell and a tritium inventory to make neutrons a spallation target makes for nothing?</w:t>
      </w:r>
    </w:p>
    <w:p>
      <w:r>
        <w:rPr>
          <w:b/>
          <w:i w:val="0"/>
        </w:rPr>
        <w:t>The question has a structure worth stating before any number is put to it.</w:t>
      </w:r>
      <w:r>
        <w:rPr>
          <w:b w:val="0"/>
          <w:i w:val="0"/>
        </w:rPr>
        <w:t xml:space="preserve"> The muon channel does not </w:t>
      </w:r>
      <w:r>
        <w:rPr>
          <w:b w:val="0"/>
          <w:i/>
        </w:rPr>
        <w:t>replace</w:t>
      </w:r>
      <w:r>
        <w:rPr>
          <w:b w:val="0"/>
          <w:i w:val="0"/>
        </w:rPr>
        <w:t xml:space="preserve"> spallation. The same protons strike the same target and make </w:t>
      </w:r>
      <w:r>
        <w:rPr>
          <w:b/>
          <w:i w:val="0"/>
        </w:rPr>
        <w:t>both</w:t>
      </w:r>
      <w:r>
        <w:rPr>
          <w:b w:val="0"/>
          <w:i w:val="0"/>
        </w:rPr>
        <w:t xml:space="preserve"> — pions and spallation neutrons, in the same collisions, as §9.2's whole argument depends on. So the muon channel is </w:t>
      </w:r>
      <w:r>
        <w:rPr>
          <w:b/>
          <w:i w:val="0"/>
        </w:rPr>
        <w:t>additive in neutrons</w:t>
      </w:r>
      <w:r>
        <w:rPr>
          <w:b w:val="0"/>
          <w:i w:val="0"/>
        </w:rPr>
        <w:t xml:space="preserve">, and there is no </w:t>
      </w:r>
      <w:r>
        <w:rPr>
          <w:b w:val="0"/>
          <w:i/>
        </w:rPr>
        <w:t>instead</w:t>
      </w:r>
      <w:r>
        <w:rPr>
          <w:b w:val="0"/>
          <w:i w:val="0"/>
        </w:rPr>
        <w:t xml:space="preserve"> to price. Adding it cannot reduce what spallation already delivers.</w:t>
      </w:r>
    </w:p>
    <w:p>
      <w:r>
        <w:rPr>
          <w:b/>
          <w:i w:val="0"/>
        </w:rPr>
        <w:t>What it can reduce is the target.</w:t>
      </w:r>
      <w:r>
        <w:rPr>
          <w:b w:val="0"/>
          <w:i w:val="0"/>
        </w:rPr>
        <w:t xml:space="preserve"> A target the pions can escape from is narrow — §7.3's transparency argument fixes its radius, and the machine's bore constrains it further — and a narrow target is a poorer spallation source than the thick one a facility would otherwise choose. </w:t>
      </w:r>
      <w:r>
        <w:rPr>
          <w:b/>
          <w:i w:val="0"/>
        </w:rPr>
        <w:t>That is the whole of the trade</w:t>
      </w:r>
      <w:r>
        <w:rPr>
          <w:b w:val="0"/>
          <w:i w:val="0"/>
        </w:rPr>
        <w:t>, and it reduces to a single question: how much spallation yield does transparency cost?</w:t>
      </w:r>
    </w:p>
    <w:p>
      <w:r>
        <w:rPr>
          <w:b w:val="0"/>
          <w:i w:val="0"/>
        </w:rPr>
        <w:t xml:space="preserve">Set the two side by side. A spallation-optimised target returns </w:t>
      </w:r>
      <w:r>
        <w:rPr>
          <w:rFonts w:ascii="Consolas" w:hAnsi="Consolas"/>
          <w:b w:val="0"/>
          <w:i w:val="0"/>
          <w:sz w:val="19"/>
        </w:rPr>
        <w:t>Y</w:t>
      </w:r>
      <w:r>
        <w:rPr>
          <w:b w:val="0"/>
          <w:i w:val="0"/>
        </w:rPr>
        <w:t xml:space="preserve"> neutrons per proton. A pion-transparent one returns </w:t>
      </w:r>
      <w:r>
        <w:rPr>
          <w:rFonts w:ascii="Consolas" w:hAnsi="Consolas"/>
          <w:b w:val="0"/>
          <w:i w:val="0"/>
          <w:sz w:val="19"/>
        </w:rPr>
        <w:t>Y(1 − f)</w:t>
      </w:r>
      <w:r>
        <w:rPr>
          <w:b w:val="0"/>
          <w:i w:val="0"/>
        </w:rPr>
        <w:t>, and adds the muon channel's fusion neutrons on top. The muon channel is a net gain whenever</w:t>
      </w:r>
    </w:p>
    <w:p>
      <w:pPr>
        <w:spacing w:before="120" w:after="160"/>
        <w:jc w:val="center"/>
      </w:pPr>
      <w:r>
        <w:drawing>
          <wp:inline xmlns:a="http://schemas.openxmlformats.org/drawingml/2006/main" xmlns:pic="http://schemas.openxmlformats.org/drawingml/2006/picture">
            <wp:extent cx="2778369" cy="608427"/>
            <wp:docPr id="9" name="Picture 9"/>
            <wp:cNvGraphicFramePr>
              <a:graphicFrameLocks noChangeAspect="1"/>
            </wp:cNvGraphicFramePr>
            <a:graphic>
              <a:graphicData uri="http://schemas.openxmlformats.org/drawingml/2006/picture">
                <pic:pic>
                  <pic:nvPicPr>
                    <pic:cNvPr id="0" name="eq-0ca8e02a1519.png"/>
                    <pic:cNvPicPr/>
                  </pic:nvPicPr>
                  <pic:blipFill>
                    <a:blip r:embed="rId16"/>
                    <a:stretch>
                      <a:fillRect/>
                    </a:stretch>
                  </pic:blipFill>
                  <pic:spPr>
                    <a:xfrm>
                      <a:off x="0" y="0"/>
                      <a:ext cx="2778369" cy="608427"/>
                    </a:xfrm>
                    <a:prstGeom prst="rect"/>
                  </pic:spPr>
                </pic:pic>
              </a:graphicData>
            </a:graphic>
          </wp:inline>
        </w:drawing>
      </w:r>
    </w:p>
    <w:p>
      <w:r>
        <w:rPr>
          <w:b w:val="0"/>
          <w:i w:val="0"/>
        </w:rPr>
        <w:t xml:space="preserve">and the left-hand side is what §4.1's pion yield, §5.3's collection and the measured cycle count already fix: </w:t>
      </w:r>
      <w:r>
        <w:rPr>
          <w:b/>
          <w:i w:val="0"/>
        </w:rPr>
        <w:t>52.41 per proton</w:t>
      </w:r>
      <w:r>
        <w:rPr>
          <w:b w:val="0"/>
          <w:i w:val="0"/>
        </w:rPr>
        <w:t xml:space="preserve"> with both collector alterations, 34.14 per proton with the machine as built.</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what a spallation-optimised target returns</w:t>
            </w:r>
          </w:p>
        </w:tc>
        <w:tc>
          <w:tcPr>
            <w:tcW w:type="dxa" w:w="4464"/>
          </w:tcPr>
          <w:p>
            <w:r/>
            <w:r>
              <w:rPr>
                <w:b/>
                <w:i w:val="0"/>
              </w:rPr>
              <w:t>transparency may cost up to</w:t>
            </w:r>
          </w:p>
        </w:tc>
      </w:tr>
      <w:tr>
        <w:tc>
          <w:tcPr>
            <w:tcW w:type="dxa" w:w="4464"/>
          </w:tcPr>
          <w:p>
            <w:r/>
            <w:r>
              <w:rPr>
                <w:b w:val="0"/>
                <w:i w:val="0"/>
              </w:rPr>
              <w:t>100 neutrons per proton</w:t>
            </w:r>
          </w:p>
        </w:tc>
        <w:tc>
          <w:tcPr>
            <w:tcW w:type="dxa" w:w="4464"/>
          </w:tcPr>
          <w:p>
            <w:r/>
            <w:r>
              <w:rPr>
                <w:b w:val="0"/>
                <w:i w:val="0"/>
              </w:rPr>
              <w:t>52.4 percent</w:t>
            </w:r>
          </w:p>
        </w:tc>
      </w:tr>
      <w:tr>
        <w:tc>
          <w:tcPr>
            <w:tcW w:type="dxa" w:w="4464"/>
          </w:tcPr>
          <w:p>
            <w:r/>
            <w:r>
              <w:rPr>
                <w:b w:val="0"/>
                <w:i w:val="0"/>
              </w:rPr>
              <w:t>150 neutrons per proton</w:t>
            </w:r>
          </w:p>
        </w:tc>
        <w:tc>
          <w:tcPr>
            <w:tcW w:type="dxa" w:w="4464"/>
          </w:tcPr>
          <w:p>
            <w:r/>
            <w:r>
              <w:rPr>
                <w:b w:val="0"/>
                <w:i w:val="0"/>
              </w:rPr>
              <w:t>34.9 percent</w:t>
            </w:r>
          </w:p>
        </w:tc>
      </w:tr>
      <w:tr>
        <w:tc>
          <w:tcPr>
            <w:tcW w:type="dxa" w:w="4464"/>
          </w:tcPr>
          <w:p>
            <w:r/>
            <w:r>
              <w:rPr>
                <w:b w:val="0"/>
                <w:i w:val="0"/>
              </w:rPr>
              <w:t>250 neutrons per proton</w:t>
            </w:r>
          </w:p>
        </w:tc>
        <w:tc>
          <w:tcPr>
            <w:tcW w:type="dxa" w:w="4464"/>
          </w:tcPr>
          <w:p>
            <w:r/>
            <w:r>
              <w:rPr>
                <w:b w:val="0"/>
                <w:i w:val="0"/>
              </w:rPr>
              <w:t>21.0 percent</w:t>
            </w:r>
          </w:p>
        </w:tc>
      </w:tr>
    </w:tbl>
    <w:p/>
    <w:p>
      <w:pPr>
        <w:spacing w:before="160" w:after="200"/>
        <w:ind w:left="461" w:right="259"/>
      </w:pPr>
      <w:r>
        <w:rPr>
          <w:b/>
          <w:i w:val="0"/>
        </w:rPr>
        <w:t>Read that as a requirement on the target, because that is what it is.</w:t>
      </w:r>
      <w:r>
        <w:rPr>
          <w:b w:val="0"/>
          <w:i w:val="0"/>
        </w:rPr>
        <w:t xml:space="preserve"> The muon channel adds neutrons unless making the target transparent to pions costs more than the figure beside the yield — and even against a very productive spallation target the requirement is only that transparency stay under 21.0 percent.</w:t>
      </w:r>
    </w:p>
    <w:p>
      <w:r>
        <w:rPr>
          <w:b/>
          <w:i w:val="0"/>
        </w:rPr>
        <w:t>The estimate is conservative in three places, and each runs the same way.</w:t>
      </w:r>
      <w:r>
        <w:rPr>
          <w:b w:val="0"/>
          <w:i w:val="0"/>
        </w:rPr>
        <w:t xml:space="preserve"> It counts a 14.1 MeV neutron as worth exactly one spallation neutron, where in a fast blanket it is worth more, because 14.1 MeV drives fast fission in fertile material and (n,2n) that a spallation spectrum reaches less of. It does not count the alpha, which the muon route returns as heat directly. And it treats the transparency penalty as a straightforward loss, which in a </w:t>
      </w:r>
      <w:r>
        <w:rPr>
          <w:b/>
          <w:i w:val="0"/>
        </w:rPr>
        <w:t>blanket-coupled</w:t>
      </w:r>
      <w:r>
        <w:rPr>
          <w:b w:val="0"/>
          <w:i w:val="0"/>
        </w:rPr>
        <w:t xml:space="preserve"> system it is not: a neutron or a secondary that escapes a narrow target is not lost, it enters the blanket. A narrow target costs a </w:t>
      </w:r>
      <w:r>
        <w:rPr>
          <w:b w:val="0"/>
          <w:i/>
        </w:rPr>
        <w:t>neutron source</w:t>
      </w:r>
      <w:r>
        <w:rPr>
          <w:b w:val="0"/>
          <w:i w:val="0"/>
        </w:rPr>
        <w:t xml:space="preserve"> its yield because the neutrons must reach moderators; it costs a blanket-coupled system much less, because the blanket is what surrounds the target in the first place.</w:t>
      </w:r>
    </w:p>
    <w:p>
      <w:pPr>
        <w:spacing w:before="160" w:after="200"/>
        <w:ind w:left="461" w:right="259"/>
      </w:pPr>
      <w:r>
        <w:rPr>
          <w:b/>
          <w:i w:val="0"/>
        </w:rPr>
        <w:t>So the comparison that §11 recorded as unmade is now made, and it does not go against the muon channel.</w:t>
      </w:r>
      <w:r>
        <w:rPr>
          <w:b w:val="0"/>
          <w:i w:val="0"/>
        </w:rPr>
        <w:t xml:space="preserve"> What remains open is narrower and is stated as such: </w:t>
      </w:r>
      <w:r>
        <w:rPr>
          <w:b/>
          <w:i w:val="0"/>
        </w:rPr>
        <w:t>what a spallation-optimised target at 8 GeV actually yields, and what transparency actually costs it.</w:t>
      </w:r>
      <w:r>
        <w:rPr>
          <w:b w:val="0"/>
          <w:i w:val="0"/>
        </w:rPr>
        <w:t xml:space="preserve"> Neither figure is derived in this paper, both are ordinary target-design calculations, and §10 Stage D measures the pair on one apparatus — the same beam and the same blanket, with the fuel cell in and out.</w:t>
      </w:r>
    </w:p>
    <w:p>
      <w:pPr>
        <w:spacing w:before="240" w:after="80"/>
      </w:pPr>
      <w:r>
        <w:rPr>
          <w:b/>
          <w:sz w:val="23"/>
        </w:rPr>
        <w:t>9.5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9.6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10" name="Picture 10"/>
            <wp:cNvGraphicFramePr>
              <a:graphicFrameLocks noChangeAspect="1"/>
            </wp:cNvGraphicFramePr>
            <a:graphic>
              <a:graphicData uri="http://schemas.openxmlformats.org/drawingml/2006/picture">
                <pic:pic>
                  <pic:nvPicPr>
                    <pic:cNvPr id="0" name="fig6-coproduct.png"/>
                    <pic:cNvPicPr/>
                  </pic:nvPicPr>
                  <pic:blipFill>
                    <a:blip r:embed="rId17"/>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9.7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9.8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§9.8.</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Two target figures the comparison against spallation turns on are not derived here.</w:t>
      </w:r>
      <w:r>
        <w:rPr>
          <w:b w:val="0"/>
          <w:i w:val="0"/>
        </w:rPr>
        <w:t xml:space="preserve"> §9.4 makes that comparison and finds it does not go against the muon channel — the channel is additive rather than alternative, and the only trade is what pion-transparency costs the target's spallation yield. But the two numbers that would close it are ordinary target-design calculations this paper does not perform: </w:t>
      </w:r>
      <w:r>
        <w:rPr>
          <w:b/>
          <w:i w:val="0"/>
        </w:rPr>
        <w:t>what a spallation-optimised target at 8 GeV actually yields</w:t>
      </w:r>
      <w:r>
        <w:rPr>
          <w:b w:val="0"/>
          <w:i w:val="0"/>
        </w:rPr>
        <w:t xml:space="preserve">, and </w:t>
      </w:r>
      <w:r>
        <w:rPr>
          <w:b/>
          <w:i w:val="0"/>
        </w:rPr>
        <w:t>what transparency actually costs it</w:t>
      </w:r>
      <w:r>
        <w:rPr>
          <w:b w:val="0"/>
          <w:i w:val="0"/>
        </w:rPr>
        <w:t>. §9.4 states the requirement in the form a target designer can check, and §10 Stage D measures the pair on one apparatus.</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Number"/>
      </w:pP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power source.</w:t>
      </w:r>
      <w:r>
        <w:rPr>
          <w:b w:val="0"/>
          <w:i w:val="0"/>
        </w:rPr>
        <w:t xml:space="preserve"> Setting the balance to unity and solving, the value recovered per fusion must reach 152.7 MeV with both collector alterations, or 64.3 MeV with the optimised production target as well. A non-fissioning blanket cannot supply that. A </w:t>
      </w:r>
      <w:r>
        <w:rPr>
          <w:b/>
          <w:i w:val="0"/>
        </w:rPr>
        <w:t>subcritical</w:t>
      </w:r>
      <w:r>
        <w:rPr>
          <w:b w:val="0"/>
          <w:i w:val="0"/>
        </w:rPr>
        <w:t xml:space="preserve"> blanket driven by the same fusion neutrons supplies it at a multiplication factor between 0.469 and 0.770 — deeply subcritical, against 0.95 for an accelerator-driven system and unity for a power reactor. </w:t>
      </w:r>
      <w:r>
        <w:rPr>
          <w:b/>
          <w:i w:val="0"/>
        </w:rPr>
        <w:t>The energy is heat, recovered on site, with nothing leaving the device.</w:t>
      </w:r>
      <w:r>
        <w:rPr>
          <w:b w:val="0"/>
          <w:i w:val="0"/>
        </w:rPr>
        <w:t xml:space="preserve"> The fusion supplies between 7.5 percent and 27.4 percent of it and all of the neutrons, so the device is a fusion-driven subcritical fission reactor rather than a fusion power plant, and §9.2 says so in those words.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either configuration is the best use of the beam.</w:t>
      </w:r>
      <w:r>
        <w:rPr>
          <w:b w:val="0"/>
          <w:i w:val="0"/>
        </w:rPr>
        <w:t xml:space="preserve"> §9.4 shows the muon channel is additive rather than alternative, and states what transparency may cost before it stops paying — but the two target figures that would close the comparison are not derived here, and §11 says which.</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1" name="Picture 11"/>
            <wp:cNvGraphicFramePr>
              <a:graphicFrameLocks noChangeAspect="1"/>
            </wp:cNvGraphicFramePr>
            <a:graphic>
              <a:graphicData uri="http://schemas.openxmlformats.org/drawingml/2006/picture">
                <pic:pic>
                  <pic:nvPicPr>
                    <pic:cNvPr id="0" name="eq-e4e6f7c1977a.png"/>
                    <pic:cNvPicPr/>
                  </pic:nvPicPr>
                  <pic:blipFill>
                    <a:blip r:embed="rId18"/>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2" name="Picture 12"/>
            <wp:cNvGraphicFramePr>
              <a:graphicFrameLocks noChangeAspect="1"/>
            </wp:cNvGraphicFramePr>
            <a:graphic>
              <a:graphicData uri="http://schemas.openxmlformats.org/drawingml/2006/picture">
                <pic:pic>
                  <pic:nvPicPr>
                    <pic:cNvPr id="0" name="eq-d8719366983b.png"/>
                    <pic:cNvPicPr/>
                  </pic:nvPicPr>
                  <pic:blipFill>
                    <a:blip r:embed="rId19"/>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3" name="Picture 13"/>
            <wp:cNvGraphicFramePr>
              <a:graphicFrameLocks noChangeAspect="1"/>
            </wp:cNvGraphicFramePr>
            <a:graphic>
              <a:graphicData uri="http://schemas.openxmlformats.org/drawingml/2006/picture">
                <pic:pic>
                  <pic:nvPicPr>
                    <pic:cNvPr id="0" name="eq-4852c3250749.png"/>
                    <pic:cNvPicPr/>
                  </pic:nvPicPr>
                  <pic:blipFill>
                    <a:blip r:embed="rId20"/>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