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California Sovereign Infrastructure: the case in brief</w:t>
      </w:r>
    </w:p>
    <w:p>
      <w:r>
        <w:rPr>
          <w:b/>
        </w:rPr>
        <w:t>Matthew Lach, Independent Researcher, 2026</w:t>
      </w:r>
    </w:p>
    <w:p>
      <w:r>
        <w:rPr>
          <w:i/>
        </w:rPr>
        <w:t>The accompaniment to the full proposal. Every figure here is the proposal's, labelled mid / critical, and the proposal carries its source and its case.</w:t>
      </w:r>
    </w:p>
    <w:p>
      <w:pPr>
        <w:pStyle w:val="Heading2"/>
      </w:pPr>
      <w:r>
        <w:t>The problem</w:t>
      </w:r>
    </w:p>
    <w:p>
      <w:pPr>
        <w:pStyle w:val="ListBullet"/>
      </w:pPr>
      <w:r>
        <w:t>California's residential load peaks after sunset and in summer, and the grid serves those hours with gas and imports at rising prices; a household's generation charge has reached about $1,177 a year.</w:t>
      </w:r>
    </w:p>
    <w:p>
      <w:pPr>
        <w:pStyle w:val="ListBullet"/>
      </w:pPr>
      <w:r>
        <w:t>The San Joaquin Valley's groundwater is overdrafted by 1.8–2.5 million acre-feet a year under a statute that requires the deficit to close; the coast has no new firm water source in service.</w:t>
      </w:r>
    </w:p>
    <w:p>
      <w:pPr>
        <w:pStyle w:val="ListBullet"/>
      </w:pPr>
      <w:r>
        <w:t>Neither scarcity yields to demand reduction at scale, and every supply that can meet them is capital-intensive, first-of-a-kind, or both. This program addresses the two together, and prices both honestly.</w:t>
      </w:r>
    </w:p>
    <w:p>
      <w:pPr>
        <w:pStyle w:val="Heading2"/>
      </w:pPr>
      <w:r>
        <w:t>The ask</w:t>
      </w:r>
    </w:p>
    <w:p>
      <w:pPr>
        <w:pStyle w:val="ListBullet"/>
      </w:pPr>
      <w:r>
        <w:t>One state-owned program under one Authority, two severable projects, funded once by general-obligation bonds and never again by the treasury.</w:t>
      </w:r>
    </w:p>
    <w:p>
      <w:pPr>
        <w:pStyle w:val="ListBullet"/>
      </w:pPr>
      <w:r>
        <w:t>Title I makes the electricity for three million households, 18.1 TWh a year, growing with population.</w:t>
      </w:r>
    </w:p>
    <w:p>
      <w:pPr>
        <w:pStyle w:val="ListBullet"/>
      </w:pPr>
      <w:r>
        <w:t>Title II makes their water: 15–17 desalination modules, 0.75–0.83 million acre-feet a year, delivered year-round.</w:t>
      </w:r>
    </w:p>
    <w:p>
      <w:pPr>
        <w:pStyle w:val="ListBullet"/>
      </w:pPr>
      <w:r>
        <w:t>Title III joins them so each helps the other and neither can drag the other down.</w:t>
      </w:r>
    </w:p>
    <w:p>
      <w:pPr>
        <w:pStyle w:val="ListBullet"/>
      </w:pPr>
      <w:r>
        <w:rPr>
          <w:b/>
        </w:rPr>
        <w:t>Decision requested:</w:t>
      </w:r>
      <w:r>
        <w:t xml:space="preserve"> fund the studies and surveys now, $213–463 million, and know within 2–4 years whether the rest is worth $67–114 billion.</w:t>
      </w:r>
    </w:p>
    <w:p>
      <w:pPr>
        <w:pStyle w:val="Heading2"/>
      </w:pPr>
      <w:r>
        <w:t>What it builds</w:t>
      </w:r>
    </w:p>
    <w:p>
      <w:pPr>
        <w:pStyle w:val="ListBullet"/>
      </w:pPr>
      <w:r>
        <w:rPr>
          <w:b/>
        </w:rPr>
        <w:t>Helios-3.</w:t>
      </w:r>
      <w:r>
        <w:t xml:space="preserve"> Concentrating solar on three desert nodes — Mojave, Imperial, the Westside — with falling-particle receivers and supercritical-CO₂ turbines instead of salt and steam, so the same sun makes half again as much power (sun to socket 0.168 for the salt tower, 0.252 at mid).</w:t>
      </w:r>
    </w:p>
    <w:p>
      <w:pPr>
        <w:pStyle w:val="ListBullet"/>
      </w:pPr>
      <w:r>
        <w:t>Daytime load goes straight from photovoltaics without touching a mirror; the mirror field is sized for the night; the particle store carries the evening peak.</w:t>
      </w:r>
    </w:p>
    <w:p>
      <w:pPr>
        <w:pStyle w:val="ListBullet"/>
      </w:pPr>
      <w:r>
        <w:t>As sized at mid: 18.1 million m² of mirror on 14 towers, a 2,620 MWe block, 2,894 MW of PV. At critical: 30.9 million m², 24 towers, 2,620 MWe, 3,101 MW. The adopted route then grows the field by a quarter and the block by half to close the evening.</w:t>
      </w:r>
    </w:p>
    <w:p>
      <w:pPr>
        <w:pStyle w:val="ListBullet"/>
      </w:pPr>
      <w:r>
        <w:rPr>
          <w:b/>
        </w:rPr>
        <w:t>Aqua-Sovereign.</w:t>
      </w:r>
      <w:r>
        <w:t xml:space="preserve"> Seawater reverse osmosis on retired coastal power plants, brine back through the permitted outfall at Ocean Plan concentration, no minerals sold, no zero-liquid-discharge.</w:t>
      </w:r>
    </w:p>
    <w:p>
      <w:pPr>
        <w:pStyle w:val="ListBullet"/>
      </w:pPr>
      <w:r>
        <w:rPr>
          <w:b/>
        </w:rPr>
        <w:t>The joinder.</w:t>
      </w:r>
      <w:r>
        <w:t xml:space="preserve"> Title I's summer surplus lifts the water to an elevated reservoir; every evening of the year it comes down through pump-turbines to close Title I's peak. Water for the Westside and the coast, and the evening's last shortfall closed by the water on its way down.</w:t>
      </w:r>
    </w:p>
    <w:p>
      <w:pPr>
        <w:pStyle w:val="ListBullet"/>
      </w:pPr>
      <w:r>
        <w:t xml:space="preserve">Together they leave </w:t>
      </w:r>
      <w:r>
        <w:rPr>
          <w:b/>
        </w:rPr>
        <w:t>0.6% / 0.7%</w:t>
      </w:r>
      <w:r>
        <w:t xml:space="preserve"> of the load to the grid, against 13% / 13% with neither.</w:t>
      </w:r>
    </w:p>
    <w:p>
      <w:pPr>
        <w:pStyle w:val="Heading2"/>
      </w:pPr>
      <w:r>
        <w:t>What it costs, once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mid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Title I, the plant and its risk register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$32.7 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$55.4 B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Title I, closing the whole load with both levers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$6.4 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$10.3 B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Title II, the water modules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$28 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$48 B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program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$67 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$114 B</w:t>
            </w:r>
          </w:p>
        </w:tc>
      </w:tr>
    </w:tbl>
    <w:p/>
    <w:p>
      <w:pPr>
        <w:pStyle w:val="ListBullet"/>
      </w:pPr>
      <w:r>
        <w:t>Every figure carries its contingency, 15% at mid and 30% at critical, and a one-year debt-service reserve.</w:t>
      </w:r>
    </w:p>
    <w:p>
      <w:pPr>
        <w:pStyle w:val="ListBullet"/>
      </w:pPr>
      <w:r>
        <w:t>Every study and survey is the first line, $213 / 463 million, priced and scheduled before a mirror is ordered.</w:t>
      </w:r>
    </w:p>
    <w:p>
      <w:pPr>
        <w:pStyle w:val="ListBullet"/>
      </w:pPr>
      <w:r>
        <w:t>A salt-tower plant of this size costs $46.1–71.5 B on the built record and does not pay for itself; this program builds a different plant and prices it from the record, not from a promise.</w:t>
      </w:r>
    </w:p>
    <w:p>
      <w:pPr>
        <w:pStyle w:val="Heading2"/>
      </w:pPr>
      <w:r>
        <w:t>What a household pays</w:t>
      </w:r>
    </w:p>
    <w:p>
      <w:pPr>
        <w:pStyle w:val="ListBullet"/>
      </w:pPr>
      <w:r>
        <w:t xml:space="preserve">Today: </w:t>
      </w:r>
      <w:r>
        <w:rPr>
          <w:b/>
        </w:rPr>
        <w:t>$1,177</w:t>
      </w:r>
      <w:r>
        <w:t xml:space="preserve"> a year to the utility for generation.</w:t>
      </w:r>
    </w:p>
    <w:p>
      <w:pPr>
        <w:pStyle w:val="ListBullet"/>
      </w:pPr>
      <w:r>
        <w:t xml:space="preserve">On this program while the bonds are paid: </w:t>
      </w:r>
      <w:r>
        <w:rPr>
          <w:b/>
        </w:rPr>
        <w:t>$1,036</w:t>
      </w:r>
      <w:r>
        <w:t xml:space="preserve"> at mid, </w:t>
      </w:r>
      <w:r>
        <w:rPr>
          <w:b/>
        </w:rPr>
        <w:t>$1,682</w:t>
      </w:r>
      <w:r>
        <w:t xml:space="preserve"> at critical ($172 / 279 per MWh).</w:t>
      </w:r>
    </w:p>
    <w:p>
      <w:pPr>
        <w:pStyle w:val="ListBullet"/>
      </w:pPr>
      <w:r>
        <w:t xml:space="preserve">After the bonds retire: </w:t>
      </w:r>
      <w:r>
        <w:rPr>
          <w:b/>
        </w:rPr>
        <w:t>$190 / 263</w:t>
      </w:r>
      <w:r>
        <w:t xml:space="preserve"> a year, the running cost alone, for as long as the plant stands.</w:t>
      </w:r>
    </w:p>
    <w:p>
      <w:pPr>
        <w:pStyle w:val="ListBullet"/>
      </w:pPr>
      <w:r>
        <w:t>81% / 85% of the plant's bill is the build. Once built, the state owns a supply whose running cost is a fraction of today's bill.</w:t>
      </w:r>
    </w:p>
    <w:p>
      <w:pPr>
        <w:pStyle w:val="ListBullet"/>
      </w:pPr>
      <w:r>
        <w:t xml:space="preserve">Water: </w:t>
      </w:r>
      <w:r>
        <w:rPr>
          <w:b/>
        </w:rPr>
        <w:t>$3,044 / 4,830</w:t>
      </w:r>
      <w:r>
        <w:t xml:space="preserve"> an acre-foot at cost recovery, in the band Carlsbad delivers ($2,700–2,900), on its own rate and account.</w:t>
      </w:r>
    </w:p>
    <w:p>
      <w:pPr>
        <w:pStyle w:val="ListBullet"/>
      </w:pPr>
      <w:r>
        <w:t>No further public money after the build: the bill carries debt service and O&amp;M, the treasury carries nothing.</w:t>
      </w:r>
    </w:p>
    <w:p>
      <w:pPr>
        <w:pStyle w:val="Heading2"/>
      </w:pPr>
      <w:r>
        <w:t>When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mid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studies and surveys begin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2027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2027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first electricity, from the PV field at the first node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2031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2033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pilot receiver on sun, graded against a pass mark fixed in advance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2031–2033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2033–2035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first 100 MWe Helios-3 module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2036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2038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fleet complete, whole load served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2041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2043</w:t>
            </w:r>
          </w:p>
        </w:tc>
      </w:tr>
    </w:tbl>
    <w:p/>
    <w:p>
      <w:pPr>
        <w:pStyle w:val="ListBullet"/>
      </w:pPr>
      <w:r>
        <w:t>The realistic column is critical. The two-year slide is one item, the four-year federal environmental statement on the Mojave node, which is why the studies go first.</w:t>
      </w:r>
    </w:p>
    <w:p>
      <w:pPr>
        <w:pStyle w:val="ListBullet"/>
      </w:pPr>
      <w:r>
        <w:t>Only a pass at the pilot orders the first module. A fail records the nitrate-salt plant on the same field as the route, already priced.</w:t>
      </w:r>
    </w:p>
    <w:p>
      <w:pPr>
        <w:pStyle w:val="Heading2"/>
      </w:pPr>
      <w:r>
        <w:t>Why it holds up</w:t>
      </w:r>
    </w:p>
    <w:p>
      <w:pPr>
        <w:pStyle w:val="ListBullet"/>
      </w:pPr>
      <w:r>
        <w:t>Every number comes from a calculation that can be re-run, printed at a middle case and at a critical case where every uncertain constant sits at its adverse end. The design is held to critical; mid is margin.</w:t>
      </w:r>
    </w:p>
    <w:p>
      <w:pPr>
        <w:pStyle w:val="ListBullet"/>
      </w:pPr>
      <w:r>
        <w:t>The plant is sized to a requirement, three million households growing 1.35–1.81× over the term, and the requirement is met before a kilowatt-hour is sold outside the state.</w:t>
      </w:r>
    </w:p>
    <w:p>
      <w:pPr>
        <w:pStyle w:val="ListBullet"/>
      </w:pPr>
      <w:r>
        <w:t>It takes no developer's margin and no state subsidy after the build, and keeps the federal storage credit where statute allows.</w:t>
      </w:r>
    </w:p>
    <w:p>
      <w:pPr>
        <w:pStyle w:val="ListBullet"/>
      </w:pPr>
      <w:r>
        <w:t>Every technology in it is on a register of 49 published studies and plants, each with a status and a source, and a recommended further study on a dated ladder.</w:t>
      </w:r>
    </w:p>
    <w:p>
      <w:pPr>
        <w:pStyle w:val="ListBullet"/>
      </w:pPr>
      <w:r>
        <w:t>It mines nothing new, consumes no cooling water, and avoids 7.24 / 6.34 million tonnes of CO₂ a year with the load closed.</w:t>
      </w:r>
    </w:p>
    <w:p>
      <w:pPr>
        <w:pStyle w:val="ListBullet"/>
      </w:pPr>
      <w:r>
        <w:t>About 21,054 construction jobs at peak and 1,901 / 1,214 permanent on the nodes, plus 601 / 664 at the water modules.</w:t>
      </w:r>
    </w:p>
    <w:p>
      <w:pPr>
        <w:pStyle w:val="Heading2"/>
      </w:pPr>
      <w:r>
        <w:t>Where</w:t>
      </w:r>
    </w:p>
    <w:p>
      <w:pPr>
        <w:pStyle w:val="ListBullet"/>
      </w:pPr>
      <w:r>
        <w:t>Title I: the Mojave (Kramer Junction), Imperial (Desert Center) and the Westside. At mid the Westside ties the Mojave for first on land, nexus and grid; at critical the Mojave leads on seismic margin. Land 45,361 / 66,339 acres, with fallowed Westside farmland covering a whole node.</w:t>
      </w:r>
    </w:p>
    <w:p>
      <w:pPr>
        <w:pStyle w:val="ListBullet"/>
      </w:pPr>
      <w:r>
        <w:t>Title II: eight retired or retiring coastal plants screened on seven terms; the Oxnard plain (Ormond Beach, Mandalay) and Moss Landing lead; Huntington Beach carries its 2022 denial as a FAIL; no site is met on every term, so a site study is always owed.</w:t>
      </w:r>
    </w:p>
    <w:p>
      <w:pPr>
        <w:pStyle w:val="Heading2"/>
      </w:pPr>
      <w:r>
        <w:t>What could stop it</w:t>
      </w:r>
    </w:p>
    <w:p>
      <w:pPr>
        <w:pStyle w:val="ListBullet"/>
      </w:pPr>
      <w:r>
        <w:t>No plant of this kind has run at scale; the pilot comes first and the salt block stands behind it.</w:t>
      </w:r>
    </w:p>
    <w:p>
      <w:pPr>
        <w:pStyle w:val="ListBullet"/>
      </w:pPr>
      <w:r>
        <w:t>The plant must deliver its modelled output, or the bill rises; no commercial salt tower has yet delivered its design.</w:t>
      </w:r>
    </w:p>
    <w:p>
      <w:pPr>
        <w:pStyle w:val="ListBullet"/>
      </w:pPr>
      <w:r>
        <w:t>The coastal permits are the longest studies on the path and set the critical schedule.</w:t>
      </w:r>
    </w:p>
    <w:p>
      <w:pPr>
        <w:pStyle w:val="ListBullet"/>
      </w:pPr>
      <w:r>
        <w:t>At the critical case a household pays more than today for one bond term. The proposal says so on every page, because a plan that hides its worst case is not one that can be built.</w:t>
      </w:r>
    </w:p>
    <w:p>
      <w:pPr>
        <w:pStyle w:val="Heading2"/>
      </w:pPr>
      <w:r>
        <w:t>The decision</w:t>
      </w:r>
    </w:p>
    <w:p>
      <w:pPr>
        <w:pStyle w:val="ListBullet"/>
      </w:pPr>
      <w:r>
        <w:t>Fund the studies now, for $213–463 million, and know within 2–4 years whether the rest is worth $67–114 billion.</w:t>
      </w:r>
    </w:p>
    <w:p>
      <w:pPr>
        <w:pStyle w:val="ListBullet"/>
      </w:pPr>
      <w:r>
        <w:t>Nothing irreversible is bought before the receiver has passed its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