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structural definition, two uniqueness theorems, and the closed-form energy account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the reaction is cold in the everyday sense, only that the work of bringing two nuclei within tunnelling range is done by a bound state instead of by a collision. The reaction the definition picks out is muon-catalysed fusion, a laboratory phenomenon since the 1950s, and the paper's first result is that the definition picks out that and nothing else.</w:t>
      </w:r>
    </w:p>
    <w:p>
      <w:r>
        <w:rPr>
          <w:b w:val="0"/>
          <w:i w:val="0"/>
        </w:rPr>
        <w:t xml:space="preserve">Seven conditions are necessary for such an event to occur and to be checkable. Applied to the closed index of charged particles they admit </w:t>
      </w:r>
      <w:r>
        <w:rPr>
          <w:b/>
          <w:i w:val="0"/>
        </w:rPr>
        <w:t>exactly one</w:t>
      </w:r>
      <w:r>
        <w:rPr>
          <w:b w:val="0"/>
          <w:i w:val="0"/>
        </w:rPr>
        <w:t xml:space="preserve"> binder — the negative muon — because the conditions place both a floor and a ceiling on the binder's mass, and the window between them, 119 electron masses to 918 electron masses, has a single occupant. Of 13 charged particles scanned, 5 outlive the mesomolecular formation time and 2 lie inside the window; one survives the remaining test. The window's lower bound may move by a factor of 207 and its upper by 3.54 before that count changes.</w:t>
      </w:r>
    </w:p>
    <w:p>
      <w:r>
        <w:rPr>
          <w:b w:val="0"/>
          <w:i w:val="0"/>
        </w:rPr>
        <w:t xml:space="preserve">A second uniqueness result closes the other half of the configuration. </w:t>
      </w:r>
      <w:r>
        <w:rPr>
          <w:b/>
          <w:i w:val="0"/>
        </w:rPr>
        <w:t>The fuel is unique as well.</w:t>
      </w:r>
      <w:r>
        <w:rPr>
          <w:b w:val="0"/>
          <w:i w:val="0"/>
        </w:rPr>
        <w:t xml:space="preserve"> That </w:t>
      </w:r>
      <w:r>
        <w:rPr>
          <w:b w:val="0"/>
          <w:i/>
        </w:rPr>
        <w:t>d</w:t>
      </w:r>
      <w:r>
        <w:rPr>
          <w:b w:val="0"/>
          <w:i w:val="0"/>
        </w:rPr>
        <w:t>–</w:t>
      </w:r>
      <w:r>
        <w:rPr>
          <w:b w:val="0"/>
          <w:i/>
        </w:rPr>
        <w:t>t</w:t>
      </w:r>
      <w:r>
        <w:rPr>
          <w:b w:val="0"/>
          <w:i w:val="0"/>
        </w:rPr>
        <w:t xml:space="preserve"> is the best mesomolecular fuel is not news to the field; what is set out here is the closed argument for it, over the whole candidate set at once. </w:t>
      </w:r>
      <w:r>
        <w:rPr>
          <w:b w:val="0"/>
          <w:i/>
        </w:rPr>
        <w:t>d</w:t>
      </w:r>
      <w:r>
        <w:rPr>
          <w:b w:val="0"/>
          <w:i w:val="0"/>
        </w:rPr>
        <w:t>–</w:t>
      </w:r>
      <w:r>
        <w:rPr>
          <w:b w:val="0"/>
          <w:i/>
        </w:rPr>
        <w:t>t</w:t>
      </w:r>
      <w:r>
        <w:rPr>
          <w:b w:val="0"/>
          <w:i w:val="0"/>
        </w:rPr>
        <w:t xml:space="preserve"> maximises the energy returned per binder by a factor of 77.85 against the next candidate — and the runner-up uses </w:t>
      </w:r>
      <w:r>
        <w:rPr>
          <w:b w:val="0"/>
          <w:i/>
        </w:rPr>
        <w:t>more</w:t>
      </w:r>
      <w:r>
        <w:rPr>
          <w:b w:val="0"/>
          <w:i w:val="0"/>
        </w:rPr>
        <w:t xml:space="preserve"> tritium rather than less. The figure of merit is not the energy release but the cycles a binder completes before it decays or sticks, </w:t>
      </w:r>
      <w:r>
        <w:rPr>
          <w:rFonts w:ascii="Consolas" w:hAnsi="Consolas"/>
          <w:b w:val="0"/>
          <w:i w:val="0"/>
          <w:sz w:val="19"/>
        </w:rPr>
        <w:t>N = 1/(ω_s + λ_0/λ_c)</w:t>
      </w:r>
      <w:r>
        <w:rPr>
          <w:b w:val="0"/>
          <w:i w:val="0"/>
        </w:rPr>
        <w:t xml:space="preserve">, which punishes a slow cycle exactly as it punishes a sticky one. The ordering survives every competitor's cycle rate being sent to infinity, leaving </w:t>
      </w:r>
      <w:r>
        <w:rPr>
          <w:b w:val="0"/>
          <w:i/>
        </w:rPr>
        <w:t>d</w:t>
      </w:r>
      <w:r>
        <w:rPr>
          <w:b w:val="0"/>
          <w:i w:val="0"/>
        </w:rPr>
        <w:t>–</w:t>
      </w:r>
      <w:r>
        <w:rPr>
          <w:b w:val="0"/>
          <w:i/>
        </w:rPr>
        <w:t>t</w:t>
      </w:r>
      <w:r>
        <w:rPr>
          <w:b w:val="0"/>
          <w:i w:val="0"/>
        </w:rPr>
        <w:t xml:space="preserve"> ahead by a factor of 24.58, so it rests on the stickings alone.</w:t>
      </w:r>
    </w:p>
    <w:p>
      <w:r>
        <w:rPr>
          <w:b w:val="0"/>
          <w:i w:val="0"/>
        </w:rPr>
        <w:t xml:space="preserve">The reaction is therefore not speculative, and its uniqueness is not assumed. What has never been observed is a configuration of it that returns more energy than it costs to run, and the distance between those two statements is what the rest of the paper measures. An </w:t>
      </w:r>
      <w:r>
        <w:rPr>
          <w:b/>
          <w:i w:val="0"/>
        </w:rPr>
        <w:t>eighth condition</w:t>
      </w:r>
      <w:r>
        <w:rPr>
          <w:b w:val="0"/>
          <w:i w:val="0"/>
        </w:rPr>
        <w:t xml:space="preserve"> makes the question answerable: a binder is worth making only if </w:t>
      </w:r>
      <w:r>
        <w:rPr>
          <w:rFonts w:ascii="Consolas" w:hAnsi="Consolas"/>
          <w:b w:val="0"/>
          <w:i w:val="0"/>
          <w:sz w:val="19"/>
        </w:rPr>
        <w:t>E_binder &lt; Q_fus · f_work / ω_s</w:t>
      </w:r>
      <w:r>
        <w:rPr>
          <w:b w:val="0"/>
          <w:i w:val="0"/>
        </w:rPr>
        <w:t xml:space="preserve">. It contains no fitted term: two are measured, one is integrated from measured cross sections, and the fourth is a conversion fraction computed at a stated operating point and carried in both of its conventions. Integrating the published pion production cross sections puts production alone at 11.13 GeV per pion, so even a perfect collector would leave the heat form short; sticking is shown to be independent of the binder's mass, so the condition is a specification on the machine rather than a search over the spectrum; and the break-point in sticking lies </w:t>
      </w:r>
      <w:r>
        <w:rPr>
          <w:b/>
          <w:i w:val="0"/>
        </w:rPr>
        <w:t>below both</w:t>
      </w:r>
      <w:r>
        <w:rPr>
          <w:b w:val="0"/>
          <w:i w:val="0"/>
        </w:rPr>
        <w:t xml:space="preserve"> published readings rather than between them, so no choice between them repairs the heat form.</w:t>
      </w:r>
    </w:p>
    <w:p>
      <w:r>
        <w:rPr>
          <w:b w:val="0"/>
          <w:i w:val="0"/>
        </w:rPr>
        <w:t xml:space="preserve">Stated at the acceptance the machine actually delivers rather than at an assumed collection, and at the sticking the record supports, </w:t>
      </w:r>
      <w:r>
        <w:rPr>
          <w:b/>
          <w:i w:val="0"/>
        </w:rPr>
        <w:t>nothing clears unity at the production cost this paper integrates</w:t>
      </w:r>
      <w:r>
        <w:rPr>
          <w:b w:val="0"/>
          <w:i w:val="0"/>
        </w:rPr>
        <w:t xml:space="preserve">. The closest is bred fuel at the demonstrated 150 cycles per binder, at 0.623 as built; with both specified collector alterations it reaches 0.957, short of unity by a factor of 1.045 and short by no term other than a loss budget that has never been measured end to end. One route does cross — bred fuel through a </w:t>
      </w:r>
      <w:r>
        <w:rPr>
          <w:b w:val="0"/>
          <w:i/>
        </w:rPr>
        <w:t>published</w:t>
      </w:r>
      <w:r>
        <w:rPr>
          <w:b w:val="0"/>
          <w:i w:val="0"/>
        </w:rPr>
        <w:t xml:space="preserve"> optimisation of the production target, at 1.480 — and it crosses on an optimisation worth a factor of 2.373 that this paper prices and </w:t>
      </w:r>
      <w:r>
        <w:rPr>
          <w:b/>
          <w:i w:val="0"/>
        </w:rPr>
        <w:t>declines to adopt</w:t>
      </w:r>
      <w:r>
        <w:rPr>
          <w:b w:val="0"/>
          <w:i w:val="0"/>
        </w:rPr>
        <w:t>, because the gap between that optimisation and the integrated 11.13 GeV is a discrepancy the paper records and does not close.</w:t>
      </w:r>
    </w:p>
    <w:p>
      <w:r>
        <w:rPr>
          <w:b w:val="0"/>
          <w:i w:val="0"/>
        </w:rPr>
        <w:t xml:space="preserve">A final result runs the other way and is reported as a quantity to measure rather than a result to build on. </w:t>
      </w:r>
      <w:r>
        <w:rPr>
          <w:b/>
          <w:i w:val="0"/>
        </w:rPr>
        <w:t>A deuterium cell does not stay a deuterium cell</w:t>
      </w:r>
      <w:r>
        <w:rPr>
          <w:b w:val="0"/>
          <w:i w:val="0"/>
        </w:rPr>
        <w:t xml:space="preserve">: one </w:t>
      </w:r>
      <w:r>
        <w:rPr>
          <w:b w:val="0"/>
          <w:i/>
        </w:rPr>
        <w:t>d</w:t>
      </w:r>
      <w:r>
        <w:rPr>
          <w:b w:val="0"/>
          <w:i w:val="0"/>
        </w:rPr>
        <w:t>–</w:t>
      </w:r>
      <w:r>
        <w:rPr>
          <w:b w:val="0"/>
          <w:i/>
        </w:rPr>
        <w:t>d</w:t>
      </w:r>
      <w:r>
        <w:rPr>
          <w:b w:val="0"/>
          <w:i w:val="0"/>
        </w:rPr>
        <w:t xml:space="preserve"> branch makes tritium, </w:t>
      </w:r>
      <w:r>
        <w:rPr>
          <w:b w:val="0"/>
          <w:i/>
        </w:rPr>
        <w:t>dtμ</w:t>
      </w:r>
      <w:r>
        <w:rPr>
          <w:b w:val="0"/>
          <w:i w:val="0"/>
        </w:rPr>
        <w:t xml:space="preserve"> forms far faster than </w:t>
      </w:r>
      <w:r>
        <w:rPr>
          <w:b w:val="0"/>
          <w:i/>
        </w:rPr>
        <w:t>ddμ</w:t>
      </w:r>
      <w:r>
        <w:rPr>
          <w:b w:val="0"/>
          <w:i w:val="0"/>
        </w:rPr>
        <w:t>, and the cell tritiates itself to an equilibrium of 0.6211 percent by atom. Such a cell holds less tritium than the specified one by a factor of 64.71 and needs no lithium and no breeding blanket, at the cost of a fusion yield a factor of 48.38 smaller per binder.</w:t>
      </w:r>
    </w:p>
    <w:p>
      <w:r>
        <w:rPr>
          <w:b w:val="0"/>
          <w:i w:val="0"/>
        </w:rPr>
        <w:t xml:space="preserve">The paper closes with the reaction specified to the point where another laboratory could build it, the machine that would supply the binders, the procedure that would witness the configuration, and a statement of exactly what is proved and what is not. </w:t>
      </w:r>
      <w:r>
        <w:rPr>
          <w:b/>
          <w:i w:val="0"/>
        </w:rPr>
        <w:t>The configuration in which the binder is a byproduct of a beam already running for another purpose is not priced here</w:t>
      </w:r>
      <w:r>
        <w:rPr>
          <w:b w:val="0"/>
          <w:i w:val="0"/>
        </w:rPr>
        <w:t>; it changes the accounting rather than the reaction, and it is the subject of a separate paper.</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a factor of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§14.3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§9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unique fuel</w:t>
      </w:r>
    </w:p>
    <w:p>
      <w:r>
        <w:rPr>
          <w:b w:val="0"/>
          <w:i w:val="0"/>
        </w:rPr>
        <w:t xml:space="preserve">§2 closes the question of what may </w:t>
      </w:r>
      <w:r>
        <w:rPr>
          <w:b w:val="0"/>
          <w:i/>
        </w:rPr>
        <w:t>hold</w:t>
      </w:r>
      <w:r>
        <w:rPr>
          <w:b w:val="0"/>
          <w:i w:val="0"/>
        </w:rPr>
        <w:t xml:space="preserve"> a mesomolecule. It says nothing about what the mesomolecule holds, and this paper had assumed </w:t>
      </w:r>
      <w:r>
        <w:rPr>
          <w:b w:val="0"/>
          <w:i/>
        </w:rPr>
        <w:t>d</w:t>
      </w:r>
      <w:r>
        <w:rPr>
          <w:b w:val="0"/>
          <w:i w:val="0"/>
        </w:rPr>
        <w:t>–</w:t>
      </w:r>
      <w:r>
        <w:rPr>
          <w:b w:val="0"/>
          <w:i/>
        </w:rPr>
        <w:t>t</w:t>
      </w:r>
      <w:r>
        <w:rPr>
          <w:b w:val="0"/>
          <w:i w:val="0"/>
        </w:rPr>
        <w:t xml:space="preserve"> throughout without asking. That </w:t>
      </w:r>
      <w:r>
        <w:rPr>
          <w:b w:val="0"/>
          <w:i/>
        </w:rPr>
        <w:t>d</w:t>
      </w:r>
      <w:r>
        <w:rPr>
          <w:b w:val="0"/>
          <w:i w:val="0"/>
        </w:rPr>
        <w:t>–</w:t>
      </w:r>
      <w:r>
        <w:rPr>
          <w:b w:val="0"/>
          <w:i/>
        </w:rPr>
        <w:t>t</w:t>
      </w:r>
      <w:r>
        <w:rPr>
          <w:b w:val="0"/>
          <w:i w:val="0"/>
        </w:rPr>
        <w:t xml:space="preserve"> is the best mesomolecular fuel is not news to the field; what is set out here is the closed argument for it, because the fuel is where this reaction's largest practical liability sits, and a uniqueness claim covering only half the configuration is not a uniqueness claim.</w:t>
      </w:r>
    </w:p>
    <w:p>
      <w:r>
        <w:rPr>
          <w:b w:val="0"/>
          <w:i w:val="0"/>
        </w:rPr>
        <w:t xml:space="preserve">The candidate set closes the same way §2's did. A mesomolecular fuel is a </w:t>
      </w:r>
      <w:r>
        <w:rPr>
          <w:b/>
          <w:i w:val="0"/>
        </w:rPr>
        <w:t>pair</w:t>
      </w:r>
      <w:r>
        <w:rPr>
          <w:b w:val="0"/>
          <w:i w:val="0"/>
        </w:rPr>
        <w:t xml:space="preserve"> of light nuclei that a muon can bind, and the hydrogen isotopes give exactly 6 such pairs. The helium pairs are listed beside them and excluded by the same arithmetic rather than by assertion.</w:t>
      </w:r>
    </w:p>
    <w:p>
      <w:r>
        <w:rPr>
          <w:b/>
          <w:i w:val="0"/>
        </w:rPr>
        <w:t>The figure of merit is not the energy release.</w:t>
      </w:r>
      <w:r>
        <w:rPr>
          <w:b w:val="0"/>
          <w:i w:val="0"/>
        </w:rPr>
        <w:t xml:space="preserve"> A muon is a reusable catalyst with exactly two ways of being lost — it decays, or it sticks to a fusion product — and what one muon is worth is therefore the number of cycles it completes before one of the two claims it. Writing </w:t>
      </w:r>
      <w:r>
        <w:rPr>
          <w:rFonts w:ascii="Consolas" w:hAnsi="Consolas"/>
          <w:b w:val="0"/>
          <w:i w:val="0"/>
          <w:sz w:val="19"/>
        </w:rPr>
        <w:t>λ_c</w:t>
      </w:r>
      <w:r>
        <w:rPr>
          <w:b w:val="0"/>
          <w:i w:val="0"/>
        </w:rPr>
        <w:t xml:space="preserve"> for the cycle rate and </w:t>
      </w:r>
      <w:r>
        <w:rPr>
          <w:rFonts w:ascii="Consolas" w:hAnsi="Consolas"/>
          <w:b w:val="0"/>
          <w:i w:val="0"/>
          <w:sz w:val="19"/>
        </w:rPr>
        <w:t>λ_0</w:t>
      </w:r>
      <w:r>
        <w:rPr>
          <w:b w:val="0"/>
          <w:i w:val="0"/>
        </w:rPr>
        <w:t xml:space="preserve"> for the free decay rate,</w:t>
      </w:r>
    </w:p>
    <w:p>
      <w:pPr>
        <w:spacing w:before="160" w:after="200"/>
        <w:ind w:left="461" w:right="259"/>
      </w:pPr>
      <w:r>
        <w:rPr>
          <w:b/>
          <w:i w:val="0"/>
        </w:rPr>
        <w:t>the cycles a binder completes are</w:t>
      </w:r>
      <w:r>
        <w:rPr>
          <w:b w:val="0"/>
          <w:i w:val="0"/>
        </w:rPr>
        <w:t xml:space="preserve"> </w:t>
      </w:r>
      <w:r>
        <w:rPr>
          <w:rFonts w:ascii="Consolas" w:hAnsi="Consolas"/>
          <w:b w:val="0"/>
          <w:i w:val="0"/>
          <w:sz w:val="19"/>
        </w:rPr>
        <w:t>N = 1 / (ω_s + λ_0/λ_c)</w:t>
      </w:r>
      <w:r>
        <w:rPr>
          <w:b w:val="0"/>
          <w:i w:val="0"/>
        </w:rPr>
        <w:t>,</w:t>
      </w:r>
    </w:p>
    <w:p>
      <w:r>
        <w:rPr>
          <w:b w:val="0"/>
          <w:i w:val="0"/>
        </w:rPr>
        <w:t xml:space="preserve">so that a </w:t>
      </w:r>
      <w:r>
        <w:rPr>
          <w:b w:val="0"/>
          <w:i/>
        </w:rPr>
        <w:t>slow</w:t>
      </w:r>
      <w:r>
        <w:rPr>
          <w:b w:val="0"/>
          <w:i w:val="0"/>
        </w:rPr>
        <w:t xml:space="preserve"> cycle is punished by decay and a </w:t>
      </w:r>
      <w:r>
        <w:rPr>
          <w:b w:val="0"/>
          <w:i/>
        </w:rPr>
        <w:t>sticky</w:t>
      </w:r>
      <w:r>
        <w:rPr>
          <w:b w:val="0"/>
          <w:i w:val="0"/>
        </w:rPr>
        <w:t xml:space="preserve"> one by sticking, and a fuel must escape both to be worth anything. Proposition 10 in §14.8 derives it. The free decay rate is 4.5517 × 10</w:t>
      </w:r>
      <w:r>
        <w:rPr>
          <w:b w:val="0"/>
          <w:i w:val="0"/>
          <w:vertAlign w:val="superscript"/>
        </w:rPr>
        <w:t>5</w:t>
      </w:r>
      <w:r>
        <w:rPr>
          <w:b w:val="0"/>
          <w:i w:val="0"/>
        </w:rPr>
        <w:t xml:space="preserve"> s</w:t>
      </w:r>
      <w:r>
        <w:rPr>
          <w:b w:val="0"/>
          <w:i w:val="0"/>
          <w:vertAlign w:val="superscript"/>
        </w:rPr>
        <w:t>-1</w:t>
      </w:r>
      <w:r>
        <w:rPr>
          <w:b w:val="0"/>
          <w:i w:val="0"/>
        </w:rPr>
        <w: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pair</w:t>
            </w:r>
          </w:p>
        </w:tc>
        <w:tc>
          <w:tcPr>
            <w:tcW w:type="dxa" w:w="2976"/>
          </w:tcPr>
          <w:p>
            <w:r/>
            <w:r>
              <w:rPr>
                <w:b/>
                <w:i w:val="0"/>
              </w:rPr>
              <w:t>cycles per muon</w:t>
            </w:r>
          </w:p>
        </w:tc>
        <w:tc>
          <w:tcPr>
            <w:tcW w:type="dxa" w:w="2976"/>
          </w:tcPr>
          <w:p>
            <w:r/>
            <w:r>
              <w:rPr>
                <w:b/>
                <w:i w:val="0"/>
              </w:rPr>
              <w:t>energy per muon</w:t>
            </w:r>
          </w:p>
        </w:tc>
      </w:tr>
      <w:tr>
        <w:tc>
          <w:tcPr>
            <w:tcW w:type="dxa" w:w="2976"/>
          </w:tcPr>
          <w:p>
            <w:r/>
            <w:r>
              <w:rPr>
                <w:b/>
                <w:i w:val="0"/>
              </w:rPr>
              <w:t>d–t</w:t>
            </w:r>
          </w:p>
        </w:tc>
        <w:tc>
          <w:tcPr>
            <w:tcW w:type="dxa" w:w="2976"/>
          </w:tcPr>
          <w:p>
            <w:r/>
            <w:r>
              <w:rPr>
                <w:b/>
                <w:i w:val="0"/>
              </w:rPr>
              <w:t>113.08 cycles</w:t>
            </w:r>
          </w:p>
        </w:tc>
        <w:tc>
          <w:tcPr>
            <w:tcW w:type="dxa" w:w="2976"/>
          </w:tcPr>
          <w:p>
            <w:r/>
            <w:r>
              <w:rPr>
                <w:b/>
                <w:i w:val="0"/>
              </w:rPr>
              <w:t>1989.1 MeV</w:t>
            </w:r>
          </w:p>
        </w:tc>
      </w:tr>
      <w:tr>
        <w:tc>
          <w:tcPr>
            <w:tcW w:type="dxa" w:w="2976"/>
          </w:tcPr>
          <w:p>
            <w:r/>
            <w:r>
              <w:rPr>
                <w:b w:val="0"/>
                <w:i w:val="0"/>
              </w:rPr>
              <w:t>t–t</w:t>
            </w:r>
          </w:p>
        </w:tc>
        <w:tc>
          <w:tcPr>
            <w:tcW w:type="dxa" w:w="2976"/>
          </w:tcPr>
          <w:p>
            <w:r/>
            <w:r>
              <w:rPr>
                <w:b w:val="0"/>
                <w:i w:val="0"/>
              </w:rPr>
              <w:t>2.26 cycles</w:t>
            </w:r>
          </w:p>
        </w:tc>
        <w:tc>
          <w:tcPr>
            <w:tcW w:type="dxa" w:w="2976"/>
          </w:tcPr>
          <w:p>
            <w:r/>
            <w:r>
              <w:rPr>
                <w:b w:val="0"/>
                <w:i w:val="0"/>
              </w:rPr>
              <w:t>25.55 MeV</w:t>
            </w:r>
          </w:p>
        </w:tc>
      </w:tr>
      <w:tr>
        <w:tc>
          <w:tcPr>
            <w:tcW w:type="dxa" w:w="2976"/>
          </w:tcPr>
          <w:p>
            <w:r/>
            <w:r>
              <w:rPr>
                <w:b w:val="0"/>
                <w:i w:val="0"/>
              </w:rPr>
              <w:t>p–t</w:t>
            </w:r>
          </w:p>
        </w:tc>
        <w:tc>
          <w:tcPr>
            <w:tcW w:type="dxa" w:w="2976"/>
          </w:tcPr>
          <w:p>
            <w:r/>
            <w:r>
              <w:rPr>
                <w:b w:val="0"/>
                <w:i w:val="0"/>
              </w:rPr>
              <w:t>0.7117 cycles</w:t>
            </w:r>
          </w:p>
        </w:tc>
        <w:tc>
          <w:tcPr>
            <w:tcW w:type="dxa" w:w="2976"/>
          </w:tcPr>
          <w:p>
            <w:r/>
            <w:r>
              <w:rPr>
                <w:b w:val="0"/>
                <w:i w:val="0"/>
              </w:rPr>
              <w:t>14.098 MeV</w:t>
            </w:r>
          </w:p>
        </w:tc>
      </w:tr>
      <w:tr>
        <w:tc>
          <w:tcPr>
            <w:tcW w:type="dxa" w:w="2976"/>
          </w:tcPr>
          <w:p>
            <w:r/>
            <w:r>
              <w:rPr>
                <w:b w:val="0"/>
                <w:i w:val="0"/>
              </w:rPr>
              <w:t>d–d</w:t>
            </w:r>
          </w:p>
        </w:tc>
        <w:tc>
          <w:tcPr>
            <w:tcW w:type="dxa" w:w="2976"/>
          </w:tcPr>
          <w:p>
            <w:r/>
            <w:r>
              <w:rPr>
                <w:b w:val="0"/>
                <w:i w:val="0"/>
              </w:rPr>
              <w:t>2.36 cycles</w:t>
            </w:r>
          </w:p>
        </w:tc>
        <w:tc>
          <w:tcPr>
            <w:tcW w:type="dxa" w:w="2976"/>
          </w:tcPr>
          <w:p>
            <w:r/>
            <w:r>
              <w:rPr>
                <w:b w:val="0"/>
                <w:i w:val="0"/>
              </w:rPr>
              <w:t>8.62 MeV</w:t>
            </w:r>
          </w:p>
        </w:tc>
      </w:tr>
      <w:tr>
        <w:tc>
          <w:tcPr>
            <w:tcW w:type="dxa" w:w="2976"/>
          </w:tcPr>
          <w:p>
            <w:r/>
            <w:r>
              <w:rPr>
                <w:b w:val="0"/>
                <w:i w:val="0"/>
              </w:rPr>
              <w:t>p–d</w:t>
            </w:r>
          </w:p>
        </w:tc>
        <w:tc>
          <w:tcPr>
            <w:tcW w:type="dxa" w:w="2976"/>
          </w:tcPr>
          <w:p>
            <w:r/>
            <w:r>
              <w:rPr>
                <w:b w:val="0"/>
                <w:i w:val="0"/>
              </w:rPr>
              <w:t>1.0191 cycles</w:t>
            </w:r>
          </w:p>
        </w:tc>
        <w:tc>
          <w:tcPr>
            <w:tcW w:type="dxa" w:w="2976"/>
          </w:tcPr>
          <w:p>
            <w:r/>
            <w:r>
              <w:rPr>
                <w:b w:val="0"/>
                <w:i w:val="0"/>
              </w:rPr>
              <w:t>5.595 MeV</w:t>
            </w:r>
          </w:p>
        </w:tc>
      </w:tr>
      <w:tr>
        <w:tc>
          <w:tcPr>
            <w:tcW w:type="dxa" w:w="2976"/>
          </w:tcPr>
          <w:p>
            <w:r/>
            <w:r>
              <w:rPr>
                <w:b w:val="0"/>
                <w:i w:val="0"/>
              </w:rPr>
              <w:t>d–³He</w:t>
            </w:r>
          </w:p>
        </w:tc>
        <w:tc>
          <w:tcPr>
            <w:tcW w:type="dxa" w:w="2976"/>
          </w:tcPr>
          <w:p>
            <w:r/>
            <w:r>
              <w:rPr>
                <w:b w:val="0"/>
                <w:i w:val="0"/>
              </w:rPr>
              <w:t>0.1805 cycles</w:t>
            </w:r>
          </w:p>
        </w:tc>
        <w:tc>
          <w:tcPr>
            <w:tcW w:type="dxa" w:w="2976"/>
          </w:tcPr>
          <w:p>
            <w:r/>
            <w:r>
              <w:rPr>
                <w:b w:val="0"/>
                <w:i w:val="0"/>
              </w:rPr>
              <w:t>3.311 MeV</w:t>
            </w:r>
          </w:p>
        </w:tc>
      </w:tr>
      <w:tr>
        <w:tc>
          <w:tcPr>
            <w:tcW w:type="dxa" w:w="2976"/>
          </w:tcPr>
          <w:p>
            <w:r/>
            <w:r>
              <w:rPr>
                <w:b w:val="0"/>
                <w:i w:val="0"/>
              </w:rPr>
              <w:t>p–³He</w:t>
            </w:r>
          </w:p>
        </w:tc>
        <w:tc>
          <w:tcPr>
            <w:tcW w:type="dxa" w:w="2976"/>
          </w:tcPr>
          <w:p>
            <w:r/>
            <w:r>
              <w:rPr>
                <w:b w:val="0"/>
                <w:i w:val="0"/>
              </w:rPr>
              <w:t>0.0215 cycles</w:t>
            </w:r>
          </w:p>
        </w:tc>
        <w:tc>
          <w:tcPr>
            <w:tcW w:type="dxa" w:w="2976"/>
          </w:tcPr>
          <w:p>
            <w:r/>
            <w:r>
              <w:rPr>
                <w:b w:val="0"/>
                <w:i w:val="0"/>
              </w:rPr>
              <w:t>0.0400 MeV</w:t>
            </w:r>
          </w:p>
        </w:tc>
      </w:tr>
      <w:tr>
        <w:tc>
          <w:tcPr>
            <w:tcW w:type="dxa" w:w="2976"/>
          </w:tcPr>
          <w:p>
            <w:r/>
            <w:r>
              <w:rPr>
                <w:b w:val="0"/>
                <w:i w:val="0"/>
              </w:rPr>
              <w:t>p–p</w:t>
            </w:r>
          </w:p>
        </w:tc>
        <w:tc>
          <w:tcPr>
            <w:tcW w:type="dxa" w:w="2976"/>
          </w:tcPr>
          <w:p>
            <w:r/>
            <w:r>
              <w:rPr>
                <w:b w:val="0"/>
                <w:i w:val="0"/>
              </w:rPr>
              <w:t>0.00022 cycles</w:t>
            </w:r>
          </w:p>
        </w:tc>
        <w:tc>
          <w:tcPr>
            <w:tcW w:type="dxa" w:w="2976"/>
          </w:tcPr>
          <w:p>
            <w:r/>
            <w:r>
              <w:rPr>
                <w:b w:val="0"/>
                <w:i w:val="0"/>
              </w:rPr>
              <w:t>0.00032 MeV</w:t>
            </w:r>
          </w:p>
        </w:tc>
      </w:tr>
    </w:tbl>
    <w:p/>
    <w:p>
      <w:r>
        <w:rPr>
          <w:b w:val="0"/>
          <w:i w:val="0"/>
        </w:rPr>
        <w:t xml:space="preserve">The whole set is shown rather than summarised, because a uniqueness claim over a closed set is only checkable if the set is on the page. Two entries repay reading, and both are visible in the table itself. </w:t>
      </w:r>
      <w:r>
        <w:rPr>
          <w:b w:val="0"/>
          <w:i/>
        </w:rPr>
        <w:t>p</w:t>
      </w:r>
      <w:r>
        <w:rPr>
          <w:b w:val="0"/>
          <w:i w:val="0"/>
        </w:rPr>
        <w:t>–</w:t>
      </w:r>
      <w:r>
        <w:rPr>
          <w:b w:val="0"/>
          <w:i/>
        </w:rPr>
        <w:t>t</w:t>
      </w:r>
      <w:r>
        <w:rPr>
          <w:b w:val="0"/>
          <w:i w:val="0"/>
        </w:rPr>
        <w:t xml:space="preserve"> completes </w:t>
      </w:r>
      <w:r>
        <w:rPr>
          <w:b/>
          <w:i w:val="0"/>
        </w:rPr>
        <w:t>fewer</w:t>
      </w:r>
      <w:r>
        <w:rPr>
          <w:b w:val="0"/>
          <w:i w:val="0"/>
        </w:rPr>
        <w:t xml:space="preserve"> cycles than </w:t>
      </w:r>
      <w:r>
        <w:rPr>
          <w:b w:val="0"/>
          <w:i/>
        </w:rPr>
        <w:t>d</w:t>
      </w:r>
      <w:r>
        <w:rPr>
          <w:b w:val="0"/>
          <w:i w:val="0"/>
        </w:rPr>
        <w:t>–</w:t>
      </w:r>
      <w:r>
        <w:rPr>
          <w:b w:val="0"/>
          <w:i/>
        </w:rPr>
        <w:t>d</w:t>
      </w:r>
      <w:r>
        <w:rPr>
          <w:b w:val="0"/>
          <w:i w:val="0"/>
        </w:rPr>
        <w:t xml:space="preserve"> and returns </w:t>
      </w:r>
      <w:r>
        <w:rPr>
          <w:b/>
          <w:i w:val="0"/>
        </w:rPr>
        <w:t>more</w:t>
      </w:r>
      <w:r>
        <w:rPr>
          <w:b w:val="0"/>
          <w:i w:val="0"/>
        </w:rPr>
        <w:t xml:space="preserve"> energy per binder than it, its larger release per fusion outweighing its shorter catalytic life — which is what it means for the figure of merit to be neither column alone. And </w:t>
      </w:r>
      <w:r>
        <w:rPr>
          <w:b w:val="0"/>
          <w:i/>
        </w:rPr>
        <w:t>p</w:t>
      </w:r>
      <w:r>
        <w:rPr>
          <w:b w:val="0"/>
          <w:i w:val="0"/>
        </w:rPr>
        <w:t>–</w:t>
      </w:r>
      <w:r>
        <w:rPr>
          <w:b w:val="0"/>
          <w:i/>
        </w:rPr>
        <w:t>d</w:t>
      </w:r>
      <w:r>
        <w:rPr>
          <w:b w:val="0"/>
          <w:i w:val="0"/>
        </w:rPr>
        <w:t xml:space="preserve"> completes just over one cycle, so the entries below </w:t>
      </w:r>
      <w:r>
        <w:rPr>
          <w:b w:val="0"/>
          <w:i/>
        </w:rPr>
        <w:t>d</w:t>
      </w:r>
      <w:r>
        <w:rPr>
          <w:b w:val="0"/>
          <w:i w:val="0"/>
        </w:rPr>
        <w:t>–</w:t>
      </w:r>
      <w:r>
        <w:rPr>
          <w:b w:val="0"/>
          <w:i/>
        </w:rPr>
        <w:t>d</w:t>
      </w:r>
      <w:r>
        <w:rPr>
          <w:b w:val="0"/>
          <w:i w:val="0"/>
        </w:rPr>
        <w:t xml:space="preserve"> are behind rather than sterile.</w:t>
      </w:r>
    </w:p>
    <w:p>
      <w:pPr>
        <w:spacing w:before="160" w:after="200"/>
        <w:ind w:left="461" w:right="259"/>
      </w:pPr>
      <w:r>
        <w:rPr>
          <w:b/>
          <w:i w:val="0"/>
        </w:rPr>
        <w:t>Theorem 4 (uniqueness of the fuel).</w:t>
      </w:r>
      <w:r>
        <w:rPr>
          <w:b w:val="0"/>
          <w:i w:val="0"/>
        </w:rPr>
        <w:t xml:space="preserve"> Over the closed set of light-nucleus pairs a muon can bind, </w:t>
      </w:r>
      <w:r>
        <w:rPr>
          <w:b w:val="0"/>
          <w:i/>
        </w:rPr>
        <w:t>d</w:t>
      </w:r>
      <w:r>
        <w:rPr>
          <w:b w:val="0"/>
          <w:i w:val="0"/>
        </w:rPr>
        <w:t>–</w:t>
      </w:r>
      <w:r>
        <w:rPr>
          <w:b w:val="0"/>
          <w:i/>
        </w:rPr>
        <w:t>t</w:t>
      </w:r>
      <w:r>
        <w:rPr>
          <w:b w:val="0"/>
          <w:i w:val="0"/>
        </w:rPr>
        <w:t xml:space="preserve"> maximises the energy returned per binder, by a factor of 77.85 against the next candidate. §14.8 proves it.</w:t>
      </w:r>
    </w:p>
    <w:p>
      <w:r>
        <w:rPr>
          <w:b/>
          <w:i w:val="0"/>
        </w:rPr>
        <w:t>And the ranking does not rest on the cycle rates.</w:t>
      </w:r>
      <w:r>
        <w:rPr>
          <w:b w:val="0"/>
          <w:i w:val="0"/>
        </w:rPr>
        <w:t xml:space="preserve"> They are literature bands rather than a single measurement for every pair, so a reader is entitled to ask what the ordering would survive. The answer is: all of it. Since a binder completes at most </w:t>
      </w:r>
      <w:r>
        <w:rPr>
          <w:rFonts w:ascii="Consolas" w:hAnsi="Consolas"/>
          <w:b w:val="0"/>
          <w:i w:val="0"/>
          <w:sz w:val="19"/>
        </w:rPr>
        <w:t>1/ω_s</w:t>
      </w:r>
      <w:r>
        <w:rPr>
          <w:b w:val="0"/>
          <w:i w:val="0"/>
        </w:rPr>
        <w:t xml:space="preserve"> cycles whatever the cycle rate, no pair can return more than </w:t>
      </w:r>
      <w:r>
        <w:rPr>
          <w:rFonts w:ascii="Consolas" w:hAnsi="Consolas"/>
          <w:b w:val="0"/>
          <w:i w:val="0"/>
          <w:sz w:val="19"/>
        </w:rPr>
        <w:t>Q/ω_s</w:t>
      </w:r>
      <w:r>
        <w:rPr>
          <w:b w:val="0"/>
          <w:i w:val="0"/>
        </w:rPr>
        <w:t xml:space="preserve"> per binder however fast it is made to run, and that ceiling consults no rate at all. The largest ceiling any competitor has is </w:t>
      </w:r>
      <w:r>
        <w:rPr>
          <w:b w:val="0"/>
          <w:i/>
        </w:rPr>
        <w:t>t</w:t>
      </w:r>
      <w:r>
        <w:rPr>
          <w:b w:val="0"/>
          <w:i w:val="0"/>
        </w:rPr>
        <w:t>–</w:t>
      </w:r>
      <w:r>
        <w:rPr>
          <w:b w:val="0"/>
          <w:i/>
        </w:rPr>
        <w:t>t</w:t>
      </w:r>
      <w:r>
        <w:rPr>
          <w:b w:val="0"/>
          <w:i w:val="0"/>
        </w:rPr>
        <w:t xml:space="preserve">'s, at 80.93 MeV — so </w:t>
      </w:r>
      <w:r>
        <w:rPr>
          <w:b w:val="0"/>
          <w:i/>
        </w:rPr>
        <w:t>d</w:t>
      </w:r>
      <w:r>
        <w:rPr>
          <w:b w:val="0"/>
          <w:i w:val="0"/>
        </w:rPr>
        <w:t>–</w:t>
      </w:r>
      <w:r>
        <w:rPr>
          <w:b w:val="0"/>
          <w:i/>
        </w:rPr>
        <w:t>t</w:t>
      </w:r>
      <w:r>
        <w:rPr>
          <w:b w:val="0"/>
          <w:i w:val="0"/>
        </w:rPr>
        <w:t xml:space="preserve">'s own value still leads by a factor of 24.58 with </w:t>
      </w:r>
      <w:r>
        <w:rPr>
          <w:b/>
          <w:i w:val="0"/>
        </w:rPr>
        <w:t>every other pair's cycle rate sent to infinity</w:t>
      </w:r>
      <w:r>
        <w:rPr>
          <w:b w:val="0"/>
          <w:i w:val="0"/>
        </w:rPr>
        <w:t>. Corollary 4.1 in §14.8 states it. Only the stickings are load-bearing after that, and the margin one of them would have to close is the same factor of 24.58.</w:t>
      </w:r>
    </w:p>
    <w:p>
      <w:r>
        <w:rPr>
          <w:b w:val="0"/>
          <w:i w:val="0"/>
        </w:rPr>
        <w:t>Two features of that result matter more than the ranking itself.</w:t>
      </w:r>
    </w:p>
    <w:p>
      <w:r>
        <w:rPr>
          <w:b/>
          <w:i w:val="0"/>
        </w:rPr>
        <w:t>The runner-up uses more tritium, not less.</w:t>
      </w:r>
      <w:r>
        <w:rPr>
          <w:b w:val="0"/>
          <w:i w:val="0"/>
        </w:rPr>
        <w:t xml:space="preserve"> The second-placed pair is </w:t>
      </w:r>
      <w:r>
        <w:rPr>
          <w:b w:val="0"/>
          <w:i/>
        </w:rPr>
        <w:t>t</w:t>
      </w:r>
      <w:r>
        <w:rPr>
          <w:b w:val="0"/>
          <w:i w:val="0"/>
        </w:rPr>
        <w:t>–</w:t>
      </w:r>
      <w:r>
        <w:rPr>
          <w:b w:val="0"/>
          <w:i/>
        </w:rPr>
        <w:t>t</w:t>
      </w:r>
      <w:r>
        <w:rPr>
          <w:b w:val="0"/>
          <w:i w:val="0"/>
        </w:rPr>
        <w:t xml:space="preserve">, so nothing is gained on the reaction's principal liability by moving down the list. Against </w:t>
      </w:r>
      <w:r>
        <w:rPr>
          <w:b w:val="0"/>
          <w:i/>
        </w:rPr>
        <w:t>d</w:t>
      </w:r>
      <w:r>
        <w:rPr>
          <w:b w:val="0"/>
          <w:i w:val="0"/>
        </w:rPr>
        <w:t>–</w:t>
      </w:r>
      <w:r>
        <w:rPr>
          <w:b w:val="0"/>
          <w:i/>
        </w:rPr>
        <w:t>d</w:t>
      </w:r>
      <w:r>
        <w:rPr>
          <w:b w:val="0"/>
          <w:i w:val="0"/>
        </w:rPr>
        <w:t xml:space="preserve"> — the only tritium-free pair with any cycle rate at all — </w:t>
      </w:r>
      <w:r>
        <w:rPr>
          <w:b w:val="0"/>
          <w:i/>
        </w:rPr>
        <w:t>d</w:t>
      </w:r>
      <w:r>
        <w:rPr>
          <w:b w:val="0"/>
          <w:i w:val="0"/>
        </w:rPr>
        <w:t>–</w:t>
      </w:r>
      <w:r>
        <w:rPr>
          <w:b w:val="0"/>
          <w:i/>
        </w:rPr>
        <w:t>t</w:t>
      </w:r>
      <w:r>
        <w:rPr>
          <w:b w:val="0"/>
          <w:i w:val="0"/>
        </w:rPr>
        <w:t xml:space="preserve"> is ahead by factors of 230.76 on energy per binder and 95.77 on neutrons.</w:t>
      </w:r>
    </w:p>
    <w:p>
      <w:r>
        <w:rPr>
          <w:b w:val="0"/>
          <w:i w:val="0"/>
        </w:rPr>
        <w:t>*</w:t>
      </w:r>
      <w:r>
        <w:rPr>
          <w:b w:val="0"/>
          <w:i/>
        </w:rPr>
        <w:t xml:space="preserve">So </w:t>
      </w:r>
      <w:r>
        <w:rPr>
          <w:b w:val="0"/>
          <w:i w:val="0"/>
        </w:rPr>
        <w:t>d</w:t>
      </w:r>
      <w:r>
        <w:rPr>
          <w:b w:val="0"/>
          <w:i/>
        </w:rPr>
        <w:t>–</w:t>
      </w:r>
      <w:r>
        <w:rPr>
          <w:b w:val="0"/>
          <w:i w:val="0"/>
        </w:rPr>
        <w:t>t</w:t>
      </w:r>
      <w:r>
        <w:rPr>
          <w:b w:val="0"/>
          <w:i/>
        </w:rPr>
        <w:t xml:space="preserve"> is not a preference.</w:t>
      </w:r>
      <w:r>
        <w:rPr>
          <w:b w:val="0"/>
          <w:i w:val="0"/>
        </w:rPr>
        <w:t>* It is the only pair whose cycle is fast enough to outrun the muon and whose sticking is low enough to let it repeat, and every other admissible pair fails one of those two tests by more than an order of magnitude. Taken with §2, the reaction is unique in its binder and unique in its fuel, and neither uniqueness was assumed.</w:t>
      </w:r>
    </w:p>
    <w:p>
      <w:r>
        <w:rPr>
          <w:b/>
          <w:i w:val="0"/>
        </w:rPr>
        <w:t>What the ranking does not settle.</w:t>
      </w:r>
      <w:r>
        <w:rPr>
          <w:b w:val="0"/>
          <w:i w:val="0"/>
        </w:rPr>
        <w:t xml:space="preserve"> It ranks on energy returned per binder, which is the right objective for a machine that must pay for its binders and the wrong one for a machine judged on what it must hold. A designer weighing tritium inventory rather than yield is asking a different question, the ranking cannot see it, and §8 answers it.</w:t>
      </w:r>
    </w:p>
    <w:p>
      <w:r>
        <w:rPr>
          <w:b/>
          <w:i w:val="0"/>
        </w:rPr>
        <w:t>The model is used for ratios and never for an absolute.</w:t>
      </w:r>
      <w:r>
        <w:rPr>
          <w:b w:val="0"/>
          <w:i w:val="0"/>
        </w:rPr>
        <w:t xml:space="preserve"> Run on </w:t>
      </w:r>
      <w:r>
        <w:rPr>
          <w:b w:val="0"/>
          <w:i/>
        </w:rPr>
        <w:t>d</w:t>
      </w:r>
      <w:r>
        <w:rPr>
          <w:b w:val="0"/>
          <w:i w:val="0"/>
        </w:rPr>
        <w:t>–</w:t>
      </w:r>
      <w:r>
        <w:rPr>
          <w:b w:val="0"/>
          <w:i/>
        </w:rPr>
        <w:t>t</w:t>
      </w:r>
      <w:r>
        <w:rPr>
          <w:b w:val="0"/>
          <w:i w:val="0"/>
        </w:rPr>
        <w:t xml:space="preserve"> it returns 113.08 cycles against the 150 cycles measured at Los Alamos, a fidelity of 0.7539. That is close enough to rank fuels against one another and not close enough to price a machine, so every balance in this paper uses the measured count and none uses the model's.</w:t>
      </w:r>
    </w:p>
    <w:p>
      <w:pPr>
        <w:spacing w:before="320" w:after="80"/>
      </w:pPr>
      <w:r>
        <w:rPr>
          <w:b/>
          <w:sz w:val="27"/>
        </w:rPr>
        <w:t>4.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w:t>
      </w:r>
      <w:r>
        <w:rPr>
          <w:b/>
          <w:i w:val="0"/>
        </w:rPr>
        <w:t>sticking</w:t>
      </w:r>
      <w:r>
        <w:rPr>
          <w:b w:val="0"/>
          <w:i w:val="0"/>
        </w:rPr>
        <w:t xml:space="preserve"> probability per cycle.</w:t>
      </w:r>
    </w:p>
    <w:p>
      <w:r>
        <w:rPr>
          <w:rFonts w:ascii="Consolas" w:hAnsi="Consolas"/>
          <w:b w:val="0"/>
          <w:i w:val="0"/>
          <w:sz w:val="19"/>
        </w:rPr>
        <w:t>ω_s</w:t>
      </w:r>
      <w:r>
        <w:rPr>
          <w:b w:val="0"/>
          <w:i w:val="0"/>
        </w:rPr>
        <w:t xml:space="preserve"> is the sticking probability throughout this paper, and it is one of the binder's two loss channels rather than both of them: the other is free decay, which §3's figure of merit carries explicitly as </w:t>
      </w:r>
      <w:r>
        <w:rPr>
          <w:rFonts w:ascii="Consolas" w:hAnsi="Consolas"/>
          <w:b w:val="0"/>
          <w:i w:val="0"/>
          <w:sz w:val="19"/>
        </w:rPr>
        <w:t>λ_0/λ_c</w:t>
      </w:r>
      <w:r>
        <w:rPr>
          <w:b w:val="0"/>
          <w:i w:val="0"/>
        </w:rPr>
        <w:t xml:space="preserve">. Condition 8 omits it deliberately. A binder that also decays completes </w:t>
      </w:r>
      <w:r>
        <w:rPr>
          <w:b w:val="0"/>
          <w:i/>
        </w:rPr>
        <w:t>fewer</w:t>
      </w:r>
      <w:r>
        <w:rPr>
          <w:b w:val="0"/>
          <w:i w:val="0"/>
        </w:rPr>
        <w:t xml:space="preserve"> cycles than </w:t>
      </w:r>
      <w:r>
        <w:rPr>
          <w:rFonts w:ascii="Consolas" w:hAnsi="Consolas"/>
          <w:b w:val="0"/>
          <w:i w:val="0"/>
          <w:sz w:val="19"/>
        </w:rPr>
        <w:t>1/ω_s</w:t>
      </w:r>
      <w:r>
        <w:rPr>
          <w:b w:val="0"/>
          <w:i w:val="0"/>
        </w:rPr>
        <w:t xml:space="preserve">, so the right-hand side is a ceiling on what one binder can return and the condition is </w:t>
      </w:r>
      <w:r>
        <w:rPr>
          <w:b/>
          <w:i w:val="0"/>
        </w:rPr>
        <w:t>necessary</w:t>
      </w:r>
      <w:r>
        <w:rPr>
          <w:b w:val="0"/>
          <w:i w:val="0"/>
        </w:rPr>
        <w:t xml:space="preserve"> rather than sufficient — which is the direction that matters here, because every verdict this paper reaches on condition 8 is negative, and a negative verdict against a generous bound is stronger than one against a tight bound.</w:t>
      </w:r>
    </w:p>
    <w:p>
      <w:r>
        <w:rPr>
          <w:b w:val="0"/>
          <w:i w:val="0"/>
        </w:rPr>
        <w:t xml:space="preserve">Condition 8 is therefore not an efficiency target that might be approached with better engineering but an accounting identity, and it contains no fitted quantity: </w:t>
      </w:r>
      <w:r>
        <w:rPr>
          <w:rFonts w:ascii="Consolas" w:hAnsi="Consolas"/>
          <w:b w:val="0"/>
          <w:i w:val="0"/>
          <w:sz w:val="19"/>
        </w:rPr>
        <w:t>Q_fus</w:t>
      </w:r>
      <w:r>
        <w:rPr>
          <w:b w:val="0"/>
          <w:i w:val="0"/>
        </w:rPr>
        <w:t xml:space="preserve"> and </w:t>
      </w:r>
      <w:r>
        <w:rPr>
          <w:rFonts w:ascii="Consolas" w:hAnsi="Consolas"/>
          <w:b w:val="0"/>
          <w:i w:val="0"/>
          <w:sz w:val="19"/>
        </w:rPr>
        <w:t>ω_s</w:t>
      </w:r>
      <w:r>
        <w:rPr>
          <w:b w:val="0"/>
          <w:i w:val="0"/>
        </w:rPr>
        <w:t xml:space="preserve"> are measured, </w:t>
      </w:r>
      <w:r>
        <w:rPr>
          <w:rFonts w:ascii="Consolas" w:hAnsi="Consolas"/>
          <w:b w:val="0"/>
          <w:i w:val="0"/>
          <w:sz w:val="19"/>
        </w:rPr>
        <w:t>E_binder</w:t>
      </w:r>
      <w:r>
        <w:rPr>
          <w:b w:val="0"/>
          <w:i w:val="0"/>
        </w:rPr>
        <w:t xml:space="preserve"> is integrated in §5.1 from measured cross sections, and </w:t>
      </w:r>
      <w:r>
        <w:rPr>
          <w:rFonts w:ascii="Consolas" w:hAnsi="Consolas"/>
          <w:b w:val="0"/>
          <w:i w:val="0"/>
          <w:sz w:val="19"/>
        </w:rPr>
        <w:t>f_work</w:t>
      </w:r>
      <w:r>
        <w:rPr>
          <w:b w:val="0"/>
          <w:i w:val="0"/>
        </w:rPr>
        <w:t xml:space="preserve"> is computed from a stated operating point and carried in both of its conventions rather than chosen. Proposition 1 in §14.2 derives it, including the two distinct reasons the cycle bound is never attained.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4.1 Sticking is binder-mass independent, so condition 8 is a specification</w:t>
      </w:r>
    </w:p>
    <w:p>
      <w:r>
        <w:rPr>
          <w:b w:val="0"/>
          <w:i w:val="0"/>
        </w:rPr>
        <w:t>Sticking is the probability that the muon leaves the fusion bound to the alpha particle and is lost from the cycle. Of the binder's two loss channels it is the larger at the cycle rates this reaction runs at, and it is the one most attempts at improvement have aimed at — the other, free decay, is a property of the muon and cannot be aimed at at all.</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§14.4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§5.1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§5 and §6 go, and why the acceptance is the first thing worth measuring. §11's protocol still runs, because the two routes to sticking disagreed historically and the operative value is worth pinning, but it settles a term rather than the question.</w:t>
      </w:r>
    </w:p>
    <w:p>
      <w:pPr>
        <w:spacing w:before="320" w:after="80"/>
      </w:pPr>
      <w:r>
        <w:rPr>
          <w:b/>
          <w:sz w:val="27"/>
        </w:rPr>
        <w:t>5.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5.1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§14.6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 xml:space="preserve">It is worth noting which hemisphere carries the yield, because a common argument turns on it. The machine that has been built captures the </w:t>
      </w:r>
      <w:r>
        <w:rPr>
          <w:b/>
          <w:i w:val="0"/>
        </w:rPr>
        <w:t>forward</w:t>
      </w:r>
      <w:r>
        <w:rPr>
          <w:b w:val="0"/>
          <w:i w:val="0"/>
        </w:rPr>
        <w:t xml:space="preserve"> hemisphere, and it is sometimes suggested that a reactor could gain a large factor by capturing the backward one as well. Run through the acceptance model of §6.1 that gain is 1.20 — worth having, and not a factor of several. The two acceptance windows the integration above uses are not hemispheres and should not be read as though they were: the forward window contributes 15 percent of combined production, while the backward sliver is 35 percent of the </w:t>
      </w:r>
      <w:r>
        <w:rPr>
          <w:b w:val="0"/>
          <w:i/>
        </w:rPr>
        <w:t>measured acceptance</w:t>
      </w:r>
      <w:r>
        <w:rPr>
          <w:b w:val="0"/>
          <w:i w:val="0"/>
        </w:rPr>
        <w:t>, which is a different denominator.</w:t>
      </w:r>
    </w:p>
    <w:p>
      <w:pPr>
        <w:spacing w:before="240" w:after="80"/>
      </w:pPr>
      <w:r>
        <w:rPr>
          <w:b/>
          <w:sz w:val="23"/>
        </w:rPr>
        <w:t>5.2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6. The collector, and the number that decides it</w:t>
      </w:r>
    </w:p>
    <w:p>
      <w:pPr>
        <w:spacing w:before="240" w:after="80"/>
      </w:pPr>
      <w:r>
        <w:rPr>
          <w:b/>
          <w:sz w:val="23"/>
        </w:rPr>
        <w:t>6.1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§14.5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6.2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figure at which the preprints at [18] read them, and which §7 restates every one of them away from.</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320" w:after="80"/>
      </w:pPr>
      <w:r>
        <w:rPr>
          <w:b/>
          <w:sz w:val="27"/>
        </w:rPr>
        <w:t>7.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§6.2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§14.2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a factor of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§14.5) and proportional to the service life, so each cell below is one multiplication. The left column is the machine as built; the right is the same machine with both collector alterations of §7.1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spacing w:before="240" w:after="80"/>
      </w:pPr>
      <w:r>
        <w:rPr>
          <w:b/>
          <w:sz w:val="23"/>
        </w:rPr>
        <w:t>7.1 What the specified alterations do to every balance</w:t>
      </w:r>
    </w:p>
    <w:p>
      <w:r>
        <w:rPr>
          <w:b w:val="0"/>
          <w:i w:val="0"/>
        </w:rPr>
        <w:t xml:space="preserve">§7 states the balances at the production cost §5.1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§14.5 makes this explicit.</w:t>
      </w:r>
    </w:p>
    <w:p>
      <w:pPr>
        <w:spacing w:before="160" w:after="200"/>
        <w:ind w:left="461" w:right="259"/>
      </w:pPr>
      <w:r>
        <w:rPr>
          <w:b/>
          <w:i w:val="0"/>
        </w:rPr>
        <w:t>The factor checks against the requirement it moves.</w:t>
      </w:r>
      <w:r>
        <w:rPr>
          <w:b w:val="0"/>
          <w:i w:val="0"/>
        </w:rPr>
        <w:t xml:space="preserve"> §5.2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 second qualifies the first.</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Theorem 3 in §14.4 shows the same thing from the other direction. </w:t>
      </w:r>
      <w:r>
        <w:rPr>
          <w:b/>
          <w:i w:val="0"/>
        </w:rPr>
        <w:t>Bred fuel is the one row that crosses unity, and it crosses only through the optimised target.</w:t>
      </w:r>
      <w:r>
        <w:rPr>
          <w:b w:val="0"/>
          <w:i w:val="0"/>
        </w:rPr>
        <w:t xml:space="preserve"> At 1.480 with that target alone and </w:t>
      </w:r>
      <w:r>
        <w:rPr>
          <w:b/>
          <w:i w:val="0"/>
        </w:rPr>
        <w:t>2.271</w:t>
      </w:r>
      <w:r>
        <w:rPr>
          <w:b w:val="0"/>
          <w:i w:val="0"/>
        </w:rPr>
        <w:t xml:space="preserve"> with all three alterations, the row uses </w:t>
      </w:r>
      <w:r>
        <w:rPr>
          <w:b/>
          <w:i w:val="0"/>
        </w:rPr>
        <w:t>no service-life model, no density above the one already reached, and no choice between the two sticking measurements</w:t>
      </w:r>
      <w:r>
        <w:rPr>
          <w:b w:val="0"/>
          <w:i w:val="0"/>
        </w:rPr>
        <w:t xml:space="preserve"> — its inputs are the 150 cycles measured at Los Alamos, the sourced blanket of §5.2 and the collection the machine of §10 delivers. </w:t>
      </w:r>
      <w:r>
        <w:rPr>
          <w:b/>
          <w:i w:val="0"/>
        </w:rPr>
        <w:t>But it does not cross on this paper's own production cost.</w:t>
      </w:r>
      <w:r>
        <w:rPr>
          <w:b w:val="0"/>
          <w:i w:val="0"/>
        </w:rPr>
        <w:t xml:space="preserve"> At the 11.13 GeV §5.1 integrates, the same route reaches 0.623 as built and 0.957 with both collector alterations, short of unity by a factor of 1.045; </w:t>
      </w:r>
      <w:r>
        <w:rPr>
          <w:b/>
          <w:i w:val="0"/>
        </w:rPr>
        <w:t>everything above unity in the table above is bought by the 4.69 GeV optimisation</w:t>
      </w:r>
      <w:r>
        <w:rPr>
          <w:b w:val="0"/>
          <w:i w:val="0"/>
        </w:rPr>
        <w:t>, which this paper prices and declines to adopt.</w:t>
      </w:r>
    </w:p>
    <w:p>
      <w:r>
        <w:rPr>
          <w:b/>
          <w:i w:val="0"/>
        </w:rPr>
        <w:t>Which half of that table is this paper's, and it is the first.</w:t>
      </w:r>
      <w:r>
        <w:rPr>
          <w:b w:val="0"/>
          <w:i w:val="0"/>
        </w:rPr>
        <w:t xml:space="preserve"> 4.69 GeV is a </w:t>
      </w:r>
      <w:r>
        <w:rPr>
          <w:b w:val="0"/>
          <w:i/>
        </w:rPr>
        <w:t>published</w:t>
      </w:r>
      <w:r>
        <w:rPr>
          <w:b w:val="0"/>
          <w:i w:val="0"/>
        </w:rPr>
        <w:t xml:space="preserve"> optimisation of the production target, worth a factor of 2.373 on every balance; §5.1 integrates 11.13 GeV from measured cross sections and that is the figure this paper stands behind. The two are a discrepancy §12 records and does not close, and a normalisation measurement on one target — pions per beam particle against pions per interaction, nothing else changed — is what would settle it. </w:t>
      </w:r>
      <w:r>
        <w:rPr>
          <w:b/>
          <w:i w:val="0"/>
        </w:rPr>
        <w:t>Until it is made, the reading this paper offers is the first column: the best route reaches 0.957 against the unity it must clear, falls short by a factor of 1.045, and falls short by no term other than a loss budget nobody has measured end to end.</w:t>
      </w:r>
    </w:p>
    <w:p>
      <w:r>
        <w:rPr>
          <w:b w:val="0"/>
          <w:i w:val="0"/>
        </w:rPr>
        <w:t>———</w:t>
      </w:r>
    </w:p>
    <w:p>
      <w:pPr>
        <w:spacing w:before="320" w:after="80"/>
      </w:pPr>
      <w:r>
        <w:rPr>
          <w:b/>
          <w:sz w:val="27"/>
        </w:rPr>
        <w:t>8. A deuterium cell does not stay a deuterium cell</w:t>
      </w:r>
    </w:p>
    <w:p>
      <w:r>
        <w:rPr>
          <w:b w:val="0"/>
          <w:i w:val="0"/>
        </w:rPr>
        <w:t>§3 ranked the pairs as though a cell could be charged with one of them and left alone. It cannot, and the exception is worth a section because it is the only route by which this reaction's tritium liability falls by more than a rounding.</w:t>
      </w:r>
    </w:p>
    <w:p>
      <w:r>
        <w:rPr>
          <w:b w:val="0"/>
          <w:i w:val="0"/>
        </w:rPr>
        <w:t xml:space="preserve">One branch of the </w:t>
      </w:r>
      <w:r>
        <w:rPr>
          <w:b w:val="0"/>
          <w:i/>
        </w:rPr>
        <w:t>d</w:t>
      </w:r>
      <w:r>
        <w:rPr>
          <w:b w:val="0"/>
          <w:i w:val="0"/>
        </w:rPr>
        <w:t>–</w:t>
      </w:r>
      <w:r>
        <w:rPr>
          <w:b w:val="0"/>
          <w:i/>
        </w:rPr>
        <w:t>d</w:t>
      </w:r>
      <w:r>
        <w:rPr>
          <w:b w:val="0"/>
          <w:i w:val="0"/>
        </w:rPr>
        <w:t xml:space="preserve"> reaction makes tritium. </w:t>
      </w:r>
      <w:r>
        <w:rPr>
          <w:rFonts w:ascii="Consolas" w:hAnsi="Consolas"/>
          <w:b w:val="0"/>
          <w:i w:val="0"/>
          <w:sz w:val="19"/>
        </w:rPr>
        <w:t>d + d → t + p</w:t>
      </w:r>
      <w:r>
        <w:rPr>
          <w:b w:val="0"/>
          <w:i w:val="0"/>
        </w:rPr>
        <w:t xml:space="preserve"> runs at very nearly half of all </w:t>
      </w:r>
      <w:r>
        <w:rPr>
          <w:b w:val="0"/>
          <w:i/>
        </w:rPr>
        <w:t>d</w:t>
      </w:r>
      <w:r>
        <w:rPr>
          <w:b w:val="0"/>
          <w:i w:val="0"/>
        </w:rPr>
        <w:t>–</w:t>
      </w:r>
      <w:r>
        <w:rPr>
          <w:b w:val="0"/>
          <w:i/>
        </w:rPr>
        <w:t>d</w:t>
      </w:r>
      <w:r>
        <w:rPr>
          <w:b w:val="0"/>
          <w:i w:val="0"/>
        </w:rPr>
        <w:t xml:space="preserve"> events, and </w:t>
      </w:r>
      <w:r>
        <w:rPr>
          <w:b w:val="0"/>
          <w:i/>
        </w:rPr>
        <w:t>dtμ</w:t>
      </w:r>
      <w:r>
        <w:rPr>
          <w:b w:val="0"/>
          <w:i w:val="0"/>
        </w:rPr>
        <w:t xml:space="preserve"> forms some eighty times faster than </w:t>
      </w:r>
      <w:r>
        <w:rPr>
          <w:b w:val="0"/>
          <w:i/>
        </w:rPr>
        <w:t>ddμ</w:t>
      </w:r>
      <w:r>
        <w:rPr>
          <w:b w:val="0"/>
          <w:i w:val="0"/>
        </w:rPr>
        <w:t xml:space="preserve">, so tritium produced in a deuterium cell is consumed preferentially the moment it exists. </w:t>
      </w:r>
      <w:r>
        <w:rPr>
          <w:b/>
          <w:i w:val="0"/>
        </w:rPr>
        <w:t>A deuterium cell therefore tritiates itself</w:t>
      </w:r>
      <w:r>
        <w:rPr>
          <w:b w:val="0"/>
          <w:i w:val="0"/>
        </w:rPr>
        <w:t>, and it does so until production balances burn. That is not a choice available to the designer; it is what the cell does.</w:t>
      </w:r>
    </w:p>
    <w:p>
      <w:r>
        <w:rPr>
          <w:b w:val="0"/>
          <w:i w:val="0"/>
        </w:rPr>
        <w:t xml:space="preserve">The balance is one line. Writing </w:t>
      </w:r>
      <w:r>
        <w:rPr>
          <w:rFonts w:ascii="Consolas" w:hAnsi="Consolas"/>
          <w:b w:val="0"/>
          <w:i w:val="0"/>
          <w:sz w:val="19"/>
        </w:rPr>
        <w:t>f_dt</w:t>
      </w:r>
      <w:r>
        <w:rPr>
          <w:b w:val="0"/>
          <w:i w:val="0"/>
        </w:rPr>
        <w:t xml:space="preserve"> and </w:t>
      </w:r>
      <w:r>
        <w:rPr>
          <w:rFonts w:ascii="Consolas" w:hAnsi="Consolas"/>
          <w:b w:val="0"/>
          <w:i w:val="0"/>
          <w:sz w:val="19"/>
        </w:rPr>
        <w:t>f_dd</w:t>
      </w:r>
      <w:r>
        <w:rPr>
          <w:b w:val="0"/>
          <w:i w:val="0"/>
        </w:rPr>
        <w:t xml:space="preserve"> for the shares of fusions that run on each pair, production is </w:t>
      </w:r>
      <w:r>
        <w:rPr>
          <w:rFonts w:ascii="Consolas" w:hAnsi="Consolas"/>
          <w:b w:val="0"/>
          <w:i w:val="0"/>
          <w:sz w:val="19"/>
        </w:rPr>
        <w:t>½ f_dd</w:t>
      </w:r>
      <w:r>
        <w:rPr>
          <w:b w:val="0"/>
          <w:i w:val="0"/>
        </w:rPr>
        <w:t xml:space="preserve"> per fusion and consumption is </w:t>
      </w:r>
      <w:r>
        <w:rPr>
          <w:rFonts w:ascii="Consolas" w:hAnsi="Consolas"/>
          <w:b w:val="0"/>
          <w:i w:val="0"/>
          <w:sz w:val="19"/>
        </w:rPr>
        <w:t>f_dt</w:t>
      </w:r>
      <w:r>
        <w:rPr>
          <w:b w:val="0"/>
          <w:i w:val="0"/>
        </w:rPr>
        <w:t>, so</w:t>
      </w:r>
    </w:p>
    <w:p>
      <w:pPr>
        <w:spacing w:before="160" w:after="200"/>
        <w:ind w:left="461" w:right="259"/>
      </w:pPr>
      <w:r>
        <w:rPr>
          <w:rFonts w:ascii="Consolas" w:hAnsi="Consolas"/>
          <w:b w:val="0"/>
          <w:i w:val="0"/>
          <w:sz w:val="19"/>
        </w:rPr>
        <w:t>½ f_dd = f_dt</w:t>
      </w:r>
      <w:r>
        <w:rPr>
          <w:b w:val="0"/>
          <w:i w:val="0"/>
        </w:rPr>
        <w:t xml:space="preserve"> with </w:t>
      </w:r>
      <w:r>
        <w:rPr>
          <w:rFonts w:ascii="Consolas" w:hAnsi="Consolas"/>
          <w:b w:val="0"/>
          <w:i w:val="0"/>
          <w:sz w:val="19"/>
        </w:rPr>
        <w:t>f_dd + f_dt = 1</w:t>
      </w:r>
      <w:r>
        <w:rPr>
          <w:b w:val="0"/>
          <w:i w:val="0"/>
        </w:rPr>
        <w:t xml:space="preserve">, giving </w:t>
      </w:r>
      <w:r>
        <w:rPr>
          <w:b/>
          <w:i w:val="0"/>
        </w:rPr>
        <w:t>`f_dt` = 0.3333</w:t>
      </w:r>
      <w:r>
        <w:rPr>
          <w:b w:val="0"/>
          <w:i w:val="0"/>
        </w:rPr>
        <w:t xml:space="preserve"> and </w:t>
      </w:r>
      <w:r>
        <w:rPr>
          <w:rFonts w:ascii="Consolas" w:hAnsi="Consolas"/>
          <w:b w:val="0"/>
          <w:i w:val="0"/>
          <w:sz w:val="19"/>
        </w:rPr>
        <w:t>f_dd</w:t>
      </w:r>
      <w:r>
        <w:rPr>
          <w:b w:val="0"/>
          <w:i w:val="0"/>
        </w:rPr>
        <w:t xml:space="preserve"> = 0.6667,</w:t>
      </w:r>
    </w:p>
    <w:p>
      <w:r>
        <w:rPr>
          <w:b w:val="0"/>
          <w:i w:val="0"/>
        </w:rPr>
        <w:t>and the tritium concentration that produces that split follows from the two formation rates. Proposition 11 in §14.8 carries the derivation. The result is the number this section exists for.</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at the equilibrium</w:t>
            </w:r>
          </w:p>
        </w:tc>
        <w:tc>
          <w:tcPr>
            <w:tcW w:type="dxa" w:w="4464"/>
          </w:tcPr>
          <w:p>
            <w:r/>
          </w:p>
        </w:tc>
      </w:tr>
      <w:tr>
        <w:tc>
          <w:tcPr>
            <w:tcW w:type="dxa" w:w="4464"/>
          </w:tcPr>
          <w:p>
            <w:r/>
            <w:r>
              <w:rPr>
                <w:b w:val="0"/>
                <w:i w:val="0"/>
              </w:rPr>
              <w:t>tritium, atom fraction</w:t>
            </w:r>
          </w:p>
        </w:tc>
        <w:tc>
          <w:tcPr>
            <w:tcW w:type="dxa" w:w="4464"/>
          </w:tcPr>
          <w:p>
            <w:r/>
            <w:r>
              <w:rPr>
                <w:b w:val="0"/>
                <w:i w:val="0"/>
              </w:rPr>
              <w:t>0.6211 percent</w:t>
            </w:r>
          </w:p>
        </w:tc>
      </w:tr>
      <w:tr>
        <w:tc>
          <w:tcPr>
            <w:tcW w:type="dxa" w:w="4464"/>
          </w:tcPr>
          <w:p>
            <w:r/>
            <w:r>
              <w:rPr>
                <w:b w:val="0"/>
                <w:i w:val="0"/>
              </w:rPr>
              <w:t>tritium, mass fraction</w:t>
            </w:r>
          </w:p>
        </w:tc>
        <w:tc>
          <w:tcPr>
            <w:tcW w:type="dxa" w:w="4464"/>
          </w:tcPr>
          <w:p>
            <w:r/>
            <w:r>
              <w:rPr>
                <w:b w:val="0"/>
                <w:i w:val="0"/>
              </w:rPr>
              <w:t>0.9273 percent</w:t>
            </w:r>
          </w:p>
        </w:tc>
      </w:tr>
      <w:tr>
        <w:tc>
          <w:tcPr>
            <w:tcW w:type="dxa" w:w="4464"/>
          </w:tcPr>
          <w:p>
            <w:r/>
            <w:r>
              <w:rPr>
                <w:b w:val="0"/>
                <w:i w:val="0"/>
              </w:rPr>
              <w:t>cycles per muon</w:t>
            </w:r>
          </w:p>
        </w:tc>
        <w:tc>
          <w:tcPr>
            <w:tcW w:type="dxa" w:w="4464"/>
          </w:tcPr>
          <w:p>
            <w:r/>
            <w:r>
              <w:rPr>
                <w:b w:val="0"/>
                <w:i w:val="0"/>
              </w:rPr>
              <w:t>3.51 cycles</w:t>
            </w:r>
          </w:p>
        </w:tc>
      </w:tr>
      <w:tr>
        <w:tc>
          <w:tcPr>
            <w:tcW w:type="dxa" w:w="4464"/>
          </w:tcPr>
          <w:p>
            <w:r/>
            <w:r>
              <w:rPr>
                <w:b w:val="0"/>
                <w:i w:val="0"/>
              </w:rPr>
              <w:t>energy per fusion</w:t>
            </w:r>
          </w:p>
        </w:tc>
        <w:tc>
          <w:tcPr>
            <w:tcW w:type="dxa" w:w="4464"/>
          </w:tcPr>
          <w:p>
            <w:r/>
            <w:r>
              <w:rPr>
                <w:b w:val="0"/>
                <w:i w:val="0"/>
              </w:rPr>
              <w:t>8.297 MeV</w:t>
            </w:r>
          </w:p>
        </w:tc>
      </w:tr>
      <w:tr>
        <w:tc>
          <w:tcPr>
            <w:tcW w:type="dxa" w:w="4464"/>
          </w:tcPr>
          <w:p>
            <w:r/>
            <w:r>
              <w:rPr>
                <w:b w:val="0"/>
                <w:i w:val="0"/>
              </w:rPr>
              <w:t>energy per muon</w:t>
            </w:r>
          </w:p>
        </w:tc>
        <w:tc>
          <w:tcPr>
            <w:tcW w:type="dxa" w:w="4464"/>
          </w:tcPr>
          <w:p>
            <w:r/>
            <w:r>
              <w:rPr>
                <w:b w:val="0"/>
                <w:i w:val="0"/>
              </w:rPr>
              <w:t>29.09 MeV</w:t>
            </w:r>
          </w:p>
        </w:tc>
      </w:tr>
      <w:tr>
        <w:tc>
          <w:tcPr>
            <w:tcW w:type="dxa" w:w="4464"/>
          </w:tcPr>
          <w:p>
            <w:r/>
            <w:r>
              <w:rPr>
                <w:b w:val="0"/>
                <w:i w:val="0"/>
              </w:rPr>
              <w:t>neutrons per muon</w:t>
            </w:r>
          </w:p>
        </w:tc>
        <w:tc>
          <w:tcPr>
            <w:tcW w:type="dxa" w:w="4464"/>
          </w:tcPr>
          <w:p>
            <w:r/>
            <w:r>
              <w:rPr>
                <w:b w:val="0"/>
                <w:i w:val="0"/>
              </w:rPr>
              <w:t>2.337 neutrons</w:t>
            </w:r>
          </w:p>
        </w:tc>
      </w:tr>
    </w:tbl>
    <w:p/>
    <w:p>
      <w:pPr>
        <w:spacing w:before="160" w:after="200"/>
        <w:ind w:left="461" w:right="259"/>
      </w:pPr>
      <w:r>
        <w:rPr>
          <w:b/>
          <w:i w:val="0"/>
        </w:rPr>
        <w:t>A cell that makes its own tritium holds a factor of 64.71 less of it</w:t>
      </w:r>
      <w:r>
        <w:rPr>
          <w:b w:val="0"/>
          <w:i w:val="0"/>
        </w:rPr>
        <w:t xml:space="preserve"> than the </w:t>
      </w:r>
      <w:r>
        <w:rPr>
          <w:b w:val="0"/>
          <w:i/>
        </w:rPr>
        <w:t>d</w:t>
      </w:r>
      <w:r>
        <w:rPr>
          <w:b w:val="0"/>
          <w:i w:val="0"/>
        </w:rPr>
        <w:t>–</w:t>
      </w:r>
      <w:r>
        <w:rPr>
          <w:b w:val="0"/>
          <w:i/>
        </w:rPr>
        <w:t>t</w:t>
      </w:r>
      <w:r>
        <w:rPr>
          <w:b w:val="0"/>
          <w:i w:val="0"/>
        </w:rPr>
        <w:t xml:space="preserve"> cell §9 specifies — a percent rather than half — and it needs no external tritium, no lithium and no breeding blanket to hold that inventory against decay. </w:t>
      </w:r>
      <w:r>
        <w:rPr>
          <w:b/>
          <w:i w:val="0"/>
        </w:rPr>
        <w:t>What it costs is the reaction's yield, by a factor of 48.38 in neutrons per binder.</w:t>
      </w:r>
    </w:p>
    <w:p>
      <w:r>
        <w:rPr>
          <w:b/>
          <w:i w:val="0"/>
        </w:rPr>
        <w:t>Two things are not claimed here.</w:t>
      </w:r>
      <w:r>
        <w:rPr>
          <w:b w:val="0"/>
          <w:i w:val="0"/>
        </w:rPr>
        <w:t xml:space="preserve"> The equilibrium above is a first-order balance between two formation rates and two branching ratios, and it is offered as a quantity to measure rather than as a result to build on. And it runs against a known effect this paper does not compute: the other </w:t>
      </w:r>
      <w:r>
        <w:rPr>
          <w:b w:val="0"/>
          <w:i/>
        </w:rPr>
        <w:t>d</w:t>
      </w:r>
      <w:r>
        <w:rPr>
          <w:b w:val="0"/>
          <w:i w:val="0"/>
        </w:rPr>
        <w:t>–</w:t>
      </w:r>
      <w:r>
        <w:rPr>
          <w:b w:val="0"/>
          <w:i/>
        </w:rPr>
        <w:t>d</w:t>
      </w:r>
      <w:r>
        <w:rPr>
          <w:b w:val="0"/>
          <w:i w:val="0"/>
        </w:rPr>
        <w:t xml:space="preserve"> branch makes ³He, muon transfer to ³He is fast, and ³He is an established poison in deuterium cells. Counting it would lower every entry in the table above by an amount only a measurement can fix.</w:t>
      </w:r>
    </w:p>
    <w:p>
      <w:r>
        <w:rPr>
          <w:b/>
          <w:i w:val="0"/>
        </w:rPr>
        <w:t>The reaction is the same reaction.</w:t>
      </w:r>
      <w:r>
        <w:rPr>
          <w:b w:val="0"/>
          <w:i w:val="0"/>
        </w:rPr>
        <w:t xml:space="preserve"> The binder is the muon, §2's theorem is untouched, the cycle is the cycle, and the ash is the ash the branching ratios fix. What changes is the charge in the cell — which is to say that §3's ranking answers </w:t>
      </w:r>
      <w:r>
        <w:rPr>
          <w:b w:val="0"/>
          <w:i/>
        </w:rPr>
        <w:t>which pair returns most per binder</w:t>
      </w:r>
      <w:r>
        <w:rPr>
          <w:b w:val="0"/>
          <w:i w:val="0"/>
        </w:rPr>
        <w:t>, and this section answers a different question that the ranking cannot see.</w:t>
      </w:r>
    </w:p>
    <w:p>
      <w:pPr>
        <w:spacing w:before="320" w:after="80"/>
      </w:pPr>
      <w:r>
        <w:rPr>
          <w:b/>
          <w:sz w:val="27"/>
        </w:rPr>
        <w:t>9.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9.1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§9.3 carries the consequence into what the production target must be made of.</w:t>
      </w:r>
    </w:p>
    <w:p>
      <w:pPr>
        <w:spacing w:before="240" w:after="80"/>
      </w:pPr>
      <w:r>
        <w:rPr>
          <w:b/>
          <w:sz w:val="23"/>
        </w:rPr>
        <w:t>9.2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§11.4 commits in advance to treating a disagreement between them as a </w:t>
      </w:r>
      <w:r>
        <w:rPr>
          <w:b/>
          <w:i w:val="0"/>
        </w:rPr>
        <w:t>refusal</w:t>
      </w:r>
      <w:r>
        <w:rPr>
          <w:b w:val="0"/>
          <w:i w:val="0"/>
        </w:rPr>
        <w:t xml:space="preserve"> rather than as an average.</w:t>
      </w:r>
    </w:p>
    <w:p>
      <w:pPr>
        <w:spacing w:before="240" w:after="80"/>
      </w:pPr>
      <w:r>
        <w:rPr>
          <w:b/>
          <w:sz w:val="23"/>
        </w:rPr>
        <w:t>9.3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§10.3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9.4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to §11 are for.</w:t>
      </w:r>
    </w:p>
    <w:p>
      <w:r>
        <w:rPr>
          <w:b w:val="0"/>
          <w:i w:val="0"/>
        </w:rPr>
        <w:t>———</w:t>
      </w:r>
    </w:p>
    <w:p>
      <w:pPr>
        <w:spacing w:before="320" w:after="80"/>
      </w:pPr>
      <w:r>
        <w:rPr>
          <w:b/>
          <w:sz w:val="27"/>
        </w:rPr>
        <w:t>10.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§6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10.1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10.2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§14.5 derives the condition from the adiabatic invariant.</w:t>
      </w:r>
    </w:p>
    <w:p>
      <w:pPr>
        <w:spacing w:before="160" w:after="200"/>
        <w:ind w:left="461" w:right="259"/>
      </w:pPr>
      <w:r>
        <w:rPr>
          <w:b w:val="0"/>
          <w:i w:val="0"/>
        </w:rPr>
        <w:t>This has the same shape as §4.1's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§6.1's acceptances are stated over both.</w:t>
      </w:r>
    </w:p>
    <w:p>
      <w:pPr>
        <w:spacing w:before="240" w:after="80"/>
      </w:pPr>
      <w:r>
        <w:rPr>
          <w:b/>
          <w:sz w:val="23"/>
        </w:rPr>
        <w:t>10.3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10.4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§14.7 gives the argument.</w:t>
      </w:r>
    </w:p>
    <w:p>
      <w:r>
        <w:rPr>
          <w:b w:val="0"/>
          <w:i w:val="0"/>
        </w:rPr>
        <w:t>———</w:t>
      </w:r>
    </w:p>
    <w:p>
      <w:pPr>
        <w:spacing w:before="320" w:after="80"/>
      </w:pPr>
      <w:r>
        <w:rPr>
          <w:b/>
          <w:sz w:val="27"/>
        </w:rPr>
        <w:t>11.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11.1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11.2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11.3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11.4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§6 improves by a stated factor.</w:t>
      </w:r>
    </w:p>
    <w:p>
      <w:r>
        <w:rPr>
          <w:b w:val="0"/>
          <w:i w:val="0"/>
        </w:rPr>
        <w:t>———</w:t>
      </w:r>
    </w:p>
    <w:p>
      <w:pPr>
        <w:spacing w:before="320" w:after="80"/>
      </w:pPr>
      <w:r>
        <w:rPr>
          <w:b/>
          <w:sz w:val="27"/>
        </w:rPr>
        <w:t>12. Limits, and what this paper does not claim</w:t>
      </w:r>
    </w:p>
    <w:p>
      <w:r>
        <w:rPr>
          <w:b w:val="0"/>
          <w:i w:val="0"/>
        </w:rPr>
        <w:t>Each item below is a limit on what the foregoing establishes. None of them is resolved by argument in this paper, and where a measurement would settle one, that measurement is named. §14.9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§11's protocol settles it, and nothing here stands in for that.</w:t>
      </w:r>
    </w:p>
    <w:p>
      <w:r>
        <w:rPr>
          <w:b/>
          <w:i w:val="0"/>
        </w:rPr>
        <w:t>Every collection figure here is an acceptance rather than a delivered efficiency</w:t>
      </w:r>
      <w:r>
        <w:rPr>
          <w:b w:val="0"/>
          <w:i w:val="0"/>
        </w:rPr>
        <w:t xml:space="preserve"> until an end-to-end count of stopped binders per pion produced has been made. §6.2 computes the losses between the two and §7 restates every balance through them, but a computed budget is not a measurement, and the margin over the falsification floor is 1.073.</w:t>
      </w:r>
    </w:p>
    <w:p>
      <w:r>
        <w:rPr>
          <w:b/>
          <w:i w:val="0"/>
        </w:rPr>
        <w:t>The fuel scan's cycle rates and stickings are literature bands, not one measurement each.</w:t>
      </w:r>
      <w:r>
        <w:rPr>
          <w:b w:val="0"/>
          <w:i w:val="0"/>
        </w:rPr>
        <w:t xml:space="preserve"> They are measured for </w:t>
      </w:r>
      <w:r>
        <w:rPr>
          <w:b w:val="0"/>
          <w:i/>
        </w:rPr>
        <w:t>d</w:t>
      </w:r>
      <w:r>
        <w:rPr>
          <w:b w:val="0"/>
          <w:i w:val="0"/>
        </w:rPr>
        <w:t>–</w:t>
      </w:r>
      <w:r>
        <w:rPr>
          <w:b w:val="0"/>
          <w:i/>
        </w:rPr>
        <w:t>t</w:t>
      </w:r>
      <w:r>
        <w:rPr>
          <w:b w:val="0"/>
          <w:i w:val="0"/>
        </w:rPr>
        <w:t xml:space="preserve">, </w:t>
      </w:r>
      <w:r>
        <w:rPr>
          <w:b w:val="0"/>
          <w:i/>
        </w:rPr>
        <w:t>d</w:t>
      </w:r>
      <w:r>
        <w:rPr>
          <w:b w:val="0"/>
          <w:i w:val="0"/>
        </w:rPr>
        <w:t>–</w:t>
      </w:r>
      <w:r>
        <w:rPr>
          <w:b w:val="0"/>
          <w:i/>
        </w:rPr>
        <w:t>d</w:t>
      </w:r>
      <w:r>
        <w:rPr>
          <w:b w:val="0"/>
          <w:i w:val="0"/>
        </w:rPr>
        <w:t xml:space="preserve"> and </w:t>
      </w:r>
      <w:r>
        <w:rPr>
          <w:b w:val="0"/>
          <w:i/>
        </w:rPr>
        <w:t>t</w:t>
      </w:r>
      <w:r>
        <w:rPr>
          <w:b w:val="0"/>
          <w:i w:val="0"/>
        </w:rPr>
        <w:t>–</w:t>
      </w:r>
      <w:r>
        <w:rPr>
          <w:b w:val="0"/>
          <w:i/>
        </w:rPr>
        <w:t>t</w:t>
      </w:r>
      <w:r>
        <w:rPr>
          <w:b w:val="0"/>
          <w:i w:val="0"/>
        </w:rPr>
        <w:t xml:space="preserve"> and order-of-magnitude for the pairs that catalyse almost nothing, and §3's table prints them as they stand. Corollary 4.1 bounds what that costs: the ranking survives every competitor's cycle rate being sent to infinity, so only the stickings are load-bearing, and a competitor would have to be a factor of 24.58 less sticky than the record says before the ordering could move. What the bands do reach is the </w:t>
      </w:r>
      <w:r>
        <w:rPr>
          <w:b w:val="0"/>
          <w:i/>
        </w:rPr>
        <w:t>size</w:t>
      </w:r>
      <w:r>
        <w:rPr>
          <w:b w:val="0"/>
          <w:i w:val="0"/>
        </w:rPr>
        <w:t xml:space="preserve"> of the margins quoted in §3, not the order of the table.</w:t>
      </w:r>
    </w:p>
    <w:p>
      <w:r>
        <w:rPr>
          <w:b/>
          <w:i w:val="0"/>
        </w:rPr>
        <w:t>Every balance assumes perfectly pure fuel.</w:t>
      </w:r>
      <w:r>
        <w:rPr>
          <w:b w:val="0"/>
          <w:i w:val="0"/>
        </w:rPr>
        <w:t xml:space="preserve"> At the bound case, 5.49 ppm of high-Z contamination costs as much binder as decay does. The purity series of §11.3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§11.3 is written to separate them.</w:t>
      </w:r>
    </w:p>
    <w:p>
      <w:r>
        <w:rPr>
          <w:b/>
          <w:i w:val="0"/>
        </w:rPr>
        <w:t>Every modelled service life here rests on a density no experiment has reached</w:t>
      </w:r>
      <w:r>
        <w:rPr>
          <w:b w:val="0"/>
          <w:i w:val="0"/>
        </w:rPr>
        <w:t xml:space="preserve">, and after §7's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§7's surviving route uses the model nowhere.</w:t>
      </w:r>
    </w:p>
    <w:p>
      <w:r>
        <w:rPr>
          <w:b/>
          <w:i w:val="0"/>
        </w:rPr>
        <w:t>The optimised production target is a discrepancy that cannot be closed by argument.</w:t>
      </w:r>
      <w:r>
        <w:rPr>
          <w:b w:val="0"/>
          <w:i w:val="0"/>
        </w:rPr>
        <w:t xml:space="preserve"> A published optimisation costs 4.69 GeV per pion against the 11.13 GeV integrated in §5.1.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A normalisation measurement on one target would settle it: pions per beam particle against pions per interaction, with nothing else changed.</w:t>
      </w:r>
    </w:p>
    <w:p>
      <w:r>
        <w:rPr>
          <w:b/>
          <w:i w:val="0"/>
        </w:rPr>
        <w:t>And the standalone configuration is closed rather than open.</w:t>
      </w:r>
      <w:r>
        <w:rPr>
          <w:b w:val="0"/>
          <w:i w:val="0"/>
        </w:rPr>
        <w:t xml:space="preserve"> Theorem 3 in §14.4 is a theorem, and no measurement in §11 can overturn it. What a measurement can decide is the bred-fuel route, which is the one this paper leaves standing, and the production cost that route turns on.</w:t>
      </w:r>
    </w:p>
    <w:p>
      <w:r>
        <w:rPr>
          <w:b w:val="0"/>
          <w:i w:val="0"/>
        </w:rPr>
        <w:t>———</w:t>
      </w:r>
    </w:p>
    <w:p>
      <w:pPr>
        <w:spacing w:before="320" w:after="80"/>
      </w:pPr>
      <w:r>
        <w:rPr>
          <w:b/>
          <w:sz w:val="27"/>
        </w:rPr>
        <w:t>13. What is proved</w:t>
      </w:r>
    </w:p>
    <w:p>
      <w:r>
        <w:rPr>
          <w:b w:val="0"/>
          <w:i w:val="0"/>
        </w:rPr>
        <w:t>Each of the following is a theorem or a derivation from measured inputs. None of them depends on a measurement this paper proposes, and none can be overturned by one.</w:t>
      </w:r>
    </w:p>
    <w:p>
      <w:pPr>
        <w:pStyle w:val="ListNumber"/>
      </w:pPr>
      <w:r>
        <w:rPr>
          <w:b/>
          <w:i w:val="0"/>
        </w:rPr>
        <w:t>A cold fusion reaction exists and has been witnessed.</w:t>
      </w:r>
      <w:r>
        <w:rPr>
          <w:b w:val="0"/>
          <w:i w:val="0"/>
        </w:rPr>
        <w:t xml:space="preserve"> The definition of §1 is structural, and the reaction it picks out has run in laboratories since the 1950s. Its cycle rates, its sticking fractions and its ash have all been measured.</w:t>
      </w:r>
    </w:p>
    <w:p>
      <w:pPr>
        <w:pStyle w:val="ListNumber"/>
      </w:pPr>
      <w:r>
        <w:rPr>
          <w:b/>
          <w:i w:val="0"/>
        </w:rPr>
        <w:t>The binder is unique.</w:t>
      </w:r>
      <w:r>
        <w:rPr>
          <w:b w:val="0"/>
          <w:i w:val="0"/>
        </w:rPr>
        <w:t xml:space="preserve"> The seven conditions place a floor and a ceiling on the binder's mass, and the window between them, 119 electron masses to 918 electron masses, has exactly one occupant in the charged spectrum (Theorem 1, §14.3). Of 13 charged particles scanned, 5 outlive the mesomolecular formation time, 2 lie inside the window, and one survives the hadron test.</w:t>
      </w:r>
    </w:p>
    <w:p>
      <w:pPr>
        <w:pStyle w:val="ListNumber"/>
      </w:pPr>
      <w:r>
        <w:rPr>
          <w:b/>
          <w:i w:val="0"/>
        </w:rPr>
        <w:t>The fuel is unique.</w:t>
      </w:r>
      <w:r>
        <w:rPr>
          <w:b w:val="0"/>
          <w:i w:val="0"/>
        </w:rPr>
        <w:t xml:space="preserve"> Over the closed set of pairs a muon can bind, </w:t>
      </w:r>
      <w:r>
        <w:rPr>
          <w:b w:val="0"/>
          <w:i/>
        </w:rPr>
        <w:t>d</w:t>
      </w:r>
      <w:r>
        <w:rPr>
          <w:b w:val="0"/>
          <w:i w:val="0"/>
        </w:rPr>
        <w:t>–</w:t>
      </w:r>
      <w:r>
        <w:rPr>
          <w:b w:val="0"/>
          <w:i/>
        </w:rPr>
        <w:t>t</w:t>
      </w:r>
      <w:r>
        <w:rPr>
          <w:b w:val="0"/>
          <w:i w:val="0"/>
        </w:rPr>
        <w:t xml:space="preserve"> maximises the energy returned per binder by a factor of 77.85 against the next candidate (Theorem 4, §14.8) — and the runner-up uses more tritium rather than less. </w:t>
      </w:r>
      <w:r>
        <w:rPr>
          <w:b/>
          <w:i w:val="0"/>
        </w:rPr>
        <w:t>That ranking is not a near thing either</w:t>
      </w:r>
      <w:r>
        <w:rPr>
          <w:b w:val="0"/>
          <w:i w:val="0"/>
        </w:rPr>
        <w:t xml:space="preserve">: it survives every competitor's cycle rate being sent to infinity, leaving </w:t>
      </w:r>
      <w:r>
        <w:rPr>
          <w:b w:val="0"/>
          <w:i/>
        </w:rPr>
        <w:t>d</w:t>
      </w:r>
      <w:r>
        <w:rPr>
          <w:b w:val="0"/>
          <w:i w:val="0"/>
        </w:rPr>
        <w:t>–</w:t>
      </w:r>
      <w:r>
        <w:rPr>
          <w:b w:val="0"/>
          <w:i/>
        </w:rPr>
        <w:t>t</w:t>
      </w:r>
      <w:r>
        <w:rPr>
          <w:b w:val="0"/>
          <w:i w:val="0"/>
        </w:rPr>
        <w:t xml:space="preserve"> ahead by a factor of 24.58 (Corollary 4.1).</w:t>
      </w:r>
    </w:p>
    <w:p>
      <w:pPr>
        <w:pStyle w:val="ListNumber"/>
      </w:pPr>
      <w:r>
        <w:rPr>
          <w:b/>
          <w:i w:val="0"/>
        </w:rPr>
        <w:t>The window is not a near thing.</w:t>
      </w:r>
      <w:r>
        <w:rPr>
          <w:b w:val="0"/>
          <w:i w:val="0"/>
        </w:rPr>
        <w:t xml:space="preserve"> Its lower bound may move by a factor of 207 and its upper by 3.54 before the count of occupants changes.</w:t>
      </w:r>
    </w:p>
    <w:p>
      <w:pPr>
        <w:pStyle w:val="ListNumber"/>
      </w:pPr>
      <w:r>
        <w:rPr>
          <w:b/>
          <w:i w:val="0"/>
        </w:rPr>
        <w:t>An eighth condition decides whether the reaction is worth running</w:t>
      </w:r>
      <w:r>
        <w:rPr>
          <w:b w:val="0"/>
          <w:i w:val="0"/>
        </w:rPr>
        <w:t>, and it contains no free parameter and no fitted one (Proposition 1, §14.2). Two of its terms are measured, one is integrated from measured cross sections, and the fourth is a conversion fraction computed at a stated operating point and carried in both of its conventions.</w:t>
      </w:r>
    </w:p>
    <w:p>
      <w:pPr>
        <w:pStyle w:val="ListNumber"/>
      </w:pPr>
      <w:r>
        <w:rPr>
          <w:b/>
          <w:i w:val="0"/>
        </w:rPr>
        <w:t>Sticking does not depend on the binder's mass</w:t>
      </w:r>
      <w:r>
        <w:rPr>
          <w:b w:val="0"/>
          <w:i w:val="0"/>
        </w:rPr>
        <w:t xml:space="preserve"> (Theorem 2, §14.4), so condition 8 is a specification on the machine and not a search over the spectrum. There is in any case no other occupant of the window to search for.</w:t>
      </w:r>
    </w:p>
    <w:p>
      <w:pPr>
        <w:pStyle w:val="ListNumber"/>
      </w:pPr>
      <w:r>
        <w:rPr>
          <w:b/>
          <w:i w:val="0"/>
        </w:rPr>
        <w:t>The production floor is measured rather than modelled.</w:t>
      </w:r>
      <w:r>
        <w:rPr>
          <w:b w:val="0"/>
          <w:i w:val="0"/>
        </w:rPr>
        <w:t xml:space="preserve"> Integrating the published double-differential cross sections puts production alone at 11.13 GeV per pion, which is a cost no collector can argue away.</w:t>
      </w:r>
    </w:p>
    <w:p>
      <w:pPr>
        <w:pStyle w:val="ListNumber"/>
      </w:pPr>
      <w:r>
        <w:rPr>
          <w:b/>
          <w:i w:val="0"/>
        </w:rPr>
        <w:t>The acceptance model is validated against an independent simulation</w:t>
      </w:r>
      <w:r>
        <w:rPr>
          <w:b w:val="0"/>
          <w:i w:val="0"/>
        </w:rPr>
        <w:t xml:space="preserve"> of a machine that was built, agreeing to 0.982.</w:t>
      </w:r>
    </w:p>
    <w:p>
      <w:pPr>
        <w:pStyle w:val="ListNumber"/>
      </w:pPr>
      <w:r>
        <w:rPr>
          <w:b/>
          <w:i w:val="0"/>
        </w:rPr>
        <w:t>The standalone configuration is closed</w:t>
      </w:r>
      <w:r>
        <w:rPr>
          <w:b w:val="0"/>
          <w:i w:val="0"/>
        </w:rPr>
        <w:t xml:space="preserve"> (Theorem 3, §14.4): at the production floor, no admissible binder pays for itself as heat at any collector. The break-point sits at 0.1580 percent and lies </w:t>
      </w:r>
      <w:r>
        <w:rPr>
          <w:b/>
          <w:i w:val="0"/>
        </w:rPr>
        <w:t>below both</w:t>
      </w:r>
      <w:r>
        <w:rPr>
          <w:b w:val="0"/>
          <w:i w:val="0"/>
        </w:rPr>
        <w:t xml:space="preserve"> published sticking readings, so no choice between them repairs it.</w:t>
      </w:r>
    </w:p>
    <w:p>
      <w:pPr>
        <w:pStyle w:val="ListNumber"/>
      </w:pPr>
      <w:r>
        <w:rPr>
          <w:b/>
          <w:i w:val="0"/>
        </w:rPr>
        <w:t>Nothing clears unity at this paper's own production cost.</w:t>
      </w:r>
      <w:r>
        <w:rPr>
          <w:b w:val="0"/>
          <w:i w:val="0"/>
        </w:rPr>
        <w:t xml:space="preserve"> The closest is bred fuel at the measured 150 cycles, at 0.623 as built; with both collector alterations of §7.1 it reaches 0.957, short of unity by a factor of 1.045 and short by no term other than the loss budget, which is the one quantity in the column that has never been measured.</w:t>
      </w:r>
    </w:p>
    <w:p>
      <w:pPr>
        <w:pStyle w:val="ListNumber"/>
      </w:pPr>
      <w:r>
        <w:rPr>
          <w:b/>
          <w:i w:val="0"/>
        </w:rPr>
        <w:t>One route does cross unity, and it crosses on a figure this paper declines to adopt.</w:t>
      </w:r>
      <w:r>
        <w:rPr>
          <w:b w:val="0"/>
          <w:i w:val="0"/>
        </w:rPr>
        <w:t xml:space="preserve"> Through a </w:t>
      </w:r>
      <w:r>
        <w:rPr>
          <w:b w:val="0"/>
          <w:i/>
        </w:rPr>
        <w:t>published</w:t>
      </w:r>
      <w:r>
        <w:rPr>
          <w:b w:val="0"/>
          <w:i w:val="0"/>
        </w:rPr>
        <w:t xml:space="preserve"> optimisation of the production target at 4.69 GeV — worth a factor of 2.373 on every balance against the 11.13 GeV §5.1 integrates — bred fuel at the measured cycle count reaches 1.480, and 2.271 with all three alterations. </w:t>
      </w:r>
      <w:r>
        <w:rPr>
          <w:b/>
          <w:i w:val="0"/>
        </w:rPr>
        <w:t>That factor is a discrepancy §12 records and does not close</w:t>
      </w:r>
      <w:r>
        <w:rPr>
          <w:b w:val="0"/>
          <w:i w:val="0"/>
        </w:rPr>
        <w:t>, so the route is reported and not claimed, and a normalisation measurement on one target is what would settle it.</w:t>
      </w:r>
    </w:p>
    <w:p>
      <w:pPr>
        <w:spacing w:before="160" w:after="200"/>
        <w:ind w:left="461" w:right="259"/>
      </w:pPr>
      <w:r>
        <w:rPr>
          <w:b/>
          <w:i w:val="0"/>
        </w:rPr>
        <w:t>The reaction is proved and it is witnessed. Its binder is unique, its fuel is unique, and its energy account is closed in the sense that every term in it is named and priced. What is not proved is that any device-internal configuration of it returns more than it costs at a production cost this paper is willing to stand behind</w:t>
      </w:r>
      <w:r>
        <w:rPr>
          <w:b w:val="0"/>
          <w:i w:val="0"/>
        </w:rPr>
        <w:t xml:space="preserve"> — §7 states how far short the best one falls, and the item immediately above states the one route that crosses and whose figure it crosses on. That is the whole of the claim, and no part of it is larger than the evidence behind it.</w:t>
      </w:r>
    </w:p>
    <w:p>
      <w:r>
        <w:rPr>
          <w:b/>
          <w:i w:val="0"/>
        </w:rPr>
        <w:t>What this paper does not do.</w:t>
      </w:r>
      <w:r>
        <w:rPr>
          <w:b w:val="0"/>
          <w:i w:val="0"/>
        </w:rPr>
        <w:t xml:space="preserve"> It does not price the configuration in which the binder is a byproduct of a beam already running for another purpose, and it does not price a blanket. Both change the accounting rather than the reaction, both are the subject of a separate paper, and neither is needed for anything claimed above.</w:t>
      </w:r>
    </w:p>
    <w:p>
      <w:pPr>
        <w:spacing w:before="320" w:after="80"/>
      </w:pPr>
      <w:r>
        <w:rPr>
          <w:b/>
          <w:sz w:val="27"/>
        </w:rPr>
        <w:t>14.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14.1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14.2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For the bound: let p be the probability that the binder survives one complete cycle against sticking, so ωₛ = 1 - p. The number of cycles is geometrically distributed and its expectation is N = p/(1-p), which is exactly one cycle short of 1/ωₛ — so the cap is attained neither at any ωₛ nor in the limit, and it is tight to a relative error of ωₛ rather than absolutely.</w:t>
      </w:r>
    </w:p>
    <w:p>
      <w:r>
        <w:rPr>
          <w:b w:val="0"/>
          <w:i w:val="0"/>
        </w:rPr>
        <w:t xml:space="preserve">That is the first of two reasons N &lt; 1/ωₛ, and the smaller one. The second is that sticking is not the binder's only loss channel: it also decays, at a rate that does not care whether a cycle is in progress, and Proposition 10 in §14.8 carries both losses together as N = 1/(ωₛ + λ₀/λ_c). Both effects run the same way, so 1/ωₛ remains an upper bound and condition 8 remains </w:t>
      </w:r>
      <w:r>
        <w:rPr>
          <w:b/>
          <w:i w:val="0"/>
        </w:rPr>
        <w:t>necessary</w:t>
      </w:r>
      <w:r>
        <w:rPr>
          <w:b w:val="0"/>
          <w:i w:val="0"/>
        </w:rPr>
        <w:t xml:space="preserve">. </w:t>
      </w:r>
      <w:r>
        <w:rPr>
          <w:b/>
          <w:i w:val="0"/>
        </w:rPr>
        <w:t>The cap is never attained</w:t>
      </w:r>
      <w:r>
        <w:rPr>
          <w:b w:val="0"/>
          <w:i w:val="0"/>
        </w:rPr>
        <w:t>, which is why §7 distinguishes the demonstrated cycle count from the bound. ∎</w:t>
      </w:r>
    </w:p>
    <w:p>
      <w:r>
        <w:rPr>
          <w:b/>
          <w:i w:val="0"/>
        </w:rPr>
        <w:t>Remark.</w:t>
      </w:r>
      <w:r>
        <w:rPr>
          <w:b w:val="0"/>
          <w:i w:val="0"/>
        </w:rPr>
        <w:t xml:space="preserve"> The inequality is an accounting identity rather than an efficiency target: it contains no free parameter and no fitted one. Two of its terms are measured, one is integrated from measured cross sections in §5.1, and the fourth is a conversion fraction computed at a stated operating point and carried in both conventions; §4 gives the values.</w:t>
      </w:r>
    </w:p>
    <w:p>
      <w:pPr>
        <w:spacing w:before="240" w:after="80"/>
      </w:pPr>
      <w:r>
        <w:rPr>
          <w:b/>
          <w:sz w:val="23"/>
        </w:rPr>
        <w:t>14.3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§14.3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§9.3 states as a specification.</w:t>
      </w:r>
    </w:p>
    <w:p>
      <w:pPr>
        <w:spacing w:before="240" w:after="80"/>
      </w:pPr>
      <w:r>
        <w:rPr>
          <w:b/>
          <w:sz w:val="23"/>
        </w:rPr>
        <w:t>14.4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7" name="Picture 7"/>
            <wp:cNvGraphicFramePr>
              <a:graphicFrameLocks noChangeAspect="1"/>
            </wp:cNvGraphicFramePr>
            <a:graphic>
              <a:graphicData uri="http://schemas.openxmlformats.org/drawingml/2006/picture">
                <pic:pic>
                  <pic:nvPicPr>
                    <pic:cNvPr id="0" name="eq-e4e6f7c1977a.png"/>
                    <pic:cNvPicPr/>
                  </pic:nvPicPr>
                  <pic:blipFill>
                    <a:blip r:embed="rId15"/>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 and the fuel is not a free choice either, since by Theorem 4 no other admissible pair returns as much per binder, and by Corollary 4.1 none can be made to. The right-hand side of Proposition 1 is therefore fixed on both axes rather than on one. The left-hand side, E_b, is bounded </w:t>
      </w:r>
      <w:r>
        <w:rPr>
          <w:b/>
          <w:i w:val="0"/>
        </w:rPr>
        <w:t>below</w:t>
      </w:r>
      <w:r>
        <w:rPr>
          <w:b w:val="0"/>
          <w:i w:val="0"/>
        </w:rPr>
        <w:t xml:space="preserve"> by the cost of producing the parent particle, which §14.6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§11 can overturn it. ∎</w:t>
      </w:r>
    </w:p>
    <w:p>
      <w:r>
        <w:rPr>
          <w:b/>
          <w:i w:val="0"/>
        </w:rPr>
        <w:t>Remark.</w:t>
      </w:r>
      <w:r>
        <w:rPr>
          <w:b w:val="0"/>
          <w:i w:val="0"/>
        </w:rPr>
        <w:t xml:space="preserve"> Theorem 3 is what makes the co-product configuration the interesting one: it does not contradict the theorem, because it does not pay for the binder at all.</w:t>
      </w:r>
    </w:p>
    <w:p>
      <w:pPr>
        <w:spacing w:before="240" w:after="80"/>
      </w:pPr>
      <w:r>
        <w:rPr>
          <w:b/>
          <w:sz w:val="23"/>
        </w:rPr>
        <w:t>14.5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§10.1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§7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§7.1 computes, and the same corollary explains why that factor moves the bred-fuel requirement from 50.8 percent to 21.4 percent.</w:t>
      </w:r>
    </w:p>
    <w:p>
      <w:pPr>
        <w:spacing w:before="240" w:after="80"/>
      </w:pPr>
      <w:r>
        <w:rPr>
          <w:b/>
          <w:sz w:val="23"/>
        </w:rPr>
        <w:t>14.6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8" name="Picture 8"/>
            <wp:cNvGraphicFramePr>
              <a:graphicFrameLocks noChangeAspect="1"/>
            </wp:cNvGraphicFramePr>
            <a:graphic>
              <a:graphicData uri="http://schemas.openxmlformats.org/drawingml/2006/picture">
                <pic:pic>
                  <pic:nvPicPr>
                    <pic:cNvPr id="0" name="eq-d8719366983b.png"/>
                    <pic:cNvPicPr/>
                  </pic:nvPicPr>
                  <pic:blipFill>
                    <a:blip r:embed="rId16"/>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14.7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§10.4, and it is why the two alterations of §7.1 are not equally cheap.</w:t>
      </w:r>
    </w:p>
    <w:p>
      <w:pPr>
        <w:spacing w:before="240" w:after="80"/>
      </w:pPr>
      <w:r>
        <w:rPr>
          <w:b/>
          <w:sz w:val="23"/>
        </w:rPr>
        <w:t>14.8 The catalytic figure of merit, and the two uniqueness theorems</w:t>
      </w:r>
    </w:p>
    <w:p>
      <w:r>
        <w:rPr>
          <w:b/>
          <w:i w:val="0"/>
        </w:rPr>
        <w:t>Proposition 10 (cycles per binder).</w:t>
      </w:r>
      <w:r>
        <w:rPr>
          <w:b w:val="0"/>
          <w:i w:val="0"/>
        </w:rPr>
        <w:t xml:space="preserve"> A binder in a cycle of rate λ_c, lost per cycle with probability ωₛ and independently with rate λ₀, completes</w:t>
      </w:r>
    </w:p>
    <w:p>
      <w:pPr>
        <w:spacing w:before="120" w:after="160"/>
        <w:jc w:val="center"/>
      </w:pPr>
      <w:r>
        <w:drawing>
          <wp:inline xmlns:a="http://schemas.openxmlformats.org/drawingml/2006/main" xmlns:pic="http://schemas.openxmlformats.org/drawingml/2006/picture">
            <wp:extent cx="1410286" cy="443132"/>
            <wp:docPr id="9" name="Picture 9"/>
            <wp:cNvGraphicFramePr>
              <a:graphicFrameLocks noChangeAspect="1"/>
            </wp:cNvGraphicFramePr>
            <a:graphic>
              <a:graphicData uri="http://schemas.openxmlformats.org/drawingml/2006/picture">
                <pic:pic>
                  <pic:nvPicPr>
                    <pic:cNvPr id="0" name="eq-1283d2c027ae.png"/>
                    <pic:cNvPicPr/>
                  </pic:nvPicPr>
                  <pic:blipFill>
                    <a:blip r:embed="rId17"/>
                    <a:stretch>
                      <a:fillRect/>
                    </a:stretch>
                  </pic:blipFill>
                  <pic:spPr>
                    <a:xfrm>
                      <a:off x="0" y="0"/>
                      <a:ext cx="1410286" cy="443132"/>
                    </a:xfrm>
                    <a:prstGeom prst="rect"/>
                  </pic:spPr>
                </pic:pic>
              </a:graphicData>
            </a:graphic>
          </wp:inline>
        </w:drawing>
      </w:r>
    </w:p>
    <w:p>
      <w:r>
        <w:rPr>
          <w:b w:val="0"/>
          <w:i w:val="0"/>
        </w:rPr>
        <w:t>cycles in expectation.</w:t>
      </w:r>
    </w:p>
    <w:p>
      <w:r>
        <w:rPr>
          <w:b w:val="0"/>
          <w:i/>
        </w:rPr>
        <w:t>Proof.</w:t>
      </w:r>
      <w:r>
        <w:rPr>
          <w:b w:val="0"/>
          <w:i w:val="0"/>
        </w:rPr>
        <w:t xml:space="preserve"> Per cycle the binder survives sticking with probability 1-ωₛ and survives decay with probability λ_c/(λ_c+λ₀) to first order in the cycle time. The two losses are independent, so the per-cycle survival is their product and the number of cycles is geometric with that parameter. To first order in the two small quantities its mean is 1/(ωₛ + λ₀/λ_c). Both terms are losses per cycle expressed in the same units, and the expression is symmetric in them: a cycle slow against the decay rate is punished exactly as a sticky one is. ∎</w:t>
      </w:r>
    </w:p>
    <w:p>
      <w:r>
        <w:rPr>
          <w:b/>
          <w:i w:val="0"/>
        </w:rPr>
        <w:t>Remark.</w:t>
      </w:r>
      <w:r>
        <w:rPr>
          <w:b w:val="0"/>
          <w:i w:val="0"/>
        </w:rPr>
        <w:t xml:space="preserve"> The two limits are the ones quoted in the literature separately. As λ_c → ∞ the expression returns the sticking ceiling 1/ωₛ; as ωₛ → 0 it returns the decay ceiling λ_c/λ₀. The first of those is the point at which this proposition and Proposition 1 must be read together: Proposition 1's exact mean is one cycle below 1/ωₛ and this one reaches it, because this expression is first-order in the two loss terms and discards exactly that offset. They agree to first order, the difference is one cycle in the ceiling 198 cycles itself, and every figure in this paper is quoted from the measured count rather than from either. Neither ceiling alone is the operative bound for any real fuel, which is why fuels ranked on sticking alone rank wrongly.</w:t>
      </w:r>
    </w:p>
    <w:p>
      <w:r>
        <w:rPr>
          <w:b/>
          <w:i w:val="0"/>
        </w:rPr>
        <w:t>Theorem 4 (uniqueness of the fuel).</w:t>
      </w:r>
      <w:r>
        <w:rPr>
          <w:b w:val="0"/>
          <w:i w:val="0"/>
        </w:rPr>
        <w:t xml:space="preserve"> Over the closed set of pairs drawn from \p, d, t\ together with the helium pairs, d–t maximises N · Q.</w:t>
      </w:r>
    </w:p>
    <w:p>
      <w:r>
        <w:rPr>
          <w:b w:val="0"/>
          <w:i/>
        </w:rPr>
        <w:t>Proof.</w:t>
      </w:r>
      <w:r>
        <w:rPr>
          <w:b w:val="0"/>
          <w:i w:val="0"/>
        </w:rPr>
        <w:t xml:space="preserve"> The set is finite and closed: two nuclei drawn with repetition from the three hydrogen isotopes give 6 pairs, and the helium pairs are enumerated beside them. Q is fixed by the masses. For λ_c and ωₛ the inputs are the muon-catalysis literature's own bands — measured for d–t, d–d and t–t, and order-of-magnitude for the pairs that catalyse almost nothing — and the paper states them as bands rather than as measurements. Evaluating Proposition 10 on each and multiplying by Q gives the table of §3, whose maximum is d–t at 1989.1 MeV against 25.55 MeV for the next entry — a factor of 77.85. The ordering is a finite comparison over the tabulated inputs and contains no free parameter. ∎</w:t>
      </w:r>
    </w:p>
    <w:p>
      <w:r>
        <w:rPr>
          <w:b w:val="0"/>
          <w:i w:val="0"/>
        </w:rPr>
        <w:t>The bands are the weakest input in that proof, so the next result removes half of them from it.</w:t>
      </w:r>
    </w:p>
    <w:p>
      <w:pPr>
        <w:spacing w:before="160" w:after="200"/>
        <w:ind w:left="461" w:right="259"/>
      </w:pPr>
      <w:r>
        <w:rPr>
          <w:b/>
          <w:i w:val="0"/>
        </w:rPr>
        <w:t>Corollary 4.1 (the ranking does not consult the cycle rates).</w:t>
      </w:r>
      <w:r>
        <w:rPr>
          <w:b w:val="0"/>
          <w:i w:val="0"/>
        </w:rPr>
        <w:t xml:space="preserve"> </w:t>
      </w:r>
      <w:r>
        <w:rPr>
          <w:b w:val="0"/>
          <w:i/>
        </w:rPr>
        <w:t>Every competitor's cycle rate may be sent to infinity without changing the maximum.</w:t>
      </w:r>
    </w:p>
    <w:p>
      <w:r>
        <w:rPr>
          <w:b w:val="0"/>
          <w:i w:val="0"/>
        </w:rPr>
        <w:t>&gt;</w:t>
      </w:r>
    </w:p>
    <w:p>
      <w:pPr>
        <w:spacing w:before="160" w:after="200"/>
        <w:ind w:left="461" w:right="259"/>
      </w:pPr>
      <w:r>
        <w:rPr>
          <w:b w:val="0"/>
          <w:i/>
        </w:rPr>
        <w:t>Proof.</w:t>
      </w:r>
      <w:r>
        <w:rPr>
          <w:b w:val="0"/>
          <w:i w:val="0"/>
        </w:rPr>
        <w:t xml:space="preserve"> By Proposition 10, N ≤ 1/ωₛ for any λ_c, with equality in the limit λ_c → ∞. Hence N\,Q ≤ Q/ωₛ, a ceiling in which no cycle rate appears. The largest such ceiling over the competitors is t–t's, at 80.93 MeV, and d–t's own tabulated value 1989.1 MeV exceeds it by a factor of 24.58. The maximum is therefore unchanged under any upward revision of any competitor's cycle rate whatsoever. ∎</w:t>
      </w:r>
    </w:p>
    <w:p>
      <w:r>
        <w:rPr>
          <w:b/>
          <w:i w:val="0"/>
        </w:rPr>
        <w:t>What that leaves load-bearing.</w:t>
      </w:r>
      <w:r>
        <w:rPr>
          <w:b w:val="0"/>
          <w:i w:val="0"/>
        </w:rPr>
        <w:t xml:space="preserve"> Only the stickings, and only through the ceiling Q/ωₛ. A competitor would have to be shown 24.58 times less sticky than the band records before the ordering could move — not faster, less sticky — and Theorem 2 has already shown that sticking is a property of the fusion kinematics rather than something a design may choose.</w:t>
      </w:r>
    </w:p>
    <w:p>
      <w:r>
        <w:rPr>
          <w:b/>
          <w:i w:val="0"/>
        </w:rPr>
        <w:t>Corollary 4.2.</w:t>
      </w:r>
      <w:r>
        <w:rPr>
          <w:b w:val="0"/>
          <w:i w:val="0"/>
        </w:rPr>
        <w:t xml:space="preserve"> No pair without tritium comes within a factor of 230.76 of d–t on energy per binder, so the reaction's tritium requirement is not an artefact of the choice of fuel. It follows from the fuel being unique.</w:t>
      </w:r>
    </w:p>
    <w:p>
      <w:r>
        <w:rPr>
          <w:b/>
          <w:i w:val="0"/>
        </w:rPr>
        <w:t>Proposition 11 (the self-tritiating equilibrium).</w:t>
      </w:r>
      <w:r>
        <w:rPr>
          <w:b w:val="0"/>
          <w:i w:val="0"/>
        </w:rPr>
        <w:t xml:space="preserve"> A cell charged with pure deuterium reaches a steady state in which a fraction f_dt = 1/3 of fusions run on d–t.</w:t>
      </w:r>
    </w:p>
    <w:p>
      <w:r>
        <w:rPr>
          <w:b w:val="0"/>
          <w:i/>
        </w:rPr>
        <w:t>Proof.</w:t>
      </w:r>
      <w:r>
        <w:rPr>
          <w:b w:val="0"/>
          <w:i w:val="0"/>
        </w:rPr>
        <w:t xml:space="preserve"> The branch d + d → t + p carries a branching ratio of one half, so tritium is produced at tfrac12 f_dd per fusion. Every d–t fusion consumes one triton, so tritium is destroyed at f_dt per fusion. In steady state the two are equal, and with f_dd + f_dt = 1 this gives tfrac12(1 - f_dt) = f_dt, hence f_dt = 1/3. The concentration producing that split follows from f_dt/f_dd = λ_dt cₜ / (λ_dd(1 - cₜ)), which returns 0.6211 percent; the mixed cycle rate and sticking are the branch-weighted means, and Proposition 10 then gives 3.51 cycles. ∎</w:t>
      </w:r>
    </w:p>
    <w:p>
      <w:r>
        <w:rPr>
          <w:b/>
          <w:i w:val="0"/>
        </w:rPr>
        <w:t>What the proposition does not establish.</w:t>
      </w:r>
      <w:r>
        <w:rPr>
          <w:b w:val="0"/>
          <w:i w:val="0"/>
        </w:rPr>
        <w:t xml:space="preserve"> It is a two-branch balance and it omits ³He, which the other d–d branch produces and to which muon transfer is fast. Including that channel would reduce 3.51 cycles by an amount this paper does not compute, so §8 states the equilibrium as a quantity to measure. The </w:t>
      </w:r>
      <w:r>
        <w:rPr>
          <w:b w:val="0"/>
          <w:i/>
        </w:rPr>
        <w:t>sign</w:t>
      </w:r>
      <w:r>
        <w:rPr>
          <w:b w:val="0"/>
          <w:i w:val="0"/>
        </w:rPr>
        <w:t xml:space="preserve"> of the result — that a deuterium cell holds a percent of the tritium a d–t cell holds rather than half — does not depend on the omitted term, because ³He poisoning removes binders and does not add tritium.</w:t>
      </w:r>
    </w:p>
    <w:p>
      <w:pPr>
        <w:spacing w:before="240" w:after="80"/>
      </w:pPr>
      <w:r>
        <w:rPr>
          <w:b/>
          <w:sz w:val="23"/>
        </w:rPr>
        <w:t>14.9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§6.2's loss budget is a product of five terms, each derived, but the product has never been measured end to end. An end-to-end count of stopped binders per pion produced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§7.1 is a published optimisation. Three candidate mechanisms for the discrepancy against this paper's 11.13 GeV were examined and bounded, and what survives is a normalisation requiring 2.389 interacting nucleons. A normalisation measurement on one target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§11's protocol chooses, and §11.4 commits in advance to reporting a bound rather than an average if the two routes disagree.</w:t>
      </w:r>
    </w:p>
    <w:p>
      <w:pPr>
        <w:spacing w:before="320" w:after="80"/>
      </w:pPr>
      <w:r>
        <w:rPr>
          <w:b/>
          <w:sz w:val="27"/>
        </w:rPr>
        <w:t>15.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§5.1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§6.1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§10.3.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§12 declines to adopt, and which a normalisation measurement would settle.</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§4's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§9.3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