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The machine is not obliged to stay as built, however, and this paper prices the alterations it proposes against every balance rather than against one. An optimised production target is worth 2.373 on any of them. It takes bred fuel at the demonstrated cycle count to 1.480, which is the route the laboratory programme measures first, and it takes the </w:t>
      </w:r>
      <w:r>
        <w:rPr>
          <w:b/>
          <w:i w:val="0"/>
        </w:rPr>
        <w:t>heat</w:t>
      </w:r>
      <w:r>
        <w:rPr>
          <w:b w:val="0"/>
          <w:i w:val="0"/>
        </w:rPr>
        <w:t xml:space="preserve"> form, on the bound-case service life, to 1.036 — or 1.231 with a wider bore as well. </w:t>
      </w:r>
      <w:r>
        <w:rPr>
          <w:b/>
          <w:i w:val="0"/>
        </w:rPr>
        <w:t>A device-internal route therefore clears unity, though conditionally</w:t>
      </w:r>
      <w:r>
        <w:rPr>
          <w:b w:val="0"/>
          <w:i w:val="0"/>
        </w:rPr>
        <w:t xml:space="preserve">, and the conditions are worth naming at once: a measurement that confirms the target, a fuel density of 8.5 times liquid where 1.2 has been reached, and the reading of "inside the device" that counts the blanket. At the density actually reached the same alteration gives 0.990 at the wider bore and 0.833 at today's aperture — close, and under. Counting the neutron at its bare heat instead, it reaches only 0.3344. </w:t>
      </w:r>
      <w:r>
        <w:rPr>
          <w:b/>
          <w:i w:val="0"/>
        </w:rPr>
        <w:t>On the strictest reading of every condition, nothing in this paper clears unity inside the device</w:t>
      </w:r>
      <w:r>
        <w:rPr>
          <w:b w:val="0"/>
          <w:i w:val="0"/>
        </w:rPr>
        <w:t>; on the reading each of them states, one specified machine does.</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actually delivered</w:t>
      </w:r>
    </w:p>
    <w:p>
      <w:r>
        <w:rPr>
          <w:b w:val="0"/>
          <w:i w:val="0"/>
        </w:rPr>
        <w:t>Because the balance is linear in collection — Proposition 6 in §13.5 — restating the table at a different efficiency is exact rather than approximate, and the paper's own two-column table provides the check.</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as stated at 90 percent [DESIGN]</w:t>
            </w:r>
          </w:p>
        </w:tc>
        <w:tc>
          <w:tcPr>
            <w:tcW w:type="dxa" w:w="2232"/>
          </w:tcPr>
          <w:p>
            <w:r/>
            <w:r>
              <w:rPr>
                <w:b/>
                <w:i w:val="0"/>
              </w:rPr>
              <w:t>delivered, 31.66 percent</w:t>
            </w:r>
          </w:p>
        </w:tc>
        <w:tc>
          <w:tcPr>
            <w:tcW w:type="dxa" w:w="2232"/>
          </w:tcPr>
          <w:p>
            <w:r/>
            <w:r>
              <w:rPr>
                <w:b/>
                <w:i w:val="0"/>
              </w:rPr>
              <w:t>wider bore, 37.62 percent</w:t>
            </w:r>
          </w:p>
        </w:tc>
      </w:tr>
      <w:tr>
        <w:tc>
          <w:tcPr>
            <w:tcW w:type="dxa" w:w="2232"/>
          </w:tcPr>
          <w:p>
            <w:r/>
            <w:r>
              <w:rPr>
                <w:b w:val="0"/>
                <w:i w:val="0"/>
              </w:rPr>
              <w:t>heat, demonstrated cycles</w:t>
            </w:r>
          </w:p>
        </w:tc>
        <w:tc>
          <w:tcPr>
            <w:tcW w:type="dxa" w:w="2232"/>
          </w:tcPr>
          <w:p>
            <w:r/>
            <w:r>
              <w:rPr>
                <w:b w:val="0"/>
                <w:i w:val="0"/>
              </w:rPr>
              <w:t>0.316</w:t>
            </w:r>
          </w:p>
        </w:tc>
        <w:tc>
          <w:tcPr>
            <w:tcW w:type="dxa" w:w="2232"/>
          </w:tcPr>
          <w:p>
            <w:r/>
            <w:r>
              <w:rPr>
                <w:b w:val="0"/>
                <w:i w:val="0"/>
              </w:rPr>
              <w:t>0.111</w:t>
            </w:r>
          </w:p>
        </w:tc>
        <w:tc>
          <w:tcPr>
            <w:tcW w:type="dxa" w:w="2232"/>
          </w:tcPr>
          <w:p>
            <w:r/>
            <w:r>
              <w:rPr>
                <w:b w:val="0"/>
                <w:i w:val="0"/>
              </w:rPr>
              <w:t>0.132</w:t>
            </w:r>
          </w:p>
        </w:tc>
      </w:tr>
      <w:tr>
        <w:tc>
          <w:tcPr>
            <w:tcW w:type="dxa" w:w="2232"/>
          </w:tcPr>
          <w:p>
            <w:r/>
            <w:r>
              <w:rPr>
                <w:b w:val="0"/>
                <w:i w:val="0"/>
              </w:rPr>
              <w:t>heat, bound-case service life</w:t>
            </w:r>
          </w:p>
        </w:tc>
        <w:tc>
          <w:tcPr>
            <w:tcW w:type="dxa" w:w="2232"/>
          </w:tcPr>
          <w:p>
            <w:r/>
            <w:r>
              <w:rPr>
                <w:b/>
                <w:i w:val="0"/>
              </w:rPr>
              <w:t>1.241</w:t>
            </w:r>
          </w:p>
        </w:tc>
        <w:tc>
          <w:tcPr>
            <w:tcW w:type="dxa" w:w="2232"/>
          </w:tcPr>
          <w:p>
            <w:r/>
            <w:r>
              <w:rPr>
                <w:b/>
                <w:i w:val="0"/>
              </w:rPr>
              <w:t>0.437</w:t>
            </w:r>
          </w:p>
        </w:tc>
        <w:tc>
          <w:tcPr>
            <w:tcW w:type="dxa" w:w="2232"/>
          </w:tcPr>
          <w:p>
            <w:r/>
            <w:r>
              <w:rPr>
                <w:b w:val="0"/>
                <w:i w:val="0"/>
              </w:rPr>
              <w:t>0.519</w:t>
            </w:r>
          </w:p>
        </w:tc>
      </w:tr>
      <w:tr>
        <w:tc>
          <w:tcPr>
            <w:tcW w:type="dxa" w:w="2232"/>
          </w:tcPr>
          <w:p>
            <w:r/>
            <w:r>
              <w:rPr>
                <w:b w:val="0"/>
                <w:i w:val="0"/>
              </w:rPr>
              <w:t>heat, φ = 3</w:t>
            </w:r>
          </w:p>
        </w:tc>
        <w:tc>
          <w:tcPr>
            <w:tcW w:type="dxa" w:w="2232"/>
          </w:tcPr>
          <w:p>
            <w:r/>
            <w:r>
              <w:rPr>
                <w:b w:val="0"/>
                <w:i w:val="0"/>
              </w:rPr>
              <w:t>1.011</w:t>
            </w:r>
          </w:p>
        </w:tc>
        <w:tc>
          <w:tcPr>
            <w:tcW w:type="dxa" w:w="2232"/>
          </w:tcPr>
          <w:p>
            <w:r/>
            <w:r>
              <w:rPr>
                <w:b w:val="0"/>
                <w:i w:val="0"/>
              </w:rPr>
              <w:t>0.356</w:t>
            </w:r>
          </w:p>
        </w:tc>
        <w:tc>
          <w:tcPr>
            <w:tcW w:type="dxa" w:w="2232"/>
          </w:tcPr>
          <w:p>
            <w:r/>
            <w:r>
              <w:rPr>
                <w:b w:val="0"/>
                <w:i w:val="0"/>
              </w:rPr>
              <w:t>0.423</w:t>
            </w:r>
          </w:p>
        </w:tc>
      </w:tr>
      <w:tr>
        <w:tc>
          <w:tcPr>
            <w:tcW w:type="dxa" w:w="2232"/>
          </w:tcPr>
          <w:p>
            <w:r/>
            <w:r>
              <w:rPr>
                <w:b w:val="0"/>
                <w:i w:val="0"/>
              </w:rPr>
              <w:t>work, demonstrated cycles</w:t>
            </w:r>
          </w:p>
        </w:tc>
        <w:tc>
          <w:tcPr>
            <w:tcW w:type="dxa" w:w="2232"/>
          </w:tcPr>
          <w:p>
            <w:r/>
            <w:r>
              <w:rPr>
                <w:b w:val="0"/>
                <w:i w:val="0"/>
              </w:rPr>
              <w:t>0.237</w:t>
            </w:r>
          </w:p>
        </w:tc>
        <w:tc>
          <w:tcPr>
            <w:tcW w:type="dxa" w:w="2232"/>
          </w:tcPr>
          <w:p>
            <w:r/>
            <w:r>
              <w:rPr>
                <w:b w:val="0"/>
                <w:i w:val="0"/>
              </w:rPr>
              <w:t>0.083</w:t>
            </w:r>
          </w:p>
        </w:tc>
        <w:tc>
          <w:tcPr>
            <w:tcW w:type="dxa" w:w="2232"/>
          </w:tcPr>
          <w:p>
            <w:r/>
            <w:r>
              <w:rPr>
                <w:b w:val="0"/>
                <w:i w:val="0"/>
              </w:rPr>
              <w:t>0.099</w:t>
            </w:r>
          </w:p>
        </w:tc>
      </w:tr>
      <w:tr>
        <w:tc>
          <w:tcPr>
            <w:tcW w:type="dxa" w:w="2232"/>
          </w:tcPr>
          <w:p>
            <w:r/>
            <w:r>
              <w:rPr>
                <w:b w:val="0"/>
                <w:i w:val="0"/>
              </w:rPr>
              <w:t>work, bound-case service life</w:t>
            </w:r>
          </w:p>
        </w:tc>
        <w:tc>
          <w:tcPr>
            <w:tcW w:type="dxa" w:w="2232"/>
          </w:tcPr>
          <w:p>
            <w:r/>
            <w:r>
              <w:rPr>
                <w:b w:val="0"/>
                <w:i w:val="0"/>
              </w:rPr>
              <w:t>0.931</w:t>
            </w:r>
          </w:p>
        </w:tc>
        <w:tc>
          <w:tcPr>
            <w:tcW w:type="dxa" w:w="2232"/>
          </w:tcPr>
          <w:p>
            <w:r/>
            <w:r>
              <w:rPr>
                <w:b w:val="0"/>
                <w:i w:val="0"/>
              </w:rPr>
              <w:t>0.328</w:t>
            </w:r>
          </w:p>
        </w:tc>
        <w:tc>
          <w:tcPr>
            <w:tcW w:type="dxa" w:w="2232"/>
          </w:tcPr>
          <w:p>
            <w:r/>
            <w:r>
              <w:rPr>
                <w:b w:val="0"/>
                <w:i w:val="0"/>
              </w:rPr>
              <w:t>0.389</w:t>
            </w:r>
          </w:p>
        </w:tc>
      </w:tr>
      <w:tr>
        <w:tc>
          <w:tcPr>
            <w:tcW w:type="dxa" w:w="2232"/>
          </w:tcPr>
          <w:p>
            <w:r/>
            <w:r>
              <w:rPr>
                <w:b w:val="0"/>
                <w:i w:val="0"/>
              </w:rPr>
              <w:t>bred fuel, demonstrated cycles</w:t>
            </w:r>
          </w:p>
        </w:tc>
        <w:tc>
          <w:tcPr>
            <w:tcW w:type="dxa" w:w="2232"/>
          </w:tcPr>
          <w:p>
            <w:r/>
            <w:r>
              <w:rPr>
                <w:b w:val="0"/>
                <w:i w:val="0"/>
              </w:rPr>
              <w:t>1.772</w:t>
            </w:r>
          </w:p>
        </w:tc>
        <w:tc>
          <w:tcPr>
            <w:tcW w:type="dxa" w:w="2232"/>
          </w:tcPr>
          <w:p>
            <w:r/>
            <w:r>
              <w:rPr>
                <w:b w:val="0"/>
                <w:i w:val="0"/>
              </w:rPr>
              <w:t>0.623</w:t>
            </w:r>
          </w:p>
        </w:tc>
        <w:tc>
          <w:tcPr>
            <w:tcW w:type="dxa" w:w="2232"/>
          </w:tcPr>
          <w:p>
            <w:r/>
            <w:r>
              <w:rPr>
                <w:b w:val="0"/>
                <w:i w:val="0"/>
              </w:rPr>
              <w:t>0.741</w:t>
            </w:r>
          </w:p>
        </w:tc>
      </w:tr>
      <w:tr>
        <w:tc>
          <w:tcPr>
            <w:tcW w:type="dxa" w:w="2232"/>
          </w:tcPr>
          <w:p>
            <w:r/>
            <w:r>
              <w:rPr>
                <w:b w:val="0"/>
                <w:i w:val="0"/>
              </w:rPr>
              <w:t>bred fuel, bound-case service life</w:t>
            </w:r>
          </w:p>
        </w:tc>
        <w:tc>
          <w:tcPr>
            <w:tcW w:type="dxa" w:w="2232"/>
          </w:tcPr>
          <w:p>
            <w:r/>
            <w:r>
              <w:rPr>
                <w:b w:val="0"/>
                <w:i w:val="0"/>
              </w:rPr>
              <w:t>6.96</w:t>
            </w:r>
          </w:p>
        </w:tc>
        <w:tc>
          <w:tcPr>
            <w:tcW w:type="dxa" w:w="2232"/>
          </w:tcPr>
          <w:p>
            <w:r/>
            <w:r>
              <w:rPr>
                <w:b/>
                <w:i w:val="0"/>
              </w:rPr>
              <w:t>2.449</w:t>
            </w:r>
          </w:p>
        </w:tc>
        <w:tc>
          <w:tcPr>
            <w:tcW w:type="dxa" w:w="2232"/>
          </w:tcPr>
          <w:p>
            <w:r/>
            <w:r>
              <w:rPr>
                <w:b w:val="0"/>
                <w:i w:val="0"/>
              </w:rPr>
              <w:t>2.909</w:t>
            </w:r>
          </w:p>
        </w:tc>
      </w:tr>
    </w:tbl>
    <w:p/>
    <w:p>
      <w:pPr>
        <w:spacing w:before="160" w:after="200"/>
        <w:ind w:left="461" w:right="259"/>
      </w:pPr>
      <w:r>
        <w:rPr>
          <w:b/>
          <w:i w:val="0"/>
        </w:rPr>
        <w:t>At the delivered acceptance, and with the machine left as it is, nothing clears unity.</w:t>
      </w:r>
      <w:r>
        <w:rPr>
          <w:b w:val="0"/>
          <w:i w:val="0"/>
        </w:rPr>
        <w:t xml:space="preserve"> Every heat form, every work form and bred fuel at the demonstrated cycle count fall below it. </w:t>
      </w:r>
      <w:r>
        <w:rPr>
          <w:b/>
          <w:i w:val="0"/>
        </w:rPr>
        <w:t>The figures reported at ninety percent collection in the preprints at [18] are withdrawn as end-to-end results</w:t>
      </w:r>
      <w:r>
        <w:rPr>
          <w:b w:val="0"/>
          <w:i w:val="0"/>
        </w:rPr>
        <w:t>; they stand as the conditionals they were stated at.</w:t>
      </w:r>
    </w:p>
    <w:p>
      <w:r>
        <w:rPr>
          <w:b/>
          <w:i w:val="0"/>
        </w:rPr>
        <w:t>But the machine is not required to be left as it is</w:t>
      </w:r>
      <w:r>
        <w:rPr>
          <w:b w:val="0"/>
          <w:i w:val="0"/>
        </w:rPr>
        <w:t>, and §5.4 states what the alterations specified here do to the same table.</w:t>
      </w:r>
    </w:p>
    <w:p>
      <w:pPr>
        <w:spacing w:before="240" w:after="80"/>
      </w:pPr>
      <w:r>
        <w:rPr>
          <w:b/>
          <w:sz w:val="23"/>
        </w:rPr>
        <w:t>5.4 What the specified alterations do to every balance</w:t>
      </w:r>
    </w:p>
    <w:p>
      <w:r>
        <w:rPr>
          <w:b w:val="0"/>
          <w:i w:val="0"/>
        </w:rPr>
        <w:t xml:space="preserve">§5.3 states the balances for the machine as built. Two alterations to that machine are specified in this paper — an </w:t>
      </w:r>
      <w:r>
        <w:rPr>
          <w:b/>
          <w:i w:val="0"/>
        </w:rPr>
        <w:t>optimised production target</w:t>
      </w:r>
      <w:r>
        <w:rPr>
          <w:b w:val="0"/>
          <w:i w:val="0"/>
        </w:rPr>
        <w:t xml:space="preserve"> and a </w:t>
      </w:r>
      <w:r>
        <w:rPr>
          <w:b/>
          <w:i w:val="0"/>
        </w:rPr>
        <w:t>wider bore</w:t>
      </w:r>
      <w:r>
        <w:rPr>
          <w:b w:val="0"/>
          <w:i w:val="0"/>
        </w:rPr>
        <w:t xml:space="preserve"> — and it is worth asking what each does to the whole table rather than to one row of it. The target multiplies every balance by the same factor, because a balance has the form </w:t>
      </w:r>
      <w:r>
        <w:rPr>
          <w:rFonts w:ascii="Consolas" w:hAnsi="Consolas"/>
          <w:b w:val="0"/>
          <w:i w:val="0"/>
          <w:sz w:val="19"/>
        </w:rPr>
        <w:t>N · V · η / E_binder</w:t>
      </w:r>
      <w:r>
        <w:rPr>
          <w:b w:val="0"/>
          <w:i w:val="0"/>
        </w:rPr>
        <w:t xml:space="preserve"> and the target moves </w:t>
      </w:r>
      <w:r>
        <w:rPr>
          <w:rFonts w:ascii="Consolas" w:hAnsi="Consolas"/>
          <w:b w:val="0"/>
          <w:i w:val="0"/>
          <w:sz w:val="19"/>
        </w:rPr>
        <w:t>E_binder</w:t>
      </w:r>
      <w:r>
        <w:rPr>
          <w:b w:val="0"/>
          <w:i w:val="0"/>
        </w:rPr>
        <w:t xml:space="preserve"> alone: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demonstrated cycles at 50.8 percent collection; through the optimised target that requirement is 21.4 percent, and 50.8 ÷ 2.373 returns it. The same factor applied to that route's delivered balance of 0.623 gives 1.480, which is §5.3's own figure reached from the other side.</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balance</w:t>
            </w:r>
          </w:p>
        </w:tc>
        <w:tc>
          <w:tcPr>
            <w:tcW w:type="dxa" w:w="2232"/>
          </w:tcPr>
          <w:p>
            <w:r/>
            <w:r>
              <w:rPr>
                <w:b/>
                <w:i w:val="0"/>
              </w:rPr>
              <w:t>delivered</w:t>
            </w:r>
          </w:p>
        </w:tc>
        <w:tc>
          <w:tcPr>
            <w:tcW w:type="dxa" w:w="2232"/>
          </w:tcPr>
          <w:p>
            <w:r/>
            <w:r>
              <w:rPr>
                <w:b/>
                <w:i w:val="0"/>
              </w:rPr>
              <w:t>+ optimised target</w:t>
            </w:r>
          </w:p>
        </w:tc>
        <w:tc>
          <w:tcPr>
            <w:tcW w:type="dxa" w:w="2232"/>
          </w:tcPr>
          <w:p>
            <w:r/>
            <w:r>
              <w:rPr>
                <w:b/>
                <w:i w:val="0"/>
              </w:rPr>
              <w:t>+ target and wider bore</w:t>
            </w:r>
          </w:p>
        </w:tc>
      </w:tr>
      <w:tr>
        <w:tc>
          <w:tcPr>
            <w:tcW w:type="dxa" w:w="2232"/>
          </w:tcPr>
          <w:p>
            <w:r/>
            <w:r>
              <w:rPr>
                <w:b w:val="0"/>
                <w:i w:val="0"/>
              </w:rPr>
              <w:t>heat, demonstrated cycles</w:t>
            </w:r>
          </w:p>
        </w:tc>
        <w:tc>
          <w:tcPr>
            <w:tcW w:type="dxa" w:w="2232"/>
          </w:tcPr>
          <w:p>
            <w:r/>
            <w:r>
              <w:rPr>
                <w:b w:val="0"/>
                <w:i w:val="0"/>
              </w:rPr>
              <w:t>0.111</w:t>
            </w:r>
          </w:p>
        </w:tc>
        <w:tc>
          <w:tcPr>
            <w:tcW w:type="dxa" w:w="2232"/>
          </w:tcPr>
          <w:p>
            <w:r/>
            <w:r>
              <w:rPr>
                <w:b w:val="0"/>
                <w:i w:val="0"/>
              </w:rPr>
              <w:t>0.264</w:t>
            </w:r>
          </w:p>
        </w:tc>
        <w:tc>
          <w:tcPr>
            <w:tcW w:type="dxa" w:w="2232"/>
          </w:tcPr>
          <w:p>
            <w:r/>
            <w:r>
              <w:rPr>
                <w:b w:val="0"/>
                <w:i w:val="0"/>
              </w:rPr>
              <w:t>0.313</w:t>
            </w:r>
          </w:p>
        </w:tc>
      </w:tr>
      <w:tr>
        <w:tc>
          <w:tcPr>
            <w:tcW w:type="dxa" w:w="2232"/>
          </w:tcPr>
          <w:p>
            <w:r/>
            <w:r>
              <w:rPr>
                <w:b/>
                <w:i w:val="0"/>
              </w:rPr>
              <w:t>heat, bound-case service life</w:t>
            </w:r>
          </w:p>
        </w:tc>
        <w:tc>
          <w:tcPr>
            <w:tcW w:type="dxa" w:w="2232"/>
          </w:tcPr>
          <w:p>
            <w:r/>
            <w:r>
              <w:rPr>
                <w:b w:val="0"/>
                <w:i w:val="0"/>
              </w:rPr>
              <w:t>0.437</w:t>
            </w:r>
          </w:p>
        </w:tc>
        <w:tc>
          <w:tcPr>
            <w:tcW w:type="dxa" w:w="2232"/>
          </w:tcPr>
          <w:p>
            <w:r/>
            <w:r>
              <w:rPr>
                <w:b/>
                <w:i w:val="0"/>
              </w:rPr>
              <w:t>1.036</w:t>
            </w:r>
          </w:p>
        </w:tc>
        <w:tc>
          <w:tcPr>
            <w:tcW w:type="dxa" w:w="2232"/>
          </w:tcPr>
          <w:p>
            <w:r/>
            <w:r>
              <w:rPr>
                <w:b/>
                <w:i w:val="0"/>
              </w:rPr>
              <w:t>1.231</w:t>
            </w:r>
          </w:p>
        </w:tc>
      </w:tr>
      <w:tr>
        <w:tc>
          <w:tcPr>
            <w:tcW w:type="dxa" w:w="2232"/>
          </w:tcPr>
          <w:p>
            <w:r/>
            <w:r>
              <w:rPr>
                <w:b w:val="0"/>
                <w:i w:val="0"/>
              </w:rPr>
              <w:t>heat, φ = 3</w:t>
            </w:r>
          </w:p>
        </w:tc>
        <w:tc>
          <w:tcPr>
            <w:tcW w:type="dxa" w:w="2232"/>
          </w:tcPr>
          <w:p>
            <w:r/>
            <w:r>
              <w:rPr>
                <w:b w:val="0"/>
                <w:i w:val="0"/>
              </w:rPr>
              <w:t>0.356</w:t>
            </w:r>
          </w:p>
        </w:tc>
        <w:tc>
          <w:tcPr>
            <w:tcW w:type="dxa" w:w="2232"/>
          </w:tcPr>
          <w:p>
            <w:r/>
            <w:r>
              <w:rPr>
                <w:b w:val="0"/>
                <w:i w:val="0"/>
              </w:rPr>
              <w:t>0.844</w:t>
            </w:r>
          </w:p>
        </w:tc>
        <w:tc>
          <w:tcPr>
            <w:tcW w:type="dxa" w:w="2232"/>
          </w:tcPr>
          <w:p>
            <w:r/>
            <w:r>
              <w:rPr>
                <w:b/>
                <w:i w:val="0"/>
              </w:rPr>
              <w:t>1.003</w:t>
            </w:r>
          </w:p>
        </w:tc>
      </w:tr>
      <w:tr>
        <w:tc>
          <w:tcPr>
            <w:tcW w:type="dxa" w:w="2232"/>
          </w:tcPr>
          <w:p>
            <w:r/>
            <w:r>
              <w:rPr>
                <w:b w:val="0"/>
                <w:i w:val="0"/>
              </w:rPr>
              <w:t>work, demonstrated cycles</w:t>
            </w:r>
          </w:p>
        </w:tc>
        <w:tc>
          <w:tcPr>
            <w:tcW w:type="dxa" w:w="2232"/>
          </w:tcPr>
          <w:p>
            <w:r/>
            <w:r>
              <w:rPr>
                <w:b w:val="0"/>
                <w:i w:val="0"/>
              </w:rPr>
              <w:t>0.083</w:t>
            </w:r>
          </w:p>
        </w:tc>
        <w:tc>
          <w:tcPr>
            <w:tcW w:type="dxa" w:w="2232"/>
          </w:tcPr>
          <w:p>
            <w:r/>
            <w:r>
              <w:rPr>
                <w:b w:val="0"/>
                <w:i w:val="0"/>
              </w:rPr>
              <w:t>0.198</w:t>
            </w:r>
          </w:p>
        </w:tc>
        <w:tc>
          <w:tcPr>
            <w:tcW w:type="dxa" w:w="2232"/>
          </w:tcPr>
          <w:p>
            <w:r/>
            <w:r>
              <w:rPr>
                <w:b w:val="0"/>
                <w:i w:val="0"/>
              </w:rPr>
              <w:t>0.235</w:t>
            </w:r>
          </w:p>
        </w:tc>
      </w:tr>
      <w:tr>
        <w:tc>
          <w:tcPr>
            <w:tcW w:type="dxa" w:w="2232"/>
          </w:tcPr>
          <w:p>
            <w:r/>
            <w:r>
              <w:rPr>
                <w:b w:val="0"/>
                <w:i w:val="0"/>
              </w:rPr>
              <w:t>work, bound-case service life</w:t>
            </w:r>
          </w:p>
        </w:tc>
        <w:tc>
          <w:tcPr>
            <w:tcW w:type="dxa" w:w="2232"/>
          </w:tcPr>
          <w:p>
            <w:r/>
            <w:r>
              <w:rPr>
                <w:b w:val="0"/>
                <w:i w:val="0"/>
              </w:rPr>
              <w:t>0.328</w:t>
            </w:r>
          </w:p>
        </w:tc>
        <w:tc>
          <w:tcPr>
            <w:tcW w:type="dxa" w:w="2232"/>
          </w:tcPr>
          <w:p>
            <w:r/>
            <w:r>
              <w:rPr>
                <w:b w:val="0"/>
                <w:i w:val="0"/>
              </w:rPr>
              <w:t>0.777</w:t>
            </w:r>
          </w:p>
        </w:tc>
        <w:tc>
          <w:tcPr>
            <w:tcW w:type="dxa" w:w="2232"/>
          </w:tcPr>
          <w:p>
            <w:r/>
            <w:r>
              <w:rPr>
                <w:b w:val="0"/>
                <w:i w:val="0"/>
              </w:rPr>
              <w:t>0.924</w:t>
            </w:r>
          </w:p>
        </w:tc>
      </w:tr>
      <w:tr>
        <w:tc>
          <w:tcPr>
            <w:tcW w:type="dxa" w:w="2232"/>
          </w:tcPr>
          <w:p>
            <w:r/>
            <w:r>
              <w:rPr>
                <w:b w:val="0"/>
                <w:i w:val="0"/>
              </w:rPr>
              <w:t>bred fuel, demonstrated cycles</w:t>
            </w:r>
          </w:p>
        </w:tc>
        <w:tc>
          <w:tcPr>
            <w:tcW w:type="dxa" w:w="2232"/>
          </w:tcPr>
          <w:p>
            <w:r/>
            <w:r>
              <w:rPr>
                <w:b w:val="0"/>
                <w:i w:val="0"/>
              </w:rPr>
              <w:t>0.623</w:t>
            </w:r>
          </w:p>
        </w:tc>
        <w:tc>
          <w:tcPr>
            <w:tcW w:type="dxa" w:w="2232"/>
          </w:tcPr>
          <w:p>
            <w:r/>
            <w:r>
              <w:rPr>
                <w:b/>
                <w:i w:val="0"/>
              </w:rPr>
              <w:t>1.480</w:t>
            </w:r>
          </w:p>
        </w:tc>
        <w:tc>
          <w:tcPr>
            <w:tcW w:type="dxa" w:w="2232"/>
          </w:tcPr>
          <w:p>
            <w:r/>
            <w:r>
              <w:rPr>
                <w:b/>
                <w:i w:val="0"/>
              </w:rPr>
              <w:t>1.758</w:t>
            </w:r>
          </w:p>
        </w:tc>
      </w:tr>
      <w:tr>
        <w:tc>
          <w:tcPr>
            <w:tcW w:type="dxa" w:w="2232"/>
          </w:tcPr>
          <w:p>
            <w:r/>
            <w:r>
              <w:rPr>
                <w:b w:val="0"/>
                <w:i w:val="0"/>
              </w:rPr>
              <w:t>bred fuel, bound-case service life</w:t>
            </w:r>
          </w:p>
        </w:tc>
        <w:tc>
          <w:tcPr>
            <w:tcW w:type="dxa" w:w="2232"/>
          </w:tcPr>
          <w:p>
            <w:r/>
            <w:r>
              <w:rPr>
                <w:b w:val="0"/>
                <w:i w:val="0"/>
              </w:rPr>
              <w:t>2.449</w:t>
            </w:r>
          </w:p>
        </w:tc>
        <w:tc>
          <w:tcPr>
            <w:tcW w:type="dxa" w:w="2232"/>
          </w:tcPr>
          <w:p>
            <w:r/>
            <w:r>
              <w:rPr>
                <w:b/>
                <w:i w:val="0"/>
              </w:rPr>
              <w:t>5.811</w:t>
            </w:r>
          </w:p>
        </w:tc>
        <w:tc>
          <w:tcPr>
            <w:tcW w:type="dxa" w:w="2232"/>
          </w:tcPr>
          <w:p>
            <w:r/>
            <w:r>
              <w:rPr>
                <w:b w:val="0"/>
                <w:i w:val="0"/>
              </w:rPr>
              <w:t>—</w:t>
            </w:r>
          </w:p>
        </w:tc>
      </w:tr>
    </w:tbl>
    <w:p/>
    <w:p>
      <w:pPr>
        <w:jc w:val="center"/>
      </w:pPr>
      <w:r>
        <w:drawing>
          <wp:inline xmlns:a="http://schemas.openxmlformats.org/drawingml/2006/main" xmlns:pic="http://schemas.openxmlformats.org/drawingml/2006/picture">
            <wp:extent cx="5486400" cy="2996572"/>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2996572"/>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the optimised production target and the wider bore. Anything reaching the line at unity pays for itself.</w:t>
      </w:r>
    </w:p>
    <w:p>
      <w:pPr>
        <w:spacing w:before="160" w:after="200"/>
        <w:ind w:left="461" w:right="259"/>
      </w:pPr>
      <w:r>
        <w:rPr>
          <w:b/>
          <w:i w:val="0"/>
        </w:rPr>
        <w:t>The answer is conditional, and it is not no.</w:t>
      </w:r>
      <w:r>
        <w:rPr>
          <w:b w:val="0"/>
          <w:i w:val="0"/>
        </w:rPr>
        <w:t xml:space="preserve"> With the optimised production target in, the heat form on the bound-case service life reaches </w:t>
      </w:r>
      <w:r>
        <w:rPr>
          <w:b/>
          <w:i w:val="0"/>
        </w:rPr>
        <w:t>1.036</w:t>
      </w:r>
      <w:r>
        <w:rPr>
          <w:b w:val="0"/>
          <w:i w:val="0"/>
        </w:rPr>
        <w:t xml:space="preserve"> at today's aperture and </w:t>
      </w:r>
      <w:r>
        <w:rPr>
          <w:b/>
          <w:i w:val="0"/>
        </w:rPr>
        <w:t>1.231</w:t>
      </w:r>
      <w:r>
        <w:rPr>
          <w:b w:val="0"/>
          <w:i w:val="0"/>
        </w:rPr>
        <w:t xml:space="preserve"> at the wider bore, and the φ = 3 case reaches </w:t>
      </w:r>
      <w:r>
        <w:rPr>
          <w:b/>
          <w:i w:val="0"/>
        </w:rPr>
        <w:t>1.003</w:t>
      </w:r>
      <w:r>
        <w:rPr>
          <w:b w:val="0"/>
          <w:i w:val="0"/>
        </w:rPr>
        <w:t xml:space="preserve"> with both. </w:t>
      </w:r>
      <w:r>
        <w:rPr>
          <w:b/>
          <w:i w:val="0"/>
        </w:rPr>
        <w:t>Those clear unity, and they are not bred fuel</w:t>
      </w:r>
      <w:r>
        <w:rPr>
          <w:b w:val="0"/>
          <w:i w:val="0"/>
        </w:rPr>
        <w:t xml:space="preserve"> — nothing leaves the device to earn them.</w:t>
      </w:r>
    </w:p>
    <w:p>
      <w:r>
        <w:rPr>
          <w:b/>
          <w:i w:val="0"/>
        </w:rPr>
        <w:t>Three conditions travel with that result, and each is stated in full below.</w:t>
      </w:r>
    </w:p>
    <w:p>
      <w:r>
        <w:rPr>
          <w:b/>
          <w:i w:val="0"/>
        </w:rPr>
        <w:t>First, it is the bound-case service life and not the demonstrated one.</w:t>
      </w:r>
      <w:r>
        <w:rPr>
          <w:b w:val="0"/>
          <w:i w:val="0"/>
        </w:rPr>
        <w:t xml:space="preserve"> At 150 cycles per binder, which is what has actually been measured, the optimised target takes heat only to 0.264 and work to 0.198. </w:t>
      </w:r>
      <w:r>
        <w:rPr>
          <w:b/>
          <w:i w:val="0"/>
        </w:rPr>
        <w:t>Nothing device-internal clears at a witnessed cycle count under any alteration specified here.</w:t>
      </w:r>
    </w:p>
    <w:p>
      <w:r>
        <w:rPr>
          <w:b/>
          <w:i w:val="0"/>
        </w:rPr>
        <w:t>Second, the bound case is a density assumption, and the density has not been reached.</w:t>
      </w:r>
      <w:r>
        <w:rPr>
          <w:b w:val="0"/>
          <w:i w:val="0"/>
        </w:rPr>
        <w:t xml:space="preserve"> It is worth being precise about what that assumption is, because it is easy to mistake for a modelling error. Run at the density that </w:t>
      </w:r>
      <w:r>
        <w:rPr>
          <w:b w:val="0"/>
          <w:i/>
        </w:rPr>
        <w:t>has</w:t>
      </w:r>
      <w:r>
        <w:rPr>
          <w:b w:val="0"/>
          <w:i w:val="0"/>
        </w:rPr>
        <w:t xml:space="preserve"> been reached — 1.2 times liquid, the bracket of the 150-cycle result — the service-life model returns 152.8 cycles against the 150 cycles measured, a ratio of 1.019. The model is not over-predicting. What the bound-case rows assume instead is a fuel density of 8.5 times liquid: the lower of the two readings of the published dissociation measurement, counted as atoms rather than as molecules, at which the same model returns 190.1 cycles. Carrying a bound-case balance back to the density reached therefore multiplies it by 0.8038, and that is what the second column below does.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with the optimised target</w:t>
            </w:r>
          </w:p>
        </w:tc>
        <w:tc>
          <w:tcPr>
            <w:tcW w:type="dxa" w:w="2976"/>
          </w:tcPr>
          <w:p>
            <w:r/>
            <w:r>
              <w:rPr>
                <w:b/>
                <w:i w:val="0"/>
              </w:rPr>
              <w:t>at 8.5 × liquid</w:t>
            </w:r>
          </w:p>
        </w:tc>
        <w:tc>
          <w:tcPr>
            <w:tcW w:type="dxa" w:w="2976"/>
          </w:tcPr>
          <w:p>
            <w:r/>
            <w:r>
              <w:rPr>
                <w:b/>
                <w:i w:val="0"/>
              </w:rPr>
              <w:t>at 1.2 × liquid</w:t>
            </w:r>
          </w:p>
        </w:tc>
      </w:tr>
      <w:tr>
        <w:tc>
          <w:tcPr>
            <w:tcW w:type="dxa" w:w="2976"/>
          </w:tcPr>
          <w:p>
            <w:r/>
            <w:r>
              <w:rPr>
                <w:b w:val="0"/>
                <w:i w:val="0"/>
              </w:rPr>
              <w:t>heat, bound-case service life</w:t>
            </w:r>
          </w:p>
        </w:tc>
        <w:tc>
          <w:tcPr>
            <w:tcW w:type="dxa" w:w="2976"/>
          </w:tcPr>
          <w:p>
            <w:r/>
            <w:r>
              <w:rPr>
                <w:b w:val="0"/>
                <w:i w:val="0"/>
              </w:rPr>
              <w:t>1.036</w:t>
            </w:r>
          </w:p>
        </w:tc>
        <w:tc>
          <w:tcPr>
            <w:tcW w:type="dxa" w:w="2976"/>
          </w:tcPr>
          <w:p>
            <w:r/>
            <w:r>
              <w:rPr>
                <w:b w:val="0"/>
                <w:i w:val="0"/>
              </w:rPr>
              <w:t>0.833</w:t>
            </w:r>
          </w:p>
        </w:tc>
      </w:tr>
      <w:tr>
        <w:tc>
          <w:tcPr>
            <w:tcW w:type="dxa" w:w="2976"/>
          </w:tcPr>
          <w:p>
            <w:r/>
            <w:r>
              <w:rPr>
                <w:b w:val="0"/>
                <w:i w:val="0"/>
              </w:rPr>
              <w:t>the same, at the wider bore</w:t>
            </w:r>
          </w:p>
        </w:tc>
        <w:tc>
          <w:tcPr>
            <w:tcW w:type="dxa" w:w="2976"/>
          </w:tcPr>
          <w:p>
            <w:r/>
            <w:r>
              <w:rPr>
                <w:b w:val="0"/>
                <w:i w:val="0"/>
              </w:rPr>
              <w:t>1.231</w:t>
            </w:r>
          </w:p>
        </w:tc>
        <w:tc>
          <w:tcPr>
            <w:tcW w:type="dxa" w:w="2976"/>
          </w:tcPr>
          <w:p>
            <w:r/>
            <w:r>
              <w:rPr>
                <w:b/>
                <w:i w:val="0"/>
              </w:rPr>
              <w:t>0.990</w:t>
            </w:r>
          </w:p>
        </w:tc>
      </w:tr>
      <w:tr>
        <w:tc>
          <w:tcPr>
            <w:tcW w:type="dxa" w:w="2976"/>
          </w:tcPr>
          <w:p>
            <w:r/>
            <w:r>
              <w:rPr>
                <w:b w:val="0"/>
                <w:i w:val="0"/>
              </w:rPr>
              <w:t>heat, φ = 3, wider bore</w:t>
            </w:r>
          </w:p>
        </w:tc>
        <w:tc>
          <w:tcPr>
            <w:tcW w:type="dxa" w:w="2976"/>
          </w:tcPr>
          <w:p>
            <w:r/>
            <w:r>
              <w:rPr>
                <w:b w:val="0"/>
                <w:i w:val="0"/>
              </w:rPr>
              <w:t>1.003</w:t>
            </w:r>
          </w:p>
        </w:tc>
        <w:tc>
          <w:tcPr>
            <w:tcW w:type="dxa" w:w="2976"/>
          </w:tcPr>
          <w:p>
            <w:r/>
            <w:r>
              <w:rPr>
                <w:b w:val="0"/>
                <w:i w:val="0"/>
              </w:rPr>
              <w:t>0.806</w:t>
            </w:r>
          </w:p>
        </w:tc>
      </w:tr>
      <w:tr>
        <w:tc>
          <w:tcPr>
            <w:tcW w:type="dxa" w:w="2976"/>
          </w:tcPr>
          <w:p>
            <w:r/>
            <w:r>
              <w:rPr>
                <w:b w:val="0"/>
                <w:i w:val="0"/>
              </w:rPr>
              <w:t>work, bound case, wider bore</w:t>
            </w:r>
          </w:p>
        </w:tc>
        <w:tc>
          <w:tcPr>
            <w:tcW w:type="dxa" w:w="2976"/>
          </w:tcPr>
          <w:p>
            <w:r/>
            <w:r>
              <w:rPr>
                <w:b w:val="0"/>
                <w:i w:val="0"/>
              </w:rPr>
              <w:t>0.924</w:t>
            </w:r>
          </w:p>
        </w:tc>
        <w:tc>
          <w:tcPr>
            <w:tcW w:type="dxa" w:w="2976"/>
          </w:tcPr>
          <w:p>
            <w:r/>
            <w:r>
              <w:rPr>
                <w:b w:val="0"/>
                <w:i w:val="0"/>
              </w:rPr>
              <w:t>0.742</w:t>
            </w:r>
          </w:p>
        </w:tc>
      </w:tr>
      <w:tr>
        <w:tc>
          <w:tcPr>
            <w:tcW w:type="dxa" w:w="2976"/>
          </w:tcPr>
          <w:p>
            <w:r/>
            <w:r>
              <w:rPr>
                <w:b w:val="0"/>
                <w:i w:val="0"/>
              </w:rPr>
              <w:t>bred fuel, bound case</w:t>
            </w:r>
          </w:p>
        </w:tc>
        <w:tc>
          <w:tcPr>
            <w:tcW w:type="dxa" w:w="2976"/>
          </w:tcPr>
          <w:p>
            <w:r/>
            <w:r>
              <w:rPr>
                <w:b w:val="0"/>
                <w:i w:val="0"/>
              </w:rPr>
              <w:t>5.811</w:t>
            </w:r>
          </w:p>
        </w:tc>
        <w:tc>
          <w:tcPr>
            <w:tcW w:type="dxa" w:w="2976"/>
          </w:tcPr>
          <w:p>
            <w:r/>
            <w:r>
              <w:rPr>
                <w:b/>
                <w:i w:val="0"/>
              </w:rPr>
              <w:t>4.671</w:t>
            </w:r>
          </w:p>
        </w:tc>
      </w:tr>
    </w:tbl>
    <w:p/>
    <w:p>
      <w:pPr>
        <w:spacing w:before="160" w:after="200"/>
        <w:ind w:left="461" w:right="259"/>
      </w:pPr>
      <w:r>
        <w:rPr>
          <w:b/>
          <w:i w:val="0"/>
        </w:rPr>
        <w:t>At the density that has been reached, nothing device-internal clears</w:t>
      </w:r>
      <w:r>
        <w:rPr>
          <w:b w:val="0"/>
          <w:i w:val="0"/>
        </w:rPr>
        <w:t xml:space="preserve">, and the closest of them — the heat form at the wider bore — reaches 0.990, which is just under. The device-internal result above is therefore conditional on the density as well as on the target: it needs the fuel to be held at 8.5 times liquid, which no experiment has yet done. </w:t>
      </w:r>
      <w:r>
        <w:rPr>
          <w:b/>
          <w:i w:val="0"/>
        </w:rPr>
        <w:t>Bred fuel is the exception</w:t>
      </w:r>
      <w:r>
        <w:rPr>
          <w:b w:val="0"/>
          <w:i w:val="0"/>
        </w:rPr>
        <w:t>, and it stays 4.671 at the density reached, because what carries it is the neutron rather than the cycle count. It also leaves the device.</w:t>
      </w:r>
    </w:p>
    <w:p>
      <w:r>
        <w:rPr>
          <w:b/>
          <w:i w:val="0"/>
        </w:rPr>
        <w:t>Third, the factor itself is unmeasured here.</w:t>
      </w:r>
      <w:r>
        <w:rPr>
          <w:b w:val="0"/>
          <w:i w:val="0"/>
        </w:rPr>
        <w:t xml:space="preserve"> 4.69 GeV is a published optimisation, and this paper prices what it would be worth without adopting it as a figure of its own — those are different acts, and only the first is done here. §10 Stage C is the measurement that would settle it. </w:t>
      </w:r>
      <w:r>
        <w:rPr>
          <w:b/>
          <w:i w:val="0"/>
        </w:rPr>
        <w:t>The whole of this section is conditional on that stage</w:t>
      </w:r>
      <w:r>
        <w:rPr>
          <w:b w:val="0"/>
          <w:i w:val="0"/>
        </w:rPr>
        <w:t>, which is the second reason it runs early.</w:t>
      </w:r>
    </w:p>
    <w:p>
      <w:pPr>
        <w:spacing w:before="160" w:after="200"/>
        <w:ind w:left="461" w:right="259"/>
      </w:pPr>
      <w:r>
        <w:rPr>
          <w:b/>
          <w:i w:val="0"/>
        </w:rPr>
        <w:t>And "inside the device" has two readings that do not agree.</w:t>
      </w:r>
      <w:r>
        <w:rPr>
          <w:b w:val="0"/>
          <w:i w:val="0"/>
        </w:rPr>
        <w:t xml:space="preserve"> The heat forms above count the blanket's multiplication and its fissile heat, which is heat recovered on site. Counting the neutron at its </w:t>
      </w:r>
      <w:r>
        <w:rPr>
          <w:b/>
          <w:i w:val="0"/>
        </w:rPr>
        <w:t>bare</w:t>
      </w:r>
      <w:r>
        <w:rPr>
          <w:b w:val="0"/>
          <w:i w:val="0"/>
        </w:rPr>
        <w:t xml:space="preserve"> heat instead — no blanket, no fissile credit — the delivered figure is 0.1409, and the optimised target takes it only to 0.3344. </w:t>
      </w:r>
      <w:r>
        <w:rPr>
          <w:b/>
          <w:i w:val="0"/>
        </w:rPr>
        <w:t>On the narrow reading the criterion is not met by anything in this paper.</w:t>
      </w:r>
      <w:r>
        <w:rPr>
          <w:b w:val="0"/>
          <w:i w:val="0"/>
        </w:rPr>
        <w:t xml:space="preserve"> On the wider one it is met by a specified machine, conditionally, and §10 is what decides between them.</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§9.3 commits in advance to treating a disagreement between them as a </w:t>
      </w:r>
      <w:r>
        <w:rPr>
          <w:b/>
          <w:i w:val="0"/>
        </w:rPr>
        <w:t>refusal</w:t>
      </w:r>
      <w:r>
        <w:rPr>
          <w:b w:val="0"/>
          <w:i w:val="0"/>
        </w:rPr>
        <w:t xml:space="preserve"> rather than as an average.</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blanket</w:t>
            </w:r>
          </w:p>
        </w:tc>
        <w:tc>
          <w:tcPr>
            <w:tcW w:type="dxa" w:w="2976"/>
          </w:tcPr>
          <w:p>
            <w:r/>
            <w:r>
              <w:rPr>
                <w:b w:val="0"/>
                <w:i w:val="0"/>
              </w:rPr>
              <w:t>none</w:t>
            </w:r>
          </w:p>
        </w:tc>
        <w:tc>
          <w:tcPr>
            <w:tcW w:type="dxa" w:w="2976"/>
          </w:tcPr>
          <w:p>
            <w:r/>
            <w:r>
              <w:rPr>
                <w:b w:val="0"/>
                <w:i w:val="0"/>
              </w:rPr>
              <w:t>⁶Li-bearing, 1.6 x neutron energy neutron energy multiplication</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 §5.3 has already shown, separately, that even the routes which clear unity at an assumed collection efficiency do not clear it at the delivered one.</w:t>
      </w:r>
    </w:p>
    <w:p>
      <w:pPr>
        <w:spacing w:before="240" w:after="80"/>
      </w:pPr>
      <w:r>
        <w:rPr>
          <w:b/>
          <w:sz w:val="23"/>
        </w:rPr>
        <w:t>9.2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9.3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7" name="Picture 7"/>
            <wp:cNvGraphicFramePr>
              <a:graphicFrameLocks noChangeAspect="1"/>
            </wp:cNvGraphicFramePr>
            <a:graphic>
              <a:graphicData uri="http://schemas.openxmlformats.org/drawingml/2006/picture">
                <pic:pic>
                  <pic:nvPicPr>
                    <pic:cNvPr id="0" name="fig6-coproduct.png"/>
                    <pic:cNvPicPr/>
                  </pic:nvPicPr>
                  <pic:blipFill>
                    <a:blip r:embed="rId15"/>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9.4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9.5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§9.5.</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§13.9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The bound case rests on a density no experiment has reached.</w:t>
      </w:r>
      <w:r>
        <w:rPr>
          <w:b w:val="0"/>
          <w:i w:val="0"/>
        </w:rPr>
        <w:t xml:space="preserve"> The service-life model itself is in good order: at the density that has been reached it returns 152.8 cycles against the 150 cycles measured, a ratio of 1.019. What the bound-case rows assume is a fuel density of 8.5 times liquid rather than 1.2, and carrying them back to the density reached multiplies each by 0.8038 — which takes the best device-internal figure from 1.231 to 0.990, just under unity. </w:t>
      </w:r>
      <w:r>
        <w:rPr>
          <w:b/>
          <w:i w:val="0"/>
        </w:rPr>
        <w:t>Every bound-case figure inherits that assumption</w:t>
      </w:r>
      <w:r>
        <w:rPr>
          <w:b w:val="0"/>
          <w:i w:val="0"/>
        </w:rPr>
        <w:t xml:space="preserve"> while no bred-fuel figure at demonstrated cycles does. The asymmetry is why §5 leans on the demonstrated count, and holding fuel at 8.5 times liquid is a stated experimental requirement rather than a claim.</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this paper claims, in order</w:t>
      </w:r>
    </w:p>
    <w:p>
      <w:pPr>
        <w:pStyle w:val="ListNumber"/>
      </w:pPr>
      <w:r>
        <w:rPr>
          <w:b/>
          <w:i w:val="0"/>
        </w:rPr>
        <w:t>A cold fusion reaction exists and is witnessed.</w:t>
      </w:r>
      <w:r>
        <w:rPr>
          <w:b w:val="0"/>
          <w:i w:val="0"/>
        </w:rPr>
        <w:t xml:space="preserve"> Its definition is structural, its seven conditions admit exactly one binder, and its cycle has been measured for seventy years.</w:t>
      </w:r>
    </w:p>
    <w:p>
      <w:pPr>
        <w:pStyle w:val="ListNumber"/>
      </w:pPr>
      <w:r>
        <w:rPr>
          <w:b/>
          <w:i w:val="0"/>
        </w:rPr>
        <w:t>An eighth condition decides whether it is worth running</w:t>
      </w:r>
      <w:r>
        <w:rPr>
          <w:b w:val="0"/>
          <w:i w:val="0"/>
        </w:rPr>
        <w:t>, and every term in it is measured.</w:t>
      </w:r>
    </w:p>
    <w:p>
      <w:pPr>
        <w:pStyle w:val="ListNumber"/>
      </w:pPr>
      <w:r>
        <w:rPr>
          <w:b/>
          <w:i w:val="0"/>
        </w:rPr>
        <w:t>No configuration of it is self-sustaining inside the device</w:t>
      </w:r>
      <w:r>
        <w:rPr>
          <w:b w:val="0"/>
          <w:i w:val="0"/>
        </w:rPr>
        <w:t xml:space="preserve"> at the collection efficiency the machine actually delivers, with the machine left as built.</w:t>
      </w:r>
    </w:p>
    <w:p>
      <w:pPr>
        <w:pStyle w:val="ListNumber"/>
      </w:pPr>
      <w:r>
        <w:rPr>
          <w:b/>
          <w:i w:val="0"/>
        </w:rPr>
        <w:t>One configuration is net-positive on witnessed numbers alone</w:t>
      </w:r>
      <w:r>
        <w:rPr>
          <w:b w:val="0"/>
          <w:i w:val="0"/>
        </w:rPr>
        <w:t xml:space="preserve"> — as a co-product of a beam already running, where the marginal energy per binder is zero — and it returns 85.6 kW on a one-megawatt driver.</w:t>
      </w:r>
    </w:p>
    <w:p>
      <w:pPr>
        <w:pStyle w:val="ListNumber"/>
      </w:pPr>
      <w:r>
        <w:rPr>
          <w:b/>
          <w:i w:val="0"/>
        </w:rPr>
        <w:t>One route clears unity at a witnessed cycle count for a device built for the purpose</w:t>
      </w:r>
      <w:r>
        <w:rPr>
          <w:b w:val="0"/>
          <w:i w:val="0"/>
        </w:rPr>
        <w:t>, and it is bred fuel through an optimised production target, at 1.480. Whether that target's gain is real is Stage C.</w:t>
      </w:r>
    </w:p>
    <w:p>
      <w:pPr>
        <w:pStyle w:val="ListNumber"/>
      </w:pPr>
      <w:r>
        <w:rPr>
          <w:b/>
          <w:i w:val="0"/>
        </w:rPr>
        <w:t>A device-internal route clears unity too, and only conditionally.</w:t>
      </w:r>
      <w:r>
        <w:rPr>
          <w:b w:val="0"/>
          <w:i w:val="0"/>
        </w:rPr>
        <w:t xml:space="preserve"> With the same optimised target, the heat form on the bound-case service life reaches 1.036, and 1.231 at the wider bore. It is conditional on Stage C, on a fuel density of 8.5 times liquid — at the 1.2 reached it is 0.990 instead — and on the reading of "inside the device" that counts the blanket. On the reading that counts the neutron at its bare heat, nothing here clears.</w:t>
      </w:r>
    </w:p>
    <w:p>
      <w:pPr>
        <w:pStyle w:val="ListNumber"/>
      </w:pPr>
      <w:r>
        <w:rPr>
          <w:b/>
          <w:i w:val="0"/>
        </w:rPr>
        <w:t>The materials are specified and the machine is designed</w:t>
      </w:r>
      <w:r>
        <w:rPr>
          <w:b w:val="0"/>
          <w:i w:val="0"/>
        </w:rPr>
        <w:t>, to a bill of materials and a build package rather than to a sketch.</w:t>
      </w:r>
    </w:p>
    <w:p>
      <w:pPr>
        <w:pStyle w:val="ListNumber"/>
      </w:pPr>
      <w:r>
        <w:rPr>
          <w:b/>
          <w:i w:val="0"/>
        </w:rPr>
        <w:t>The procedure that would witness the unwitnessed configuration is stated</w:t>
      </w:r>
      <w:r>
        <w:rPr>
          <w:b w:val="0"/>
          <w:i w:val="0"/>
        </w:rPr>
        <w:t>, with its predictions committed in advance and a rule that a disagreement is a refusal rather than an average.</w:t>
      </w:r>
    </w:p>
    <w:p>
      <w:pPr>
        <w:spacing w:before="160" w:after="200"/>
        <w:ind w:left="461" w:right="259"/>
      </w:pPr>
      <w:r>
        <w:rPr>
          <w:b/>
          <w:i w:val="0"/>
        </w:rPr>
        <w:t>The reaction is proved from what has been witnessed. The net-positive configuration is specified and unwitnessed. The instructions for witnessing it are §8 and §10.</w:t>
      </w:r>
      <w:r>
        <w:rPr>
          <w:b w:val="0"/>
          <w:i w:val="0"/>
        </w:rPr>
        <w:t xml:space="preserve"> That is the whole of the claim, and no part of it is larger than the measurements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8" name="Picture 8"/>
            <wp:cNvGraphicFramePr>
              <a:graphicFrameLocks noChangeAspect="1"/>
            </wp:cNvGraphicFramePr>
            <a:graphic>
              <a:graphicData uri="http://schemas.openxmlformats.org/drawingml/2006/picture">
                <pic:pic>
                  <pic:nvPicPr>
                    <pic:cNvPr id="0" name="eq-e4e6f7c1977a.png"/>
                    <pic:cNvPicPr/>
                  </pic:nvPicPr>
                  <pic:blipFill>
                    <a:blip r:embed="rId16"/>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9" name="Picture 9"/>
            <wp:cNvGraphicFramePr>
              <a:graphicFrameLocks noChangeAspect="1"/>
            </wp:cNvGraphicFramePr>
            <a:graphic>
              <a:graphicData uri="http://schemas.openxmlformats.org/drawingml/2006/picture">
                <pic:pic>
                  <pic:nvPicPr>
                    <pic:cNvPr id="0" name="eq-d8719366983b.png"/>
                    <pic:cNvPicPr/>
                  </pic:nvPicPr>
                  <pic:blipFill>
                    <a:blip r:embed="rId17"/>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 </w:t>
      </w: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