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Instructions to Tenderers</w:t>
      </w:r>
    </w:p>
    <w:p>
      <w:pPr>
        <w:pStyle w:val="Heading1"/>
      </w:pPr>
      <w:r>
        <w:t>5.1 Experience</w:t>
      </w:r>
    </w:p>
    <w:p>
      <w:r>
        <w:t>Bidders must provide details of at least one comparable contract for 150 or more items delivered in the last three years, with a customer reference, using the form at Appendix C.</w:t>
      </w:r>
    </w:p>
    <w:p>
      <w:pPr>
        <w:pStyle w:val="Heading1"/>
      </w:pPr>
      <w:r>
        <w:t>6.2 Sustainability</w:t>
      </w:r>
    </w:p>
    <w:p>
      <w:r>
        <w:t>The share of recycled material in the desks will be scored and is worth 10% of the quality score.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Criterion</w:t>
            </w:r>
          </w:p>
        </w:tc>
        <w:tc>
          <w:tcPr>
            <w:tcW w:type="dxa" w:w="4320"/>
          </w:tcPr>
          <w:p>
            <w:r>
              <w:t>Weight</w:t>
            </w:r>
          </w:p>
        </w:tc>
      </w:tr>
      <w:tr>
        <w:tc>
          <w:tcPr>
            <w:tcW w:type="dxa" w:w="4320"/>
          </w:tcPr>
          <w:p>
            <w:r>
              <w:t>Quality</w:t>
            </w:r>
          </w:p>
        </w:tc>
        <w:tc>
          <w:tcPr>
            <w:tcW w:type="dxa" w:w="4320"/>
          </w:tcPr>
          <w:p>
            <w:r>
              <w:t>60%</w:t>
            </w:r>
          </w:p>
        </w:tc>
      </w:tr>
      <w:tr>
        <w:tc>
          <w:tcPr>
            <w:tcW w:type="dxa" w:w="4320"/>
          </w:tcPr>
          <w:p>
            <w:r>
              <w:t>Price</w:t>
            </w:r>
          </w:p>
        </w:tc>
        <w:tc>
          <w:tcPr>
            <w:tcW w:type="dxa" w:w="4320"/>
          </w:tcPr>
          <w:p>
            <w:r>
              <w:t>40%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