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A9CE7A" w14:textId="77777777" w:rsidR="00DE0F99" w:rsidRDefault="00000000">
      <w:pPr>
        <w:pStyle w:val="Title"/>
        <w:keepNext w:val="0"/>
        <w:keepLines w:val="0"/>
        <w:widowControl/>
        <w:spacing w:before="0" w:after="240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t>Market Intelligence Research Brief</w:t>
      </w:r>
    </w:p>
    <w:p w14:paraId="7963039F" w14:textId="77777777" w:rsidR="00DE0F9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b/>
          <w:bCs/>
          <w:sz w:val="20"/>
        </w:rPr>
        <w:t>Student Name:</w:t>
      </w:r>
      <w:r>
        <w:rPr>
          <w:rFonts w:eastAsia="Google Sans" w:cs="Google Sans"/>
          <w:sz w:val="20"/>
        </w:rPr>
        <w:t xml:space="preserve"> </w:t>
      </w:r>
      <w:proofErr w:type="spellStart"/>
      <w:r w:rsidR="00F5149F">
        <w:rPr>
          <w:rFonts w:eastAsia="Google Sans" w:cs="Google Sans"/>
          <w:sz w:val="20"/>
        </w:rPr>
        <w:t>Chenlu</w:t>
      </w:r>
      <w:proofErr w:type="spellEnd"/>
      <w:r w:rsidR="00F5149F">
        <w:rPr>
          <w:rFonts w:eastAsia="Google Sans" w:cs="Google Sans"/>
          <w:sz w:val="20"/>
        </w:rPr>
        <w:t xml:space="preserve"> Liu </w:t>
      </w:r>
    </w:p>
    <w:p w14:paraId="668EDAC7" w14:textId="77777777" w:rsidR="00DE0F9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b/>
          <w:bCs/>
          <w:sz w:val="20"/>
        </w:rPr>
        <w:t>Date:</w:t>
      </w:r>
      <w:r>
        <w:rPr>
          <w:rFonts w:eastAsia="Google Sans" w:cs="Google Sans"/>
          <w:sz w:val="20"/>
        </w:rPr>
        <w:t xml:space="preserve"> </w:t>
      </w:r>
      <w:r w:rsidR="00F5149F">
        <w:rPr>
          <w:rFonts w:eastAsia="Google Sans" w:cs="Google Sans"/>
          <w:sz w:val="20"/>
        </w:rPr>
        <w:t>2</w:t>
      </w:r>
      <w:r w:rsidR="009F658B">
        <w:rPr>
          <w:rFonts w:eastAsia="Google Sans" w:cs="Google Sans"/>
          <w:sz w:val="20"/>
        </w:rPr>
        <w:t>4</w:t>
      </w:r>
      <w:r w:rsidR="00F5149F">
        <w:rPr>
          <w:rFonts w:eastAsia="Google Sans" w:cs="Google Sans"/>
          <w:sz w:val="20"/>
        </w:rPr>
        <w:t xml:space="preserve"> September 2026</w:t>
      </w:r>
    </w:p>
    <w:p w14:paraId="116BF36A" w14:textId="77777777" w:rsidR="00DE0F9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b/>
          <w:bCs/>
          <w:sz w:val="20"/>
        </w:rPr>
        <w:t>Topic/Company:</w:t>
      </w:r>
      <w:r>
        <w:rPr>
          <w:rFonts w:eastAsia="Google Sans" w:cs="Google Sans"/>
          <w:sz w:val="20"/>
        </w:rPr>
        <w:t xml:space="preserve"> </w:t>
      </w:r>
      <w:r w:rsidR="00940C53">
        <w:rPr>
          <w:rFonts w:eastAsia="Google Sans" w:cs="Google Sans"/>
          <w:sz w:val="20"/>
        </w:rPr>
        <w:t>B2B SAAS Competitive Landscape – Market Entry Intelligence</w:t>
      </w:r>
    </w:p>
    <w:p w14:paraId="7565EB4B" w14:textId="77777777" w:rsidR="009F658B" w:rsidRPr="00D313AB" w:rsidRDefault="009F658B" w:rsidP="009F658B">
      <w:pPr>
        <w:pStyle w:val="Heading1"/>
        <w:widowControl/>
        <w:rPr>
          <w:rFonts w:ascii="Google Sans" w:eastAsia="Google Sans" w:hAnsi="Google Sans" w:cs="Google Sans"/>
          <w:color w:val="1F1F1F"/>
        </w:rPr>
      </w:pPr>
      <w:r w:rsidRPr="00D313AB">
        <w:rPr>
          <w:rFonts w:eastAsia="Google Sans" w:cs="Google Sans"/>
        </w:rPr>
        <w:t>Business Question</w:t>
      </w:r>
    </w:p>
    <w:p w14:paraId="62008884" w14:textId="77777777" w:rsidR="009F658B" w:rsidRPr="00D313AB" w:rsidRDefault="009F658B" w:rsidP="009F658B">
      <w:pPr>
        <w:widowControl/>
        <w:rPr>
          <w:b/>
          <w:bCs/>
        </w:rPr>
      </w:pPr>
      <w:r w:rsidRPr="00D313AB">
        <w:rPr>
          <w:rFonts w:eastAsia="Calibri" w:cs="Calibri"/>
          <w:b/>
          <w:bCs/>
          <w:szCs w:val="21"/>
        </w:rPr>
        <w:t>Should we enter (or expand within) the B2B SaaS market in 2026, and if so, which segments, models, and geographies offer the best risk-adjusted opportunity?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6188"/>
      </w:tblGrid>
      <w:tr w:rsidR="009F658B" w14:paraId="122E35CE" w14:textId="77777777" w:rsidTr="00C43198">
        <w:trPr>
          <w:tblHeader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21BED" w14:textId="77777777" w:rsidR="009F658B" w:rsidRDefault="009F658B" w:rsidP="00C43198">
            <w:pPr>
              <w:spacing w:before="60" w:after="60" w:line="252" w:lineRule="auto"/>
              <w:jc w:val="center"/>
            </w:pPr>
            <w:r>
              <w:rPr>
                <w:rFonts w:eastAsia="Calibri" w:cs="Calibri"/>
                <w:b/>
                <w:bCs/>
                <w:sz w:val="20"/>
                <w:szCs w:val="19"/>
              </w:rPr>
              <w:t>DIMENSION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62320" w14:textId="77777777" w:rsidR="009F658B" w:rsidRDefault="009F658B" w:rsidP="00C43198">
            <w:pPr>
              <w:spacing w:before="60" w:after="60" w:line="252" w:lineRule="auto"/>
              <w:jc w:val="center"/>
            </w:pPr>
            <w:r>
              <w:rPr>
                <w:rFonts w:eastAsia="Calibri" w:cs="Calibri"/>
                <w:b/>
                <w:bCs/>
                <w:sz w:val="20"/>
                <w:szCs w:val="19"/>
              </w:rPr>
              <w:t>DETAIL</w:t>
            </w:r>
          </w:p>
        </w:tc>
      </w:tr>
      <w:tr w:rsidR="009F658B" w14:paraId="0D95594D" w14:textId="77777777" w:rsidTr="00C43198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2D5A3" w14:textId="77777777" w:rsidR="009F658B" w:rsidRDefault="009F658B" w:rsidP="00C43198">
            <w:pPr>
              <w:spacing w:before="60" w:after="60" w:line="252" w:lineRule="auto"/>
            </w:pPr>
            <w:proofErr w:type="gramStart"/>
            <w:r>
              <w:rPr>
                <w:rFonts w:eastAsia="Calibri" w:cs="Calibri"/>
                <w:b/>
                <w:bCs/>
                <w:sz w:val="20"/>
                <w:szCs w:val="19"/>
              </w:rPr>
              <w:t>Decision-Maker</w:t>
            </w:r>
            <w:proofErr w:type="gramEnd"/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A91B9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sz w:val="20"/>
                <w:szCs w:val="19"/>
              </w:rPr>
              <w:t>Chief Strategy Officer / Chief Product Officer evaluating go/no-go market entry and investment allocation</w:t>
            </w:r>
          </w:p>
        </w:tc>
      </w:tr>
      <w:tr w:rsidR="009F658B" w14:paraId="657A702A" w14:textId="77777777" w:rsidTr="00C43198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F9273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b/>
                <w:bCs/>
                <w:sz w:val="20"/>
                <w:szCs w:val="19"/>
              </w:rPr>
              <w:t>Scope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21773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sz w:val="20"/>
                <w:szCs w:val="19"/>
              </w:rPr>
              <w:t>Global B2B SaaS across all major application categories (CRM, ERP, cybersecurity, AI/ML, collaboration, analytics, HR/HCM, vertical SaaS); 2024–2032 projections with primary focus on 2025–2026</w:t>
            </w:r>
          </w:p>
        </w:tc>
      </w:tr>
      <w:tr w:rsidR="009F658B" w14:paraId="1FFCFD79" w14:textId="77777777" w:rsidTr="00C43198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DEFD9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b/>
                <w:bCs/>
                <w:sz w:val="20"/>
                <w:szCs w:val="19"/>
              </w:rPr>
              <w:t>Data Sources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72395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sz w:val="20"/>
                <w:szCs w:val="19"/>
              </w:rPr>
              <w:t>Internal dataset (500 B2B SaaS companies — descriptive fields only) + 5 external research reports (market sizing, concentration, pricing evolution, growth categories, risks/headwinds)</w:t>
            </w:r>
          </w:p>
        </w:tc>
      </w:tr>
      <w:tr w:rsidR="009F658B" w14:paraId="17E1E6C0" w14:textId="77777777" w:rsidTr="00C43198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4C57A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b/>
                <w:bCs/>
                <w:sz w:val="20"/>
                <w:szCs w:val="19"/>
              </w:rPr>
              <w:t>Methodology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8ADD7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sz w:val="20"/>
                <w:szCs w:val="19"/>
              </w:rPr>
              <w:t>Cross-source triangulation — every insight requires at least one [Internal Dataset] and one [External Research] data point, with explicit source tagging</w:t>
            </w:r>
          </w:p>
        </w:tc>
      </w:tr>
      <w:tr w:rsidR="009F658B" w14:paraId="11E856FA" w14:textId="77777777" w:rsidTr="00C43198"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E1ED4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b/>
                <w:bCs/>
                <w:sz w:val="20"/>
                <w:szCs w:val="19"/>
              </w:rPr>
              <w:t>Key Constraint</w:t>
            </w:r>
          </w:p>
        </w:tc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8501" w14:textId="77777777" w:rsidR="009F658B" w:rsidRDefault="009F658B" w:rsidP="00C43198">
            <w:pPr>
              <w:spacing w:before="60" w:after="60" w:line="252" w:lineRule="auto"/>
            </w:pPr>
            <w:r>
              <w:rPr>
                <w:rFonts w:eastAsia="Calibri" w:cs="Calibri"/>
                <w:sz w:val="20"/>
                <w:szCs w:val="19"/>
              </w:rPr>
              <w:t>Internal dataset contains no revenue, ARR, churn, or pricing data; all financial figures are anchored to external research</w:t>
            </w:r>
          </w:p>
        </w:tc>
      </w:tr>
    </w:tbl>
    <w:p w14:paraId="195D5F9B" w14:textId="77777777" w:rsidR="00443CCA" w:rsidRDefault="00443CCA">
      <w:pPr>
        <w:widowControl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sz w:val="20"/>
        </w:rPr>
        <w:t>SPACE:</w:t>
      </w:r>
    </w:p>
    <w:p w14:paraId="2E298C49" w14:textId="77777777" w:rsidR="00443CCA" w:rsidRDefault="00443CCA" w:rsidP="00443CCA">
      <w:pPr>
        <w:widowControl/>
        <w:spacing w:after="80"/>
      </w:pPr>
      <w:r w:rsidRPr="00975149">
        <w:rPr>
          <w:sz w:val="20"/>
        </w:rPr>
        <w:t>us-west-2.quicksight.aws.amazon.com/sn/account/UdacityQuicksightLab/spaces/c19fb809-c459-4131-9e98-4cfae656e574</w:t>
      </w:r>
    </w:p>
    <w:p w14:paraId="0AF7913B" w14:textId="77777777" w:rsidR="00DE0F99" w:rsidRDefault="00B752FF">
      <w:pPr>
        <w:pStyle w:val="Heading1"/>
        <w:pageBreakBefore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lastRenderedPageBreak/>
        <w:t>1. Research Objective</w:t>
      </w:r>
    </w:p>
    <w:p w14:paraId="568B4D90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Briefly describe the business question or decision this market intelligence is intended to support.</w:t>
      </w:r>
    </w:p>
    <w:p w14:paraId="392B71F1" w14:textId="77777777" w:rsidR="009F658B" w:rsidRDefault="00000000" w:rsidP="009F658B">
      <w:pPr>
        <w:pStyle w:val="NormalWeb"/>
        <w:spacing w:before="0"/>
        <w:rPr>
          <w:sz w:val="27"/>
          <w:szCs w:val="27"/>
        </w:rPr>
      </w:pPr>
      <w:r>
        <w:rPr>
          <w:rFonts w:eastAsia="Google Sans" w:cs="Google Sans"/>
          <w:b/>
          <w:bCs/>
        </w:rPr>
        <w:t>Objective:</w:t>
      </w:r>
      <w:r>
        <w:rPr>
          <w:rFonts w:eastAsia="Google Sans" w:cs="Google Sans"/>
        </w:rPr>
        <w:t xml:space="preserve"> </w:t>
      </w:r>
      <w:r w:rsidR="009F658B">
        <w:rPr>
          <w:szCs w:val="27"/>
        </w:rPr>
        <w:t>Determine whether to enter (or expand within) the B2B SaaS market in 2026, identifying which segments, pricing models, and geographies offer the best risk-adjusted opportunity for C-suite go/no-go investment decisions.</w:t>
      </w:r>
    </w:p>
    <w:p w14:paraId="52BF0237" w14:textId="77777777" w:rsidR="00DE0F99" w:rsidRDefault="00B752FF">
      <w:pPr>
        <w:pStyle w:val="Heading1"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t>2. Scope of Research</w:t>
      </w:r>
    </w:p>
    <w:p w14:paraId="04C4E5C1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Define what was included and excluded in this research.</w:t>
      </w:r>
    </w:p>
    <w:p w14:paraId="10AED490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Markets or industries covered:</w:t>
      </w:r>
      <w:r>
        <w:t xml:space="preserve"> Global B2B SaaS across all major application categories — CRM, ERP, cybersecurity, AI/ML, collaboration, analytics, HR/HCM, and vertical SaaS</w:t>
      </w:r>
    </w:p>
    <w:p w14:paraId="1E1D5BAD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Competitor types included:</w:t>
      </w:r>
      <w:r>
        <w:t xml:space="preserve"> </w:t>
      </w:r>
      <w:proofErr w:type="spellStart"/>
      <w:r>
        <w:t>Hyperscalers</w:t>
      </w:r>
      <w:proofErr w:type="spellEnd"/>
      <w:r>
        <w:t xml:space="preserve"> (Microsoft, AWS, Google), pure-play SaaS leaders (Salesforce, ServiceNow, Workday), AI-native startups, and niche/vertical SaaS providers across 500 companies in the internal dataset</w:t>
      </w:r>
    </w:p>
    <w:p w14:paraId="6752BAA3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Timeframe considered:</w:t>
      </w:r>
      <w:r>
        <w:t xml:space="preserve"> 2024–2032 projections with primary focus on 2025–2026 market conditions</w:t>
      </w:r>
    </w:p>
    <w:p w14:paraId="6BCEE14B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Key constraints:</w:t>
      </w:r>
      <w:r>
        <w:t xml:space="preserve"> Internal dataset contains only descriptive fields (name, URL, type, category, keywords, description) — no revenue, ARR, churn, headcount, or funding data; all financial figures anchored to external research reports; research compiled primarily before September 2026 Fed rate increase</w:t>
      </w:r>
    </w:p>
    <w:p w14:paraId="7AA5F187" w14:textId="77777777" w:rsidR="00DE0F99" w:rsidRDefault="00B752FF">
      <w:pPr>
        <w:pStyle w:val="Heading1"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t>3. Research Approach</w:t>
      </w:r>
    </w:p>
    <w:p w14:paraId="4B2FCED7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Summarize how AI-assisted research was conducted.</w:t>
      </w:r>
    </w:p>
    <w:p w14:paraId="041EDF42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Types of questions asked:</w:t>
      </w:r>
      <w:r>
        <w:t xml:space="preserve"> Market sizing and growth trajectory questions; segment-level concentration and competitive dynamics; pricing model evolution and adoption rates; unit economics benchmarks (CAC, NRR, Magic Number); geographic growth differentials; AI adoption prevalence and impact</w:t>
      </w:r>
    </w:p>
    <w:p w14:paraId="2F678F97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How research effort was prioritized:</w:t>
      </w:r>
      <w:r>
        <w:t xml:space="preserve"> Cross-source triangulation methodology — every insight required at least one [Internal Dataset] and one [External Research] data point with explicit source tagging; highest priority given to signals with convergence across 3+ independent sources</w:t>
      </w:r>
    </w:p>
    <w:p w14:paraId="32FC5891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Tools used within Amazon Quick Suite:</w:t>
      </w:r>
      <w:r>
        <w:t xml:space="preserve"> Quick Research (5 external research reports on market sizing, concentration, pricing evolution, growth categories, and risks/headwinds), Amazon Q Chat Agent (synthesis and analysis), Spaces (Market Intelligence — B2B SaaS space with 500-company dataset.csv and indexed research PDFs), Internal Dataset analysis (keyword frequency, category distribution, business model classification)</w:t>
      </w:r>
    </w:p>
    <w:p w14:paraId="15DE7BCF" w14:textId="77777777" w:rsidR="00DE0F99" w:rsidRDefault="00B752FF">
      <w:pPr>
        <w:pStyle w:val="Heading1"/>
        <w:pageBreakBefore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lastRenderedPageBreak/>
        <w:t>4. Key Market Insights</w:t>
      </w:r>
    </w:p>
    <w:p w14:paraId="13407278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List 3–5 synthesized insights relevant to leadership decision-making.</w:t>
      </w:r>
    </w:p>
    <w:p w14:paraId="2A7416E6" w14:textId="77777777" w:rsidR="009F658B" w:rsidRDefault="00000000" w:rsidP="009F658B">
      <w:pPr>
        <w:pStyle w:val="Heading2"/>
        <w:widowControl/>
      </w:pPr>
      <w:r>
        <w:rPr>
          <w:rFonts w:eastAsia="Google Sans" w:cs="Google Sans"/>
        </w:rPr>
        <w:t>Insight 1</w:t>
      </w:r>
      <w:r w:rsidR="009F658B">
        <w:rPr>
          <w:rFonts w:eastAsia="Google Sans" w:cs="Google Sans"/>
        </w:rPr>
        <w:t>:</w:t>
      </w:r>
      <w:r w:rsidR="009F658B" w:rsidRPr="009F658B">
        <w:t xml:space="preserve"> </w:t>
      </w:r>
      <w:r w:rsidR="009F658B">
        <w:t>AI/ML SaaS Is the Runaway Growth Category (~35% CAGR)</w:t>
      </w:r>
    </w:p>
    <w:p w14:paraId="429F3CF6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Insight Summary:</w:t>
      </w:r>
      <w:r>
        <w:t xml:space="preserve"> AI/ML is the dominant growth engine in B2B SaaS, with AI-as-a-Service projected to grow from $20.26B (2025) to $91.20B (2030) at 35.1% CAGR — more than double any other category.</w:t>
      </w:r>
    </w:p>
    <w:p w14:paraId="71F2872D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Supporting Evidence or Signals:</w:t>
      </w:r>
      <w:r>
        <w:t xml:space="preserve"> 51%+ of the 500 companies in the internal dataset reference AI/ML keywords [Internal Dataset]; enterprise AI spending surged 6× to $13.8B in 2024; 46% of companies report AI productivity at scale; 35% of teams have already replaced at least one SaaS product with an AI-built tool [External Research].</w:t>
      </w:r>
    </w:p>
    <w:p w14:paraId="0038B313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Why This Insight Matters:</w:t>
      </w:r>
      <w:r>
        <w:t xml:space="preserve"> AI is no longer a feature add-on — it is the primary growth engine reshaping every SaaS category. Any market-entry strategy that does not embed AI-native capabilities from day one risks irrelevance before first renewal.</w:t>
      </w:r>
    </w:p>
    <w:p w14:paraId="1A3A9EC5" w14:textId="77777777" w:rsidR="009F658B" w:rsidRDefault="00000000" w:rsidP="009F658B">
      <w:pPr>
        <w:pStyle w:val="Heading2"/>
        <w:widowControl/>
      </w:pPr>
      <w:r>
        <w:rPr>
          <w:rFonts w:eastAsia="Google Sans" w:cs="Google Sans"/>
        </w:rPr>
        <w:t>Insight 2</w:t>
      </w:r>
      <w:r w:rsidR="009F658B">
        <w:rPr>
          <w:rFonts w:eastAsia="Google Sans" w:cs="Google Sans"/>
        </w:rPr>
        <w:t>:</w:t>
      </w:r>
      <w:r w:rsidR="009F658B" w:rsidRPr="009F658B">
        <w:t xml:space="preserve"> </w:t>
      </w:r>
      <w:r w:rsidR="009F658B">
        <w:t xml:space="preserve">Market Is Moderately </w:t>
      </w:r>
      <w:proofErr w:type="gramStart"/>
      <w:r w:rsidR="009F658B">
        <w:t>Concentrated</w:t>
      </w:r>
      <w:proofErr w:type="gramEnd"/>
      <w:r w:rsidR="009F658B">
        <w:t xml:space="preserve"> but Segment-Level Variation Is Extreme (HHI 500–600)</w:t>
      </w:r>
    </w:p>
    <w:p w14:paraId="55E9AE41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Insight Summary:</w:t>
      </w:r>
      <w:r>
        <w:t xml:space="preserve"> Overall B2B SaaS market concentration is moderate (HHI 500–600), but segment-level variation is extreme — HR/HCM </w:t>
      </w:r>
      <w:proofErr w:type="gramStart"/>
      <w:r>
        <w:t>top-3</w:t>
      </w:r>
      <w:proofErr w:type="gramEnd"/>
      <w:r>
        <w:t xml:space="preserve"> vendors hold 77% share while cybersecurity </w:t>
      </w:r>
      <w:proofErr w:type="gramStart"/>
      <w:r>
        <w:t>top-3</w:t>
      </w:r>
      <w:proofErr w:type="gramEnd"/>
      <w:r>
        <w:t xml:space="preserve"> hold only ~15%.</w:t>
      </w:r>
    </w:p>
    <w:p w14:paraId="00CECEC9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Supporting Evidence or Signals:</w:t>
      </w:r>
      <w:r>
        <w:t xml:space="preserve"> "Software" = 239 companies (47.8%); cybersecurity = 21 (4.2%) yet 70 (14.0%) reference security keywords [Internal Dataset]; Microsoft $168.9B cloud revenue vs. Salesforce $41.5B; HR/HCM </w:t>
      </w:r>
      <w:proofErr w:type="gramStart"/>
      <w:r>
        <w:t>top-3</w:t>
      </w:r>
      <w:proofErr w:type="gramEnd"/>
      <w:r>
        <w:t xml:space="preserve"> hold 77% share vs. cybersecurity </w:t>
      </w:r>
      <w:proofErr w:type="gramStart"/>
      <w:r>
        <w:t>top-3</w:t>
      </w:r>
      <w:proofErr w:type="gramEnd"/>
      <w:r>
        <w:t xml:space="preserve"> at ~15% [External Research].</w:t>
      </w:r>
    </w:p>
    <w:p w14:paraId="18DFB28A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Why This Insight Matters:</w:t>
      </w:r>
      <w:r>
        <w:t xml:space="preserve"> Fragmented segments (cybersecurity, marketing automation) represent entry opportunities with lower incumbent lock-in. Cybersecurity's combination of fragmentation, non-discretionary demand, and regulatory mandates makes it the most defensible entry point for new players.</w:t>
      </w:r>
    </w:p>
    <w:p w14:paraId="58D1107B" w14:textId="77777777" w:rsidR="009F658B" w:rsidRDefault="00000000" w:rsidP="009F658B">
      <w:pPr>
        <w:pStyle w:val="Heading2"/>
        <w:widowControl/>
      </w:pPr>
      <w:r>
        <w:rPr>
          <w:rFonts w:eastAsia="Google Sans" w:cs="Google Sans"/>
        </w:rPr>
        <w:t>Insight 3</w:t>
      </w:r>
      <w:r w:rsidR="009F658B">
        <w:rPr>
          <w:rFonts w:eastAsia="Google Sans" w:cs="Google Sans"/>
        </w:rPr>
        <w:t>:</w:t>
      </w:r>
      <w:r w:rsidR="009F658B" w:rsidRPr="009F658B">
        <w:t xml:space="preserve"> </w:t>
      </w:r>
      <w:r w:rsidR="009F658B">
        <w:t>Hybrid Pricing Is the New Default (27% → 41% in 12 Months)</w:t>
      </w:r>
    </w:p>
    <w:p w14:paraId="67721470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Insight Summary:</w:t>
      </w:r>
      <w:r>
        <w:t xml:space="preserve"> Hybrid pricing adoption surged from 27% to 41% in just 12 months, with hybrid models delivering 21% median revenue growth compared to 14% for pure subscription.</w:t>
      </w:r>
    </w:p>
    <w:p w14:paraId="1E86F571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Supporting Evidence or Signals:</w:t>
      </w:r>
      <w:r>
        <w:t xml:space="preserve"> Dataset includes both traditional subscription models (Salesforce, Atlassian) and usage/AI-native models (OpenAI, Hugging Face); 34.6% hybrid B2B+B2C business models [Internal Dataset]; 85% of SaaS companies implementing usage-based pricing; hybrid models achieve 21% median revenue growth vs. 14% pure subscription [External Research].</w:t>
      </w:r>
    </w:p>
    <w:p w14:paraId="3A82A0FB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Why This Insight Matters:</w:t>
      </w:r>
      <w:r>
        <w:t xml:space="preserve"> New entrants must build metering and billing infrastructure from inception. Seat-based pricing launched in 2026 is a strategic liability. The 21% growth advantage for hybrid models is a non-negotiable design decision.</w:t>
      </w:r>
    </w:p>
    <w:p w14:paraId="4066881D" w14:textId="77777777" w:rsidR="009F658B" w:rsidRDefault="009F658B" w:rsidP="009F658B">
      <w:pPr>
        <w:pStyle w:val="Heading2"/>
        <w:pageBreakBefore/>
        <w:widowControl/>
      </w:pPr>
      <w:r>
        <w:lastRenderedPageBreak/>
        <w:t xml:space="preserve">Insight </w:t>
      </w:r>
      <w:proofErr w:type="gramStart"/>
      <w:r>
        <w:t>4 :</w:t>
      </w:r>
      <w:proofErr w:type="gramEnd"/>
      <w:r>
        <w:t xml:space="preserve"> Unit Economics Have Deteriorated to Historically Hostile Levels</w:t>
      </w:r>
    </w:p>
    <w:p w14:paraId="38808C97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Insight Summary:</w:t>
      </w:r>
      <w:r>
        <w:t xml:space="preserve"> SaaS unit economics have deteriorated sharply — CAC surged ~222%, Magic Number collapsed from 0.54× to 0.36×, and NRR declined from 110.5% to 107.1%, while VC funding collapsed 67%.</w:t>
      </w:r>
    </w:p>
    <w:p w14:paraId="369E3E58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Supporting Evidence or Signals:</w:t>
      </w:r>
      <w:r>
        <w:t xml:space="preserve"> 500 companies spanning seed to enterprise concentrated in competitive horizontal categories (Software: 47.8%) [Internal Dataset]; CAC surged ~222%; Magic Number collapsed 0.54× → 0.36×; NRR declined 110.5% → 107.1%; VC funds collapsed 67% (1,609 → 537); 65% of Q1 2026 VC capital flowed to 4 AI mega-companies [External Research].</w:t>
      </w:r>
    </w:p>
    <w:p w14:paraId="6FCA865D" w14:textId="77777777" w:rsidR="009F658B" w:rsidRDefault="009F658B" w:rsidP="009F658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Why This Insight Matters:</w:t>
      </w:r>
      <w:r>
        <w:t xml:space="preserve"> The capital environment is structurally hostile to non-AI-native startups. Product-led growth and capital efficiency are survival imperatives, not differentiators. Paid acquisition at current CPMs (LinkedIn up ~185%) is a near-certain path to cash depletion.</w:t>
      </w:r>
    </w:p>
    <w:p w14:paraId="47919A2A" w14:textId="77777777" w:rsidR="00954A40" w:rsidRDefault="00954A40" w:rsidP="00954A40">
      <w:pPr>
        <w:pStyle w:val="Heading2"/>
        <w:widowControl/>
      </w:pPr>
      <w:r>
        <w:t xml:space="preserve">Insight </w:t>
      </w:r>
      <w:proofErr w:type="gramStart"/>
      <w:r>
        <w:t>5 :</w:t>
      </w:r>
      <w:proofErr w:type="gramEnd"/>
      <w:r>
        <w:t xml:space="preserve"> Asia-Pacific Is the Highest-Growth Geographic Frontier (AI at 43% CAGR)</w:t>
      </w:r>
    </w:p>
    <w:p w14:paraId="37D42B2E" w14:textId="77777777" w:rsidR="00954A40" w:rsidRDefault="00954A40" w:rsidP="00954A4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Insight Summary:</w:t>
      </w:r>
      <w:r>
        <w:t xml:space="preserve"> APAC represents the fastest-growing geographic opportunity with AI SaaS at 43% CAGR and analytics at 28.1% CAGR, significantly outpacing North American growth rates.</w:t>
      </w:r>
    </w:p>
    <w:p w14:paraId="61894918" w14:textId="77777777" w:rsidR="00954A40" w:rsidRDefault="00954A40" w:rsidP="00954A4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Supporting Evidence or Signals:</w:t>
      </w:r>
      <w:r>
        <w:t xml:space="preserve"> Dataset skews heavily North American/English-language with minimal APAC representation — flagging curation bias [Internal Dataset]; APAC SaaS market ~$85.7B (2025) at 15.3% CAGR; APAC AI CAGR 43% vs. North America 35%; APAC analytics CAGR 28.1% vs. NA 15% [External Research].</w:t>
      </w:r>
    </w:p>
    <w:p w14:paraId="6AC5FF33" w14:textId="77777777" w:rsidR="00954A40" w:rsidRDefault="00954A40" w:rsidP="00954A4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Why This Insight Matters:</w:t>
      </w:r>
      <w:r>
        <w:t xml:space="preserve"> Organizations focused exclusively on North America miss the fastest-growing opportunity. APAC warrants dedicated regional strategy as a Phase 2 growth vector, not an afterthought.</w:t>
      </w:r>
    </w:p>
    <w:p w14:paraId="48DC2D6E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(Copy and paste additional insight blocks if needed)</w:t>
      </w:r>
    </w:p>
    <w:p w14:paraId="41C7B000" w14:textId="77777777" w:rsidR="00DE0F99" w:rsidRDefault="00B752FF">
      <w:pPr>
        <w:pStyle w:val="Heading1"/>
        <w:pageBreakBefore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lastRenderedPageBreak/>
        <w:t>5. Visual Evidence (Optional but Recommended)</w:t>
      </w:r>
    </w:p>
    <w:p w14:paraId="24B7BE14" w14:textId="77777777" w:rsidR="00954A40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Reference any charts, dashboards, or visualizations used to support the insights.</w:t>
      </w:r>
    </w:p>
    <w:p w14:paraId="3803C315" w14:textId="77777777" w:rsidR="00954A40" w:rsidRDefault="00954A40">
      <w:pPr>
        <w:pStyle w:val="Heading2"/>
        <w:widowControl/>
        <w:spacing w:before="240"/>
        <w:rPr>
          <w:rFonts w:ascii="Helvetica Neue" w:hAnsi="Helvetica Neue" w:cs="Helvetica Neue"/>
          <w:sz w:val="28"/>
          <w:szCs w:val="28"/>
          <w:lang w:val="en-GB"/>
        </w:rPr>
      </w:pPr>
      <w:r>
        <w:rPr>
          <w:rFonts w:cs="Helvetica Neue"/>
          <w:szCs w:val="28"/>
          <w:lang w:val="en-GB"/>
        </w:rPr>
        <w:t>Chart A — Industry Category Distribution:</w:t>
      </w:r>
    </w:p>
    <w:p w14:paraId="035FD0DA" w14:textId="77777777" w:rsidR="003E3CF0" w:rsidRDefault="003E3CF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t xml:space="preserve">Chart Type: Horizontal Bar </w:t>
      </w:r>
    </w:p>
    <w:p w14:paraId="0DDBF4F8" w14:textId="77777777" w:rsidR="003E3CF0" w:rsidRDefault="003E3CF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noProof/>
        </w:rPr>
        <w:drawing>
          <wp:inline distT="0" distB="0" distL="0" distR="0" wp14:anchorId="74A2EC99" wp14:editId="5201EC25">
            <wp:extent cx="5943600" cy="2230755"/>
            <wp:effectExtent l="0" t="0" r="0" b="4445"/>
            <wp:docPr id="552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113" name="Picture 55250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834B" w14:textId="77777777" w:rsidR="003E3CF0" w:rsidRDefault="003E3CF0" w:rsidP="003E3CF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What the visualization shows:</w:t>
      </w:r>
      <w:r>
        <w:t xml:space="preserve"> Distribution of the 500 companies across industry categories (Software, Technology, Cybersecurity, Analytics, Marketing, etc.), revealing that "Software" dominates at 47.8% while cybersecurity (4.2%), healthcare (0.8%), and financial services (0.6%) are under-represented.</w:t>
      </w:r>
    </w:p>
    <w:p w14:paraId="3426ACBD" w14:textId="77777777" w:rsidR="003E3CF0" w:rsidRDefault="003E3CF0" w:rsidP="003E3CF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How it supports the insight:</w:t>
      </w:r>
      <w:r>
        <w:t xml:space="preserve"> Supports Insight 2 (Market Concentration) by visually demonstrating the extreme category imbalance and identifying potential curation bias in the dataset.</w:t>
      </w:r>
    </w:p>
    <w:p w14:paraId="4ABD95FE" w14:textId="77777777" w:rsidR="003E3CF0" w:rsidRPr="003E3CF0" w:rsidRDefault="003E3CF0">
      <w:pPr>
        <w:pStyle w:val="Heading2"/>
        <w:pageBreakBefore/>
        <w:widowControl/>
        <w:spacing w:before="240"/>
        <w:rPr>
          <w:rFonts w:ascii="Helvetica Neue" w:hAnsi="Helvetica Neue" w:cs="Helvetica Neue"/>
          <w:sz w:val="28"/>
          <w:szCs w:val="28"/>
          <w:lang w:val="en-GB"/>
        </w:rPr>
      </w:pPr>
      <w:r w:rsidRPr="003E3CF0">
        <w:rPr>
          <w:rFonts w:cs="Helvetica Neue"/>
          <w:szCs w:val="28"/>
          <w:lang w:val="en-GB"/>
        </w:rPr>
        <w:lastRenderedPageBreak/>
        <w:t xml:space="preserve">Chart </w:t>
      </w:r>
      <w:proofErr w:type="gramStart"/>
      <w:r w:rsidRPr="003E3CF0">
        <w:rPr>
          <w:rFonts w:cs="Helvetica Neue"/>
          <w:szCs w:val="28"/>
          <w:lang w:val="en-GB"/>
        </w:rPr>
        <w:t>B :</w:t>
      </w:r>
      <w:proofErr w:type="gramEnd"/>
      <w:r w:rsidRPr="003E3CF0">
        <w:rPr>
          <w:rFonts w:cs="Helvetica Neue"/>
          <w:szCs w:val="28"/>
          <w:lang w:val="en-GB"/>
        </w:rPr>
        <w:t xml:space="preserve"> Business Model Distribution </w:t>
      </w:r>
      <w:proofErr w:type="gramStart"/>
      <w:r w:rsidRPr="003E3CF0">
        <w:rPr>
          <w:rFonts w:cs="Helvetica Neue"/>
          <w:szCs w:val="28"/>
          <w:lang w:val="en-GB"/>
        </w:rPr>
        <w:t>( 500</w:t>
      </w:r>
      <w:proofErr w:type="gramEnd"/>
      <w:r w:rsidRPr="003E3CF0">
        <w:rPr>
          <w:rFonts w:cs="Helvetica Neue"/>
          <w:szCs w:val="28"/>
          <w:lang w:val="en-GB"/>
        </w:rPr>
        <w:t xml:space="preserve"> Companies) </w:t>
      </w:r>
    </w:p>
    <w:p w14:paraId="6630081D" w14:textId="77777777" w:rsidR="003E3CF0" w:rsidRDefault="003E3CF0" w:rsidP="003E3CF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noProof/>
        </w:rPr>
        <w:drawing>
          <wp:inline distT="0" distB="0" distL="0" distR="0" wp14:anchorId="0A94653C" wp14:editId="09B7248D">
            <wp:extent cx="5943600" cy="2724150"/>
            <wp:effectExtent l="0" t="0" r="0" b="6350"/>
            <wp:docPr id="673702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2879" name="Picture 6737028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2E61" w14:textId="77777777" w:rsidR="003E3CF0" w:rsidRDefault="003E3CF0" w:rsidP="003E3CF0">
      <w:pPr>
        <w:pStyle w:val="ListParagraph"/>
        <w:keepNext/>
        <w:numPr>
          <w:ilvl w:val="0"/>
          <w:numId w:val="12"/>
        </w:numPr>
        <w:spacing w:before="0"/>
        <w:ind w:left="259" w:hanging="259"/>
      </w:pPr>
      <w:r>
        <w:rPr>
          <w:b/>
        </w:rPr>
        <w:t>Chart Type:</w:t>
      </w:r>
      <w:r>
        <w:t xml:space="preserve"> Pie/donut chart</w:t>
      </w:r>
    </w:p>
    <w:p w14:paraId="2A642405" w14:textId="77777777" w:rsidR="003E3CF0" w:rsidRDefault="003E3CF0" w:rsidP="003E3CF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What the visualization shows:</w:t>
      </w:r>
      <w:r>
        <w:t xml:space="preserve"> Business model split across the 500 companies — B2B, B2C, and hybrid B2B+B2C models, showing 34.6% operate hybrid models alongside pure B2B and B2C players.</w:t>
      </w:r>
    </w:p>
    <w:p w14:paraId="5EC6930E" w14:textId="77777777" w:rsidR="003E3CF0" w:rsidRDefault="003E3CF0" w:rsidP="003E3CF0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How it supports the insight:</w:t>
      </w:r>
      <w:r>
        <w:t xml:space="preserve"> Supports Insight 3 (Hybrid Pricing) by showing the prevalence of hybrid business models in the dataset, reinforcing external research on the shift away from pure subscription pricing.</w:t>
      </w:r>
    </w:p>
    <w:p w14:paraId="0304659E" w14:textId="77777777" w:rsidR="003E3CF0" w:rsidRPr="00BE2E1C" w:rsidRDefault="003E3CF0" w:rsidP="003E3CF0">
      <w:pPr>
        <w:pStyle w:val="Heading2"/>
        <w:pageBreakBefore/>
        <w:widowControl/>
        <w:spacing w:before="240"/>
        <w:rPr>
          <w:rFonts w:ascii="Helvetica Neue" w:hAnsi="Helvetica Neue" w:cs="Helvetica Neue"/>
          <w:sz w:val="28"/>
          <w:szCs w:val="28"/>
          <w:lang w:val="en-GB"/>
        </w:rPr>
      </w:pPr>
      <w:r w:rsidRPr="00BE2E1C">
        <w:rPr>
          <w:rFonts w:cs="Helvetica Neue"/>
          <w:szCs w:val="28"/>
          <w:lang w:val="en-GB"/>
        </w:rPr>
        <w:lastRenderedPageBreak/>
        <w:t xml:space="preserve">Chart </w:t>
      </w:r>
      <w:proofErr w:type="gramStart"/>
      <w:r w:rsidRPr="00BE2E1C">
        <w:rPr>
          <w:rFonts w:cs="Helvetica Neue"/>
          <w:szCs w:val="28"/>
          <w:lang w:val="en-GB"/>
        </w:rPr>
        <w:t>C :</w:t>
      </w:r>
      <w:proofErr w:type="gramEnd"/>
      <w:r w:rsidRPr="00BE2E1C">
        <w:rPr>
          <w:rFonts w:cs="Helvetica Neue"/>
          <w:szCs w:val="28"/>
          <w:lang w:val="en-GB"/>
        </w:rPr>
        <w:t xml:space="preserve"> </w:t>
      </w:r>
      <w:r w:rsidR="00BE2E1C" w:rsidRPr="00BE2E1C">
        <w:rPr>
          <w:rFonts w:cs="Helvetica Neue"/>
          <w:szCs w:val="28"/>
          <w:lang w:val="en-GB"/>
        </w:rPr>
        <w:t xml:space="preserve">Top 15 keyword Frequencies Across 500 Companies </w:t>
      </w:r>
    </w:p>
    <w:p w14:paraId="5ABB1698" w14:textId="77777777" w:rsidR="00BE2E1C" w:rsidRDefault="00BE2E1C" w:rsidP="003E3CF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  <w:noProof/>
        </w:rPr>
        <w:drawing>
          <wp:inline distT="0" distB="0" distL="0" distR="0" wp14:anchorId="4155E651" wp14:editId="09D33A2F">
            <wp:extent cx="5943600" cy="2334895"/>
            <wp:effectExtent l="0" t="0" r="0" b="1905"/>
            <wp:docPr id="79380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0345" name="Picture 793803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A7E7" w14:textId="77777777" w:rsidR="00BE2E1C" w:rsidRDefault="00BE2E1C" w:rsidP="00BE2E1C">
      <w:pPr>
        <w:pStyle w:val="ListParagraph"/>
        <w:keepNext/>
        <w:numPr>
          <w:ilvl w:val="0"/>
          <w:numId w:val="12"/>
        </w:numPr>
        <w:spacing w:before="0"/>
        <w:ind w:left="259" w:hanging="259"/>
      </w:pPr>
      <w:r>
        <w:rPr>
          <w:b/>
        </w:rPr>
        <w:t>Chart Type:</w:t>
      </w:r>
      <w:r>
        <w:t xml:space="preserve"> Horizontal bar chart (Top 15)</w:t>
      </w:r>
    </w:p>
    <w:p w14:paraId="085C1BDE" w14:textId="77777777" w:rsidR="00BE2E1C" w:rsidRDefault="00BE2E1C" w:rsidP="00BE2E1C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What the visualization shows:</w:t>
      </w:r>
      <w:r>
        <w:t xml:space="preserve"> Frequency of top keywords across the 500 companies, with AI/ML-related terms appearing in 51%+ of company descriptions, followed by security, analytics, cloud, and automation keywords.</w:t>
      </w:r>
    </w:p>
    <w:p w14:paraId="50A5CA0C" w14:textId="77777777" w:rsidR="00BE2E1C" w:rsidRDefault="00BE2E1C" w:rsidP="00BE2E1C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How it supports the insight:</w:t>
      </w:r>
      <w:r>
        <w:t xml:space="preserve"> Supports Insight 1 (AI/ML Growth) by quantifying the dominance of AI/ML signals across the competitive landscape and showing the breadth of AI integration across SaaS categories.</w:t>
      </w:r>
    </w:p>
    <w:p w14:paraId="03450342" w14:textId="77777777" w:rsidR="00DE0F99" w:rsidRDefault="00B752FF">
      <w:pPr>
        <w:pStyle w:val="Heading1"/>
        <w:pageBreakBefore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lastRenderedPageBreak/>
        <w:t>6. Confidence Assessment</w:t>
      </w:r>
    </w:p>
    <w:p w14:paraId="099AA6BD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Evaluate the reliability of the insights using the criteria below.</w:t>
      </w:r>
    </w:p>
    <w:p w14:paraId="0CFB5724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Source quality:</w:t>
      </w:r>
      <w:r>
        <w:t xml:space="preserve"> Mixed quality across sources. Insights #1 and #2 draw on high-quality sources (McKinsey, Gartner, </w:t>
      </w:r>
      <w:proofErr w:type="spellStart"/>
      <w:r>
        <w:t>MarketsandMarkets</w:t>
      </w:r>
      <w:proofErr w:type="spellEnd"/>
      <w:r>
        <w:t>, public earnings filings, DOJ HHI methodology combined with internal dataset analysis). Insights #3 and #4 rely on medium-</w:t>
      </w:r>
      <w:proofErr w:type="gramStart"/>
      <w:r>
        <w:t>high quality</w:t>
      </w:r>
      <w:proofErr w:type="gramEnd"/>
      <w:r>
        <w:t xml:space="preserve"> sources (Growth Unhinged surveys n=240+, Vertice, Metronome n=100, Crunchbase VC data). Insight #5 has medium source quality with fewer APAC-specific research firms available for validation.</w:t>
      </w:r>
    </w:p>
    <w:p w14:paraId="214AA636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Consistency across sources:</w:t>
      </w:r>
      <w:r>
        <w:t xml:space="preserve"> Strong consistency for Insights #1–#4, with 3–4+ independent sources converging directionally. Insight #5 has moderate consistency with fewer cross-validation sources available for APAC-specific claims. No major contradictions detected between internal dataset patterns and external research findings.</w:t>
      </w:r>
    </w:p>
    <w:p w14:paraId="47D71B4B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Timeliness of information:</w:t>
      </w:r>
      <w:r>
        <w:t xml:space="preserve"> Insights #1–#4 are based on current data (2025–Q1 2026). Insight #5 relies on a moderate 2024–2025 data base. Key caveat: the "</w:t>
      </w:r>
      <w:proofErr w:type="spellStart"/>
      <w:r>
        <w:t>SaaSpocalypse</w:t>
      </w:r>
      <w:proofErr w:type="spellEnd"/>
      <w:r>
        <w:t>" (Feb 3, 2026, &gt;$1T market cap erased) and September 2026 Fed rate increase occurred after much external research was compiled, meaning current conditions may be more negative than projections reflect.</w:t>
      </w:r>
    </w:p>
    <w:p w14:paraId="223EEF9A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Overall confidence level:</w:t>
      </w:r>
      <w:r>
        <w:t xml:space="preserve"> Medium-High — supported by convergence across 5 internal dataset analyses and 5 external research reports; tempered by (1) absence of company-level financial data, (2) $127B spread across research-firm market estimates, and (3) limited APAC cross-validation. Insights #1 and #2: High confidence. Insights #3 and #4: Medium-High confidence. Insight #5: Medium confidence.</w:t>
      </w:r>
    </w:p>
    <w:p w14:paraId="637ABB3D" w14:textId="77777777" w:rsidR="00DE0F99" w:rsidRDefault="00B752FF">
      <w:pPr>
        <w:pStyle w:val="Heading1"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t>7. Limitations and Risks</w:t>
      </w:r>
    </w:p>
    <w:p w14:paraId="766DFA42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Document known gaps, assumptions, or areas of uncertainty.</w:t>
      </w:r>
    </w:p>
    <w:p w14:paraId="7426B3C7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Missing data:</w:t>
      </w:r>
      <w:r>
        <w:t xml:space="preserve"> The 500-company internal dataset contains only descriptive fields — no revenue, ARR, churn, headcount, or funding data. Every financial figure is anchored exclusively to external research. No geographic field exists in the dataset, creating an APAC blind spot.</w:t>
      </w:r>
    </w:p>
    <w:p w14:paraId="0BCBD89A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Conflicting signals:</w:t>
      </w:r>
      <w:r>
        <w:t xml:space="preserve"> Market sizing estimates for 2025 range from $370B to $497B (a 34% spread) depending on methodology and source. Use the midpoint range ($420–$440B) as the planning assumption. Additionally, whether AI-driven NRR compression (110.5% → 107.1%) will stabilize or accelerate is unknown due to insufficient longitudinal data.</w:t>
      </w:r>
    </w:p>
    <w:p w14:paraId="26413070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Potential bias or ambiguity:</w:t>
      </w:r>
      <w:r>
        <w:t xml:space="preserve"> Curation bias — "Software" is over-represented at 47.8% while healthcare (0.8%), financial services (0.6%), and legal (0.2%) are under-represented. Survey respondent bias — pricing and unit economics data derive from surveys (n=100–240) that may skew toward AI-forward early adopters. Temporal snapshot risk — the "</w:t>
      </w:r>
      <w:proofErr w:type="spellStart"/>
      <w:r>
        <w:t>SaaSpocalypse</w:t>
      </w:r>
      <w:proofErr w:type="spellEnd"/>
      <w:r>
        <w:t>" and September 2026 Fed rate increase occurred after much external research was compiled, meaning current conditions may be more negative than reported.</w:t>
      </w:r>
    </w:p>
    <w:p w14:paraId="2DEBFDC6" w14:textId="77777777" w:rsidR="00DE0F99" w:rsidRDefault="00B752FF">
      <w:pPr>
        <w:pStyle w:val="Heading1"/>
        <w:pageBreakBefore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lastRenderedPageBreak/>
        <w:t>8. Strategic Implications</w:t>
      </w:r>
    </w:p>
    <w:p w14:paraId="51735A8A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Explain how leadership should interpret and use this intelligence.</w:t>
      </w:r>
    </w:p>
    <w:p w14:paraId="51653028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Segment Selection:</w:t>
      </w:r>
      <w:r>
        <w:t xml:space="preserve"> Prioritize AI-native products in fragmented segments — cybersecurity (</w:t>
      </w:r>
      <w:proofErr w:type="gramStart"/>
      <w:r>
        <w:t>top-3</w:t>
      </w:r>
      <w:proofErr w:type="gramEnd"/>
      <w:r>
        <w:t xml:space="preserve"> share: ~15%) and analytics (24.5% CAGR) offer structural entry advantages with non-discretionary demand.</w:t>
      </w:r>
    </w:p>
    <w:p w14:paraId="31F54812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Product &amp; Pricing Strategy:</w:t>
      </w:r>
      <w:r>
        <w:t xml:space="preserve"> Any new initiative must be AI-native from inception with hybrid metering and billing infrastructure. The 21% revenue growth advantage for hybrid models vs. 14% for pure subscription is decisive.</w:t>
      </w:r>
    </w:p>
    <w:p w14:paraId="29DAB6B4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Go-to-Market:</w:t>
      </w:r>
      <w:r>
        <w:t xml:space="preserve"> Shift from paid acquisition to product-led growth, community-driven adoption, and land-and-expand motions; target CAC payback &lt;14 months.</w:t>
      </w:r>
    </w:p>
    <w:p w14:paraId="469FDAE7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Geographic Expansion:</w:t>
      </w:r>
      <w:r>
        <w:t xml:space="preserve"> Evaluate APAC as Phase 2 (AI CAGR: 43%; analytics CAGR: 28.1%) with dedicated regional strategy, partnerships, and localization.</w:t>
      </w:r>
    </w:p>
    <w:p w14:paraId="7D9D9CA4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rPr>
          <w:b/>
        </w:rPr>
        <w:t>Highest-Priority Next Step:</w:t>
      </w:r>
      <w:r>
        <w:t xml:space="preserve"> Launch a detailed competitive due-diligence assessment of the cybersecurity and AI-native SaaS segments, incorporating financial data, customer interviews, win/loss analysis, and pricing analysis to convert directional insights into specific investment or build decisions.</w:t>
      </w:r>
    </w:p>
    <w:p w14:paraId="228F3FC8" w14:textId="77777777" w:rsidR="00D313AB" w:rsidRDefault="00D313AB" w:rsidP="00D313AB">
      <w:pPr>
        <w:pStyle w:val="Heading2"/>
        <w:widowControl/>
      </w:pPr>
      <w:bookmarkStart w:id="0" w:name="what-should-not-be-concluded-from-this-r"/>
      <w:r>
        <w:t>What should not be concluded from this research?</w:t>
      </w:r>
      <w:bookmarkEnd w:id="0"/>
    </w:p>
    <w:p w14:paraId="6C8EAD67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t>Optimal vertical vs. horizontal positioning cannot be determined — the internal dataset lacks granularity to validate which specific verticals (healthcare, fintech, construction) offer the best customer fit. Customer discovery and win/loss analysis are required.</w:t>
      </w:r>
    </w:p>
    <w:p w14:paraId="389F28C7" w14:textId="77777777" w:rsidR="00D313AB" w:rsidRDefault="00D313AB" w:rsidP="00D313AB">
      <w:pPr>
        <w:pStyle w:val="ListParagraph"/>
        <w:numPr>
          <w:ilvl w:val="0"/>
          <w:numId w:val="12"/>
        </w:numPr>
        <w:spacing w:before="0"/>
        <w:ind w:left="259" w:hanging="259"/>
      </w:pPr>
      <w:r>
        <w:t xml:space="preserve">Capital </w:t>
      </w:r>
      <w:r w:rsidRPr="00D313AB">
        <w:rPr>
          <w:b/>
          <w:bCs/>
        </w:rPr>
        <w:t>requirements</w:t>
      </w:r>
      <w:r>
        <w:t xml:space="preserve"> for viable market entry are not established — the deteriorating unit economics data identifies the problem but does not quantify the minimum funding threshold for breakeven under 2026 conditions. A financial model with sensitivity analysis is needed.</w:t>
      </w:r>
    </w:p>
    <w:p w14:paraId="4CEC2466" w14:textId="77777777" w:rsidR="00DE0F99" w:rsidRDefault="00B752FF">
      <w:pPr>
        <w:pStyle w:val="Heading1"/>
        <w:pageBreakBefore/>
        <w:widowControl/>
        <w:rPr>
          <w:rFonts w:ascii="Google Sans" w:eastAsia="Google Sans" w:hAnsi="Google Sans" w:cs="Google Sans"/>
          <w:color w:val="1F1F1F"/>
        </w:rPr>
      </w:pPr>
      <w:r>
        <w:rPr>
          <w:rFonts w:eastAsia="Google Sans" w:cs="Google Sans"/>
        </w:rPr>
        <w:lastRenderedPageBreak/>
        <w:t>9. Summary for Leadership</w:t>
      </w:r>
    </w:p>
    <w:p w14:paraId="1A3D292F" w14:textId="77777777" w:rsidR="00DE0F9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eastAsia="Google Sans" w:cs="Google Sans"/>
          <w:i/>
          <w:iCs/>
          <w:color w:val="666666"/>
          <w:sz w:val="18"/>
        </w:rPr>
        <w:t>Provide a concise executive summary (5–7 sentences).</w:t>
      </w:r>
    </w:p>
    <w:p w14:paraId="3761B888" w14:textId="77777777" w:rsidR="00DE0F9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eastAsia="Google Sans" w:cs="Google Sans"/>
          <w:b/>
          <w:bCs/>
        </w:rPr>
        <w:t>Executive Summary:</w:t>
      </w:r>
    </w:p>
    <w:p w14:paraId="3AF105AF" w14:textId="77777777" w:rsidR="00D313AB" w:rsidRDefault="00D313AB" w:rsidP="00D313AB">
      <w:pPr>
        <w:widowControl/>
      </w:pPr>
      <w:r>
        <w:t>The B2B SaaS market is valued at approximately $390–$497 billion in 2025, projected to reach $470–$634 billion in 2026, with AI integration serving as the dominant growth catalyst at ~35% CAGR — more than double any other category. Cybersecurity stands out as the most defensible market entry point, with the top 3 vendors holding only ~15% market share compared to 77% in HR/HCM, offering fragmentation combined with non-discretionary demand. Hybrid pricing has become the industry default (27% → 41% adoption in 12 months), delivering a 21% median revenue growth advantage that makes metering infrastructure a non-negotiable design decision for any new entrant. However, unit economics are at historically hostile levels — CAC up 222%, Magic Number at 0.36×, and 65% of Q1 2026 VC capital concentrated in just 4 AI mega-companies — making product-led growth and capital efficiency survival imperatives. Overall confidence in these findings is Medium-High, supported by convergence across internal and external sources but tempered by the internal dataset's lack of financial metrics and a $127B spread in market size estimates. The highest-priority next step is a focused competitive due-diligence assessment in cybersecurity and AI-native SaaS to convert directional intelligence into specific investment decisions.</w:t>
      </w:r>
    </w:p>
    <w:sectPr w:rsidR="00D313AB">
      <w:footerReference w:type="default" r:id="rId10"/>
      <w:pgSz w:w="12240" w:h="15840"/>
      <w:pgMar w:top="1080" w:right="1152" w:bottom="1080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0FDA43" w14:textId="77777777" w:rsidR="000E159C" w:rsidRDefault="000E159C">
      <w:pPr>
        <w:spacing w:after="0" w:line="240" w:lineRule="auto"/>
      </w:pPr>
      <w:r>
        <w:separator/>
      </w:r>
    </w:p>
  </w:endnote>
  <w:endnote w:type="continuationSeparator" w:id="0">
    <w:p w14:paraId="5A58D79D" w14:textId="77777777" w:rsidR="000E159C" w:rsidRDefault="000E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7A9A83F-D969-E748-ACAD-6004AF407262}"/>
    <w:embedBold r:id="rId2" w:fontKey="{5ECDEC14-67B5-4242-8337-530AA8F47D2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4CF6A89D-2163-1749-8DD6-1DF496C60C93}"/>
    <w:embedBold r:id="rId4" w:fontKey="{D227602E-6F66-A246-8B86-FCC7B987F694}"/>
    <w:embedItalic r:id="rId5" w:fontKey="{F91A75E2-3913-5B43-81E6-F824EF4A3A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15BFF0DE-F852-EA41-BC9A-B80DC2499851}"/>
    <w:embedBold r:id="rId7" w:fontKey="{7D357445-778C-B949-A5E8-A90C8D1E36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B6BCF3C-0EE6-EF41-9B15-5B5A9412A9DB}"/>
  </w:font>
  <w:font w:name="Google Sans">
    <w:charset w:val="00"/>
    <w:family w:val="auto"/>
    <w:pitch w:val="default"/>
    <w:embedRegular r:id="rId9" w:fontKey="{3F6A4BF1-E03C-3543-A6E6-24BFC41C45FC}"/>
    <w:embedBold r:id="rId10" w:fontKey="{0EFD46B9-EEE7-8044-A5C2-7A5F74405DFB}"/>
    <w:embedItalic r:id="rId11" w:fontKey="{6780FD90-F54E-BF46-9EE4-C98324BF243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730D405A-B22D-AC45-B19B-7FAEC337F5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83E5F0" w14:textId="77777777" w:rsidR="007371E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C03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0F4FF0" w14:textId="77777777" w:rsidR="000E159C" w:rsidRDefault="000E159C">
      <w:pPr>
        <w:spacing w:after="0" w:line="240" w:lineRule="auto"/>
      </w:pPr>
      <w:r>
        <w:separator/>
      </w:r>
    </w:p>
  </w:footnote>
  <w:footnote w:type="continuationSeparator" w:id="0">
    <w:p w14:paraId="30FAADD6" w14:textId="77777777" w:rsidR="000E159C" w:rsidRDefault="000E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46F24"/>
    <w:multiLevelType w:val="multilevel"/>
    <w:tmpl w:val="2E2A80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F93823"/>
    <w:multiLevelType w:val="multilevel"/>
    <w:tmpl w:val="9CE47C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933AD0"/>
    <w:multiLevelType w:val="multilevel"/>
    <w:tmpl w:val="011847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880F92"/>
    <w:multiLevelType w:val="multilevel"/>
    <w:tmpl w:val="FCDE9D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AE34EA"/>
    <w:multiLevelType w:val="multilevel"/>
    <w:tmpl w:val="50CE5D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2D04EA"/>
    <w:multiLevelType w:val="multilevel"/>
    <w:tmpl w:val="5D9C8B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5F31ED8"/>
    <w:multiLevelType w:val="hybridMultilevel"/>
    <w:tmpl w:val="D58257EA"/>
    <w:lvl w:ilvl="0" w:tplc="3EEE8038">
      <w:start w:val="1"/>
      <w:numFmt w:val="bullet"/>
      <w:lvlText w:val="●"/>
      <w:lvlJc w:val="left"/>
      <w:pPr>
        <w:ind w:left="576"/>
      </w:pPr>
    </w:lvl>
    <w:lvl w:ilvl="1" w:tplc="82CC5658">
      <w:start w:val="1"/>
      <w:numFmt w:val="bullet"/>
      <w:lvlText w:val="○"/>
      <w:lvlJc w:val="left"/>
      <w:pPr>
        <w:ind w:left="936"/>
      </w:pPr>
    </w:lvl>
    <w:lvl w:ilvl="2" w:tplc="021A2292">
      <w:start w:val="1"/>
      <w:numFmt w:val="bullet"/>
      <w:lvlText w:val="■"/>
      <w:lvlJc w:val="left"/>
      <w:pPr>
        <w:ind w:left="1296"/>
      </w:pPr>
    </w:lvl>
    <w:lvl w:ilvl="3" w:tplc="7E9A6DCE">
      <w:start w:val="1"/>
      <w:numFmt w:val="bullet"/>
      <w:lvlText w:val="◆"/>
      <w:lvlJc w:val="left"/>
      <w:pPr>
        <w:ind w:left="1656"/>
      </w:pPr>
    </w:lvl>
    <w:lvl w:ilvl="4" w:tplc="EA0EA9A8">
      <w:start w:val="1"/>
      <w:numFmt w:val="bullet"/>
      <w:lvlText w:val="▶"/>
      <w:lvlJc w:val="left"/>
      <w:pPr>
        <w:ind w:left="2016"/>
      </w:pPr>
    </w:lvl>
    <w:lvl w:ilvl="5" w:tplc="386CDD42">
      <w:start w:val="1"/>
      <w:numFmt w:val="bullet"/>
      <w:lvlText w:val="◉"/>
      <w:lvlJc w:val="left"/>
      <w:pPr>
        <w:ind w:left="2376"/>
      </w:pPr>
    </w:lvl>
    <w:lvl w:ilvl="6" w:tplc="BC602348">
      <w:start w:val="1"/>
      <w:numFmt w:val="bullet"/>
      <w:lvlText w:val="⬤"/>
      <w:lvlJc w:val="left"/>
      <w:pPr>
        <w:ind w:left="2735"/>
      </w:pPr>
    </w:lvl>
    <w:lvl w:ilvl="7" w:tplc="F750699C">
      <w:start w:val="1"/>
      <w:numFmt w:val="bullet"/>
      <w:lvlText w:val="♦"/>
      <w:lvlJc w:val="left"/>
      <w:pPr>
        <w:ind w:left="3095"/>
      </w:pPr>
    </w:lvl>
    <w:lvl w:ilvl="8" w:tplc="1D9A1CBA">
      <w:numFmt w:val="decimal"/>
      <w:lvlText w:val=""/>
      <w:lvlJc w:val="left"/>
    </w:lvl>
  </w:abstractNum>
  <w:abstractNum w:abstractNumId="7" w15:restartNumberingAfterBreak="0">
    <w:nsid w:val="5B807474"/>
    <w:multiLevelType w:val="multilevel"/>
    <w:tmpl w:val="A5F055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D361ADC"/>
    <w:multiLevelType w:val="multilevel"/>
    <w:tmpl w:val="5F2EFD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844396B"/>
    <w:multiLevelType w:val="multilevel"/>
    <w:tmpl w:val="D9D459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5BB4A95"/>
    <w:multiLevelType w:val="multilevel"/>
    <w:tmpl w:val="168E9A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7C40A4"/>
    <w:multiLevelType w:val="multilevel"/>
    <w:tmpl w:val="097070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52618796">
    <w:abstractNumId w:val="0"/>
  </w:num>
  <w:num w:numId="2" w16cid:durableId="582496749">
    <w:abstractNumId w:val="9"/>
  </w:num>
  <w:num w:numId="3" w16cid:durableId="1312632119">
    <w:abstractNumId w:val="4"/>
  </w:num>
  <w:num w:numId="4" w16cid:durableId="1180856912">
    <w:abstractNumId w:val="1"/>
  </w:num>
  <w:num w:numId="5" w16cid:durableId="1329752393">
    <w:abstractNumId w:val="11"/>
  </w:num>
  <w:num w:numId="6" w16cid:durableId="1385762472">
    <w:abstractNumId w:val="7"/>
  </w:num>
  <w:num w:numId="7" w16cid:durableId="800610115">
    <w:abstractNumId w:val="10"/>
  </w:num>
  <w:num w:numId="8" w16cid:durableId="510491158">
    <w:abstractNumId w:val="2"/>
  </w:num>
  <w:num w:numId="9" w16cid:durableId="1200976325">
    <w:abstractNumId w:val="5"/>
  </w:num>
  <w:num w:numId="10" w16cid:durableId="2002810208">
    <w:abstractNumId w:val="8"/>
  </w:num>
  <w:num w:numId="11" w16cid:durableId="2025861064">
    <w:abstractNumId w:val="3"/>
  </w:num>
  <w:num w:numId="12" w16cid:durableId="110685353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F99"/>
    <w:rsid w:val="000E159C"/>
    <w:rsid w:val="003B4499"/>
    <w:rsid w:val="003E3CF0"/>
    <w:rsid w:val="00443CCA"/>
    <w:rsid w:val="006B5BE7"/>
    <w:rsid w:val="007371E3"/>
    <w:rsid w:val="007A3357"/>
    <w:rsid w:val="007A7BBA"/>
    <w:rsid w:val="007C037B"/>
    <w:rsid w:val="00940C53"/>
    <w:rsid w:val="00954A40"/>
    <w:rsid w:val="009F658B"/>
    <w:rsid w:val="00A51BA2"/>
    <w:rsid w:val="00B752FF"/>
    <w:rsid w:val="00BE2E1C"/>
    <w:rsid w:val="00D313AB"/>
    <w:rsid w:val="00D877CB"/>
    <w:rsid w:val="00DB0354"/>
    <w:rsid w:val="00DE0F99"/>
    <w:rsid w:val="00F5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EAFF"/>
  <w15:docId w15:val="{EAA29BAD-32DE-EE40-9D31-66D500FC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300"/>
      <w:outlineLvl w:val="0"/>
    </w:pPr>
    <w:rPr>
      <w:b/>
      <w:bCs/>
      <w:sz w:val="32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30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300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00"/>
    </w:pPr>
    <w:rPr>
      <w:b/>
      <w:bCs/>
      <w:sz w:val="5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658B"/>
    <w:pPr>
      <w:widowControl/>
      <w:spacing w:before="100" w:beforeAutospacing="1" w:afterAutospacing="1"/>
    </w:pPr>
    <w:rPr>
      <w:rFonts w:eastAsia="Times New Roman" w:cs="Times New Roman"/>
      <w:szCs w:val="24"/>
    </w:rPr>
  </w:style>
  <w:style w:type="paragraph" w:styleId="ListParagraph">
    <w:name w:val="List Paragraph"/>
    <w:qFormat/>
    <w:rsid w:val="009F658B"/>
    <w:pPr>
      <w:widowControl/>
      <w:spacing w:before="175" w:after="140" w:line="264" w:lineRule="auto"/>
      <w:jc w:val="thaiDistribute"/>
    </w:pPr>
    <w:rPr>
      <w:rFonts w:ascii="Calibri" w:eastAsia="Times New Roman" w:hAnsi="Calibri" w:cs="Times New Roman"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2343</Words>
  <Characters>13360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LACHLAN LIU</cp:lastModifiedBy>
  <cp:revision>2</cp:revision>
  <dcterms:created xsi:type="dcterms:W3CDTF">2026-09-24T03:47:00Z</dcterms:created>
  <dcterms:modified xsi:type="dcterms:W3CDTF">2026-09-24T03:47:00Z</dcterms:modified>
</cp:coreProperties>
</file>