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5CD7D" w14:textId="278318C5" w:rsidR="00944961" w:rsidRPr="00EE601A" w:rsidRDefault="00944961" w:rsidP="001C5C95">
      <w:pPr>
        <w:spacing w:line="360" w:lineRule="auto"/>
        <w:ind w:left="-284" w:right="-471"/>
        <w:jc w:val="center"/>
        <w:rPr>
          <w:rFonts w:ascii="Times New Roman" w:hAnsi="Times New Roman" w:cs="Times New Roman"/>
          <w:b/>
          <w:color w:val="000000" w:themeColor="text1"/>
          <w:sz w:val="28"/>
          <w:szCs w:val="28"/>
        </w:rPr>
      </w:pPr>
      <w:r w:rsidRPr="00EE601A">
        <w:rPr>
          <w:rFonts w:ascii="Times New Roman" w:hAnsi="Times New Roman" w:cs="Times New Roman"/>
          <w:b/>
          <w:color w:val="000000" w:themeColor="text1"/>
          <w:sz w:val="28"/>
          <w:szCs w:val="28"/>
          <w:lang w:val="en-US"/>
        </w:rPr>
        <w:t>Response to Referee’s Report</w:t>
      </w:r>
      <w:r w:rsidR="00B81D94" w:rsidRPr="00EE601A">
        <w:rPr>
          <w:rFonts w:ascii="Times New Roman" w:hAnsi="Times New Roman" w:cs="Times New Roman"/>
          <w:b/>
          <w:color w:val="000000" w:themeColor="text1"/>
          <w:sz w:val="28"/>
          <w:szCs w:val="28"/>
          <w:lang w:val="en-US"/>
        </w:rPr>
        <w:t xml:space="preserve"> #1</w:t>
      </w:r>
      <w:r w:rsidRPr="00EE601A">
        <w:rPr>
          <w:rFonts w:ascii="Times New Roman" w:hAnsi="Times New Roman" w:cs="Times New Roman"/>
          <w:b/>
          <w:color w:val="000000" w:themeColor="text1"/>
          <w:sz w:val="28"/>
          <w:szCs w:val="28"/>
          <w:lang w:val="en-US"/>
        </w:rPr>
        <w:br/>
        <w:t>‘</w:t>
      </w:r>
      <w:r w:rsidRPr="00EE601A">
        <w:rPr>
          <w:rFonts w:ascii="Times New Roman" w:hAnsi="Times New Roman" w:cs="Times New Roman"/>
          <w:b/>
          <w:color w:val="000000" w:themeColor="text1"/>
          <w:sz w:val="28"/>
          <w:szCs w:val="28"/>
        </w:rPr>
        <w:t>Sustainable Factor Investing: Where Doing Well Meets Doing Good’</w:t>
      </w:r>
      <w:r w:rsidRPr="00EE601A">
        <w:rPr>
          <w:rFonts w:ascii="Times New Roman" w:hAnsi="Times New Roman" w:cs="Times New Roman"/>
          <w:b/>
          <w:color w:val="000000" w:themeColor="text1"/>
          <w:sz w:val="28"/>
          <w:szCs w:val="28"/>
          <w:lang w:val="en-US"/>
        </w:rPr>
        <w:br/>
      </w:r>
      <w:r w:rsidR="003F0ACB" w:rsidRPr="00EE601A">
        <w:rPr>
          <w:rFonts w:ascii="Times New Roman" w:hAnsi="Times New Roman" w:cs="Times New Roman"/>
          <w:bCs/>
          <w:color w:val="000000" w:themeColor="text1"/>
          <w:sz w:val="28"/>
          <w:szCs w:val="28"/>
          <w:lang w:val="en-US"/>
        </w:rPr>
        <w:t>IREF_2019_983R1</w:t>
      </w:r>
    </w:p>
    <w:p w14:paraId="6F2918D0" w14:textId="77777777" w:rsidR="00944961" w:rsidRPr="00EE601A" w:rsidRDefault="00944961" w:rsidP="00944961">
      <w:pPr>
        <w:shd w:val="clear" w:color="auto" w:fill="FFFFFF"/>
        <w:rPr>
          <w:rFonts w:ascii="Times New Roman" w:hAnsi="Times New Roman" w:cs="Times New Roman"/>
          <w:b/>
          <w:bCs/>
          <w:color w:val="000000" w:themeColor="text1"/>
          <w:lang w:eastAsia="en-GB"/>
        </w:rPr>
      </w:pPr>
    </w:p>
    <w:p w14:paraId="16A9CCB1" w14:textId="77777777" w:rsidR="00944961" w:rsidRPr="00EE601A" w:rsidRDefault="00944961" w:rsidP="00AB5F2D">
      <w:pPr>
        <w:pStyle w:val="Heading1"/>
        <w:rPr>
          <w:color w:val="000000" w:themeColor="text1"/>
        </w:rPr>
      </w:pPr>
      <w:r w:rsidRPr="00EE601A">
        <w:rPr>
          <w:color w:val="000000" w:themeColor="text1"/>
        </w:rPr>
        <w:t>INTRODUCTION</w:t>
      </w:r>
    </w:p>
    <w:p w14:paraId="0B1E4FC9" w14:textId="77777777" w:rsidR="00944961" w:rsidRPr="00EE601A" w:rsidRDefault="00944961" w:rsidP="00AB5F2D">
      <w:pPr>
        <w:autoSpaceDE w:val="0"/>
        <w:autoSpaceDN w:val="0"/>
        <w:adjustRightInd w:val="0"/>
        <w:ind w:firstLine="720"/>
        <w:contextualSpacing/>
        <w:jc w:val="both"/>
        <w:rPr>
          <w:rFonts w:ascii="Times New Roman" w:hAnsi="Times New Roman" w:cs="Times New Roman"/>
          <w:color w:val="000000" w:themeColor="text1"/>
        </w:rPr>
      </w:pPr>
    </w:p>
    <w:p w14:paraId="24E78F50" w14:textId="4868FF0D" w:rsidR="00944961" w:rsidRPr="00EE601A" w:rsidRDefault="00944961" w:rsidP="00AB5F2D">
      <w:pPr>
        <w:autoSpaceDE w:val="0"/>
        <w:autoSpaceDN w:val="0"/>
        <w:adjustRightInd w:val="0"/>
        <w:contextualSpacing/>
        <w:jc w:val="both"/>
        <w:rPr>
          <w:rFonts w:ascii="Times New Roman" w:hAnsi="Times New Roman" w:cs="Times New Roman"/>
          <w:color w:val="000000" w:themeColor="text1"/>
        </w:rPr>
      </w:pPr>
      <w:r w:rsidRPr="00EE601A">
        <w:rPr>
          <w:rFonts w:ascii="Times New Roman" w:hAnsi="Times New Roman" w:cs="Times New Roman"/>
          <w:color w:val="000000" w:themeColor="text1"/>
        </w:rPr>
        <w:t xml:space="preserve">First of all, we would like to thank the </w:t>
      </w:r>
      <w:r w:rsidR="003F0ACB" w:rsidRPr="00EE601A">
        <w:rPr>
          <w:rFonts w:ascii="Times New Roman" w:hAnsi="Times New Roman" w:cs="Times New Roman"/>
          <w:color w:val="000000" w:themeColor="text1"/>
        </w:rPr>
        <w:t xml:space="preserve">Editor, Professor Brian Lucey, and the </w:t>
      </w:r>
      <w:r w:rsidRPr="00EE601A">
        <w:rPr>
          <w:rFonts w:ascii="Times New Roman" w:hAnsi="Times New Roman" w:cs="Times New Roman"/>
          <w:color w:val="000000" w:themeColor="text1"/>
        </w:rPr>
        <w:t>Associate Editor</w:t>
      </w:r>
      <w:r w:rsidR="00EE7EF8" w:rsidRPr="00EE601A">
        <w:rPr>
          <w:rFonts w:ascii="Times New Roman" w:hAnsi="Times New Roman" w:cs="Times New Roman"/>
          <w:color w:val="000000" w:themeColor="text1"/>
        </w:rPr>
        <w:t xml:space="preserve">, </w:t>
      </w:r>
      <w:r w:rsidR="003F0ACB" w:rsidRPr="00EE601A">
        <w:rPr>
          <w:rFonts w:ascii="Times New Roman" w:hAnsi="Times New Roman" w:cs="Times New Roman"/>
          <w:color w:val="000000" w:themeColor="text1"/>
        </w:rPr>
        <w:t>Professor</w:t>
      </w:r>
      <w:r w:rsidRPr="00EE601A">
        <w:rPr>
          <w:rFonts w:ascii="Times New Roman" w:hAnsi="Times New Roman" w:cs="Times New Roman"/>
          <w:color w:val="000000" w:themeColor="text1"/>
        </w:rPr>
        <w:t xml:space="preserve"> </w:t>
      </w:r>
      <w:r w:rsidR="00C44A90" w:rsidRPr="00EE601A">
        <w:rPr>
          <w:rFonts w:ascii="Times New Roman" w:hAnsi="Times New Roman" w:cs="Times New Roman"/>
          <w:color w:val="000000" w:themeColor="text1"/>
        </w:rPr>
        <w:t xml:space="preserve">Larisa </w:t>
      </w:r>
      <w:proofErr w:type="spellStart"/>
      <w:r w:rsidR="00C44A90" w:rsidRPr="00EE601A">
        <w:rPr>
          <w:rFonts w:ascii="Times New Roman" w:hAnsi="Times New Roman" w:cs="Times New Roman"/>
          <w:color w:val="000000" w:themeColor="text1"/>
        </w:rPr>
        <w:t>Yarovaya</w:t>
      </w:r>
      <w:proofErr w:type="spellEnd"/>
      <w:r w:rsidRPr="00EE601A">
        <w:rPr>
          <w:rFonts w:ascii="Times New Roman" w:hAnsi="Times New Roman" w:cs="Times New Roman"/>
          <w:color w:val="000000" w:themeColor="text1"/>
        </w:rPr>
        <w:t xml:space="preserve">, for forwarding the constructive feedback of the Referee and for providing us with the opportunity to submit a revised </w:t>
      </w:r>
      <w:r w:rsidR="003F0ACB" w:rsidRPr="00EE601A">
        <w:rPr>
          <w:rFonts w:ascii="Times New Roman" w:hAnsi="Times New Roman" w:cs="Times New Roman"/>
          <w:color w:val="000000" w:themeColor="text1"/>
        </w:rPr>
        <w:t xml:space="preserve">version </w:t>
      </w:r>
      <w:r w:rsidRPr="00EE601A">
        <w:rPr>
          <w:rFonts w:ascii="Times New Roman" w:hAnsi="Times New Roman" w:cs="Times New Roman"/>
          <w:color w:val="000000" w:themeColor="text1"/>
        </w:rPr>
        <w:t xml:space="preserve">of our paper. We would also like to thank the Referee for the positive feedback and the </w:t>
      </w:r>
      <w:r w:rsidR="001F1244" w:rsidRPr="00EE601A">
        <w:rPr>
          <w:rFonts w:ascii="Times New Roman" w:hAnsi="Times New Roman" w:cs="Times New Roman"/>
          <w:color w:val="000000" w:themeColor="text1"/>
        </w:rPr>
        <w:t>thoughtful</w:t>
      </w:r>
      <w:r w:rsidRPr="00EE601A">
        <w:rPr>
          <w:rFonts w:ascii="Times New Roman" w:hAnsi="Times New Roman" w:cs="Times New Roman"/>
          <w:color w:val="000000" w:themeColor="text1"/>
        </w:rPr>
        <w:t xml:space="preserve"> comments, which we believe have significantly improved the paper. We have amended the manuscript taking all remarks carefully into consideration.</w:t>
      </w:r>
    </w:p>
    <w:p w14:paraId="6271B9DD" w14:textId="77777777" w:rsidR="00944961" w:rsidRPr="00EE601A" w:rsidRDefault="00944961" w:rsidP="00AB5F2D">
      <w:pPr>
        <w:contextualSpacing/>
        <w:jc w:val="both"/>
        <w:rPr>
          <w:rFonts w:ascii="Times New Roman" w:hAnsi="Times New Roman" w:cs="Times New Roman"/>
          <w:color w:val="000000" w:themeColor="text1"/>
          <w:lang w:val="en-US"/>
        </w:rPr>
      </w:pPr>
    </w:p>
    <w:p w14:paraId="3FF45044" w14:textId="77777777" w:rsidR="00944961" w:rsidRPr="00EE601A" w:rsidRDefault="00944961" w:rsidP="00AB5F2D">
      <w:pPr>
        <w:contextualSpacing/>
        <w:jc w:val="both"/>
        <w:rPr>
          <w:rFonts w:ascii="Times New Roman" w:hAnsi="Times New Roman" w:cs="Times New Roman"/>
          <w:color w:val="000000" w:themeColor="text1"/>
          <w:lang w:val="en-US"/>
        </w:rPr>
      </w:pPr>
      <w:r w:rsidRPr="00EE601A">
        <w:rPr>
          <w:rFonts w:ascii="Times New Roman" w:hAnsi="Times New Roman" w:cs="Times New Roman"/>
          <w:color w:val="000000" w:themeColor="text1"/>
          <w:lang w:val="en-US"/>
        </w:rPr>
        <w:t>In Section 2, we re-iterate the comments of the referee (</w:t>
      </w:r>
      <w:r w:rsidRPr="00EE601A">
        <w:rPr>
          <w:rFonts w:ascii="Times New Roman" w:hAnsi="Times New Roman" w:cs="Times New Roman"/>
          <w:i/>
          <w:color w:val="000000" w:themeColor="text1"/>
          <w:lang w:val="en-US"/>
        </w:rPr>
        <w:t>in italics</w:t>
      </w:r>
      <w:r w:rsidRPr="00EE601A">
        <w:rPr>
          <w:rFonts w:ascii="Times New Roman" w:hAnsi="Times New Roman" w:cs="Times New Roman"/>
          <w:color w:val="000000" w:themeColor="text1"/>
          <w:lang w:val="en-US"/>
        </w:rPr>
        <w:t>) and explain the revisions made in the paper to address each of these comments.</w:t>
      </w:r>
    </w:p>
    <w:p w14:paraId="1AB819A5" w14:textId="5A891B3E" w:rsidR="00944961" w:rsidRPr="00EE601A" w:rsidRDefault="00944961" w:rsidP="00AB5F2D">
      <w:pPr>
        <w:shd w:val="clear" w:color="auto" w:fill="FFFFFF"/>
        <w:contextualSpacing/>
        <w:jc w:val="both"/>
        <w:rPr>
          <w:rFonts w:ascii="Times New Roman" w:hAnsi="Times New Roman" w:cs="Times New Roman"/>
          <w:b/>
          <w:bCs/>
          <w:color w:val="000000" w:themeColor="text1"/>
          <w:lang w:eastAsia="en-GB"/>
        </w:rPr>
      </w:pPr>
    </w:p>
    <w:p w14:paraId="58E6FC34" w14:textId="1DD97024" w:rsidR="004B1517" w:rsidRPr="00EE601A" w:rsidRDefault="004B1517" w:rsidP="00AB5F2D">
      <w:pPr>
        <w:shd w:val="clear" w:color="auto" w:fill="FFFFFF"/>
        <w:contextualSpacing/>
        <w:jc w:val="both"/>
        <w:rPr>
          <w:rFonts w:ascii="Times New Roman" w:hAnsi="Times New Roman" w:cs="Times New Roman"/>
          <w:b/>
          <w:bCs/>
          <w:color w:val="000000" w:themeColor="text1"/>
          <w:lang w:eastAsia="en-GB"/>
        </w:rPr>
      </w:pPr>
    </w:p>
    <w:p w14:paraId="39AFC58F" w14:textId="77777777" w:rsidR="00856343" w:rsidRPr="00EE601A" w:rsidRDefault="00856343" w:rsidP="00AB5F2D">
      <w:pPr>
        <w:shd w:val="clear" w:color="auto" w:fill="FFFFFF"/>
        <w:contextualSpacing/>
        <w:jc w:val="both"/>
        <w:rPr>
          <w:rFonts w:ascii="Times New Roman" w:hAnsi="Times New Roman" w:cs="Times New Roman"/>
          <w:b/>
          <w:bCs/>
          <w:color w:val="000000" w:themeColor="text1"/>
          <w:lang w:eastAsia="en-GB"/>
        </w:rPr>
      </w:pPr>
    </w:p>
    <w:p w14:paraId="23BC99B9" w14:textId="77777777" w:rsidR="00560B9B" w:rsidRPr="00EE601A" w:rsidRDefault="00560B9B" w:rsidP="00AB5F2D">
      <w:pPr>
        <w:pStyle w:val="Heading1"/>
        <w:spacing w:before="0" w:after="0"/>
        <w:contextualSpacing/>
        <w:rPr>
          <w:color w:val="000000" w:themeColor="text1"/>
        </w:rPr>
      </w:pPr>
      <w:r w:rsidRPr="00EE601A">
        <w:rPr>
          <w:color w:val="000000" w:themeColor="text1"/>
        </w:rPr>
        <w:t>RESPONSE TO COMMENTS</w:t>
      </w:r>
    </w:p>
    <w:p w14:paraId="15620C53" w14:textId="77777777" w:rsidR="00560B9B" w:rsidRPr="00EE601A" w:rsidRDefault="00560B9B" w:rsidP="00AB5F2D">
      <w:pPr>
        <w:shd w:val="clear" w:color="auto" w:fill="FFFFFF"/>
        <w:jc w:val="both"/>
        <w:rPr>
          <w:rFonts w:ascii="Times New Roman" w:hAnsi="Times New Roman" w:cs="Times New Roman"/>
          <w:b/>
          <w:color w:val="000000" w:themeColor="text1"/>
          <w:lang w:eastAsia="en-GB"/>
        </w:rPr>
      </w:pPr>
    </w:p>
    <w:p w14:paraId="6D7F95E1" w14:textId="77777777" w:rsidR="00560B9B" w:rsidRPr="00EE601A" w:rsidRDefault="00560B9B" w:rsidP="00AB5F2D">
      <w:pPr>
        <w:shd w:val="clear" w:color="auto" w:fill="FFFFFF"/>
        <w:jc w:val="both"/>
        <w:rPr>
          <w:rFonts w:ascii="Times New Roman" w:hAnsi="Times New Roman" w:cs="Times New Roman"/>
          <w:b/>
          <w:color w:val="000000" w:themeColor="text1"/>
          <w:lang w:eastAsia="en-GB"/>
        </w:rPr>
      </w:pPr>
      <w:r w:rsidRPr="00EE601A">
        <w:rPr>
          <w:rFonts w:ascii="Times New Roman" w:hAnsi="Times New Roman" w:cs="Times New Roman"/>
          <w:b/>
          <w:color w:val="000000" w:themeColor="text1"/>
          <w:lang w:eastAsia="en-GB"/>
        </w:rPr>
        <w:t>Comment a:</w:t>
      </w:r>
    </w:p>
    <w:p w14:paraId="52A5CEC0" w14:textId="77777777" w:rsidR="00560B9B" w:rsidRPr="00EE601A" w:rsidRDefault="00560B9B" w:rsidP="00AB5F2D">
      <w:pPr>
        <w:shd w:val="clear" w:color="auto" w:fill="FFFFFF"/>
        <w:jc w:val="both"/>
        <w:rPr>
          <w:rFonts w:ascii="Times New Roman" w:hAnsi="Times New Roman" w:cs="Times New Roman"/>
          <w:b/>
          <w:color w:val="000000" w:themeColor="text1"/>
          <w:lang w:eastAsia="en-GB"/>
        </w:rPr>
      </w:pPr>
    </w:p>
    <w:p w14:paraId="3DF978E3" w14:textId="77777777" w:rsidR="00944961" w:rsidRPr="00EE601A" w:rsidRDefault="00944961" w:rsidP="00AB5F2D">
      <w:pPr>
        <w:shd w:val="clear" w:color="auto" w:fill="FFFFFF"/>
        <w:jc w:val="both"/>
        <w:rPr>
          <w:rFonts w:ascii="Times New Roman" w:hAnsi="Times New Roman" w:cs="Times New Roman"/>
          <w:i/>
          <w:color w:val="000000" w:themeColor="text1"/>
          <w:lang w:eastAsia="en-GB"/>
        </w:rPr>
      </w:pPr>
      <w:r w:rsidRPr="00EE601A">
        <w:rPr>
          <w:rFonts w:ascii="Times New Roman" w:hAnsi="Times New Roman" w:cs="Times New Roman"/>
          <w:i/>
          <w:color w:val="000000" w:themeColor="text1"/>
          <w:lang w:eastAsia="en-GB"/>
        </w:rPr>
        <w:t xml:space="preserve">I do not fully agree to the authors’ very first sentence “Responsible investors seek companies with strong financial performance whilst integrating non-financial factors such as environmental (E), social (S) and governance (G) scores into the investment decision process.” (page 1) as a non-negligible share of investors is willing to sacrifice return in order to invest in a socially responsible manner (e.g. </w:t>
      </w:r>
      <w:bookmarkStart w:id="0" w:name="_Hlk31897358"/>
      <w:proofErr w:type="spellStart"/>
      <w:r w:rsidRPr="00EE601A">
        <w:rPr>
          <w:rFonts w:ascii="Times New Roman" w:hAnsi="Times New Roman" w:cs="Times New Roman"/>
          <w:i/>
          <w:color w:val="000000" w:themeColor="text1"/>
          <w:lang w:eastAsia="en-GB"/>
        </w:rPr>
        <w:t>Bollen</w:t>
      </w:r>
      <w:proofErr w:type="spellEnd"/>
      <w:r w:rsidRPr="00EE601A">
        <w:rPr>
          <w:rFonts w:ascii="Times New Roman" w:hAnsi="Times New Roman" w:cs="Times New Roman"/>
          <w:i/>
          <w:color w:val="000000" w:themeColor="text1"/>
          <w:lang w:eastAsia="en-GB"/>
        </w:rPr>
        <w:t xml:space="preserve">, 2007; </w:t>
      </w:r>
      <w:proofErr w:type="spellStart"/>
      <w:r w:rsidRPr="00EE601A">
        <w:rPr>
          <w:rFonts w:ascii="Times New Roman" w:hAnsi="Times New Roman" w:cs="Times New Roman"/>
          <w:i/>
          <w:color w:val="000000" w:themeColor="text1"/>
          <w:lang w:eastAsia="en-GB"/>
        </w:rPr>
        <w:t>Gutsche</w:t>
      </w:r>
      <w:proofErr w:type="spellEnd"/>
      <w:r w:rsidRPr="00EE601A">
        <w:rPr>
          <w:rFonts w:ascii="Times New Roman" w:hAnsi="Times New Roman" w:cs="Times New Roman"/>
          <w:i/>
          <w:color w:val="000000" w:themeColor="text1"/>
          <w:lang w:eastAsia="en-GB"/>
        </w:rPr>
        <w:t xml:space="preserve"> and Ziegler, 2019</w:t>
      </w:r>
      <w:bookmarkEnd w:id="0"/>
      <w:r w:rsidRPr="00EE601A">
        <w:rPr>
          <w:rFonts w:ascii="Times New Roman" w:hAnsi="Times New Roman" w:cs="Times New Roman"/>
          <w:i/>
          <w:color w:val="000000" w:themeColor="text1"/>
          <w:lang w:eastAsia="en-GB"/>
        </w:rPr>
        <w:t>).</w:t>
      </w:r>
    </w:p>
    <w:p w14:paraId="269F6DD7" w14:textId="77777777" w:rsidR="00560B9B" w:rsidRPr="00EE601A" w:rsidRDefault="00560B9B" w:rsidP="00AB5F2D">
      <w:pPr>
        <w:shd w:val="clear" w:color="auto" w:fill="FFFFFF"/>
        <w:jc w:val="both"/>
        <w:rPr>
          <w:rFonts w:ascii="Times New Roman" w:hAnsi="Times New Roman" w:cs="Times New Roman"/>
          <w:color w:val="000000" w:themeColor="text1"/>
          <w:lang w:eastAsia="en-GB"/>
        </w:rPr>
      </w:pPr>
    </w:p>
    <w:p w14:paraId="62B9FE5C" w14:textId="77777777" w:rsidR="0016519C" w:rsidRPr="00EE601A" w:rsidRDefault="00404CE3" w:rsidP="00AB5F2D">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 xml:space="preserve">The comment is well-taken. </w:t>
      </w:r>
    </w:p>
    <w:p w14:paraId="4366FFC2" w14:textId="77777777" w:rsidR="0016519C" w:rsidRPr="00EE601A" w:rsidRDefault="0016519C" w:rsidP="00AB5F2D">
      <w:pPr>
        <w:shd w:val="clear" w:color="auto" w:fill="FFFFFF"/>
        <w:jc w:val="both"/>
        <w:rPr>
          <w:rFonts w:ascii="Times New Roman" w:hAnsi="Times New Roman" w:cs="Times New Roman"/>
          <w:color w:val="000000" w:themeColor="text1"/>
          <w:lang w:eastAsia="en-GB"/>
        </w:rPr>
      </w:pPr>
    </w:p>
    <w:p w14:paraId="4D458E9F" w14:textId="7BF9835B" w:rsidR="00560B9B" w:rsidRPr="00EE601A" w:rsidRDefault="0016519C" w:rsidP="00AB5F2D">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To improve the clarity and precision, t</w:t>
      </w:r>
      <w:r w:rsidR="00C221FF" w:rsidRPr="00EE601A">
        <w:rPr>
          <w:rFonts w:ascii="Times New Roman" w:hAnsi="Times New Roman" w:cs="Times New Roman"/>
          <w:color w:val="000000" w:themeColor="text1"/>
          <w:lang w:eastAsia="en-GB"/>
        </w:rPr>
        <w:t xml:space="preserve">he very first sentence is amended </w:t>
      </w:r>
      <w:r w:rsidRPr="00EE601A">
        <w:rPr>
          <w:rFonts w:ascii="Times New Roman" w:hAnsi="Times New Roman" w:cs="Times New Roman"/>
          <w:color w:val="000000" w:themeColor="text1"/>
          <w:lang w:eastAsia="en-GB"/>
        </w:rPr>
        <w:t>by removing</w:t>
      </w:r>
      <w:r w:rsidR="00C221FF" w:rsidRPr="00EE601A">
        <w:rPr>
          <w:rFonts w:ascii="Times New Roman" w:hAnsi="Times New Roman" w:cs="Times New Roman"/>
          <w:color w:val="000000" w:themeColor="text1"/>
          <w:lang w:eastAsia="en-GB"/>
        </w:rPr>
        <w:t xml:space="preserve"> “the strong financial performance”.</w:t>
      </w:r>
      <w:r w:rsidR="001F1244" w:rsidRPr="00EE601A">
        <w:rPr>
          <w:rFonts w:ascii="Times New Roman" w:hAnsi="Times New Roman" w:cs="Times New Roman"/>
          <w:color w:val="000000" w:themeColor="text1"/>
          <w:lang w:eastAsia="en-GB"/>
        </w:rPr>
        <w:t xml:space="preserve"> The sentence now reads as “</w:t>
      </w:r>
      <w:r w:rsidR="001F1244" w:rsidRPr="00EE601A">
        <w:rPr>
          <w:rFonts w:asciiTheme="majorBidi" w:hAnsiTheme="majorBidi" w:cstheme="majorBidi"/>
          <w:color w:val="000000" w:themeColor="text1"/>
          <w:lang w:val="en-US"/>
        </w:rPr>
        <w:t>Responsible investors seek companies with strong non-financial factors such as environmental (Env), social (Soc) and governance (Gov) scores</w:t>
      </w:r>
      <w:r w:rsidR="001F1244" w:rsidRPr="00EE601A">
        <w:rPr>
          <w:rFonts w:ascii="Times New Roman" w:hAnsi="Times New Roman" w:cs="Times New Roman"/>
          <w:i/>
          <w:color w:val="000000" w:themeColor="text1"/>
          <w:lang w:eastAsia="en-GB"/>
        </w:rPr>
        <w:t xml:space="preserve"> </w:t>
      </w:r>
      <w:r w:rsidR="001F1244" w:rsidRPr="00EE601A">
        <w:rPr>
          <w:rFonts w:ascii="Times New Roman" w:hAnsi="Times New Roman" w:cs="Times New Roman"/>
          <w:iCs/>
          <w:color w:val="000000" w:themeColor="text1"/>
          <w:lang w:eastAsia="en-GB"/>
        </w:rPr>
        <w:t>(</w:t>
      </w:r>
      <w:proofErr w:type="spellStart"/>
      <w:r w:rsidR="001F1244" w:rsidRPr="00EE601A">
        <w:rPr>
          <w:rFonts w:asciiTheme="majorBidi" w:hAnsiTheme="majorBidi" w:cstheme="majorBidi"/>
          <w:iCs/>
          <w:color w:val="000000" w:themeColor="text1"/>
        </w:rPr>
        <w:t>Bollen</w:t>
      </w:r>
      <w:proofErr w:type="spellEnd"/>
      <w:r w:rsidR="001F1244" w:rsidRPr="00EE601A">
        <w:rPr>
          <w:rFonts w:asciiTheme="majorBidi" w:hAnsiTheme="majorBidi" w:cstheme="majorBidi"/>
          <w:iCs/>
          <w:color w:val="000000" w:themeColor="text1"/>
        </w:rPr>
        <w:t xml:space="preserve">, 2007; </w:t>
      </w:r>
      <w:proofErr w:type="spellStart"/>
      <w:r w:rsidR="001F1244" w:rsidRPr="00EE601A">
        <w:rPr>
          <w:rFonts w:asciiTheme="majorBidi" w:hAnsiTheme="majorBidi" w:cstheme="majorBidi"/>
          <w:iCs/>
          <w:color w:val="000000" w:themeColor="text1"/>
        </w:rPr>
        <w:t>Gutsche</w:t>
      </w:r>
      <w:proofErr w:type="spellEnd"/>
      <w:r w:rsidR="001F1244" w:rsidRPr="00EE601A">
        <w:rPr>
          <w:rFonts w:asciiTheme="majorBidi" w:hAnsiTheme="majorBidi" w:cstheme="majorBidi"/>
          <w:iCs/>
          <w:color w:val="000000" w:themeColor="text1"/>
        </w:rPr>
        <w:t xml:space="preserve"> and Ziegler, 2019).”</w:t>
      </w:r>
      <w:r w:rsidR="00C221FF" w:rsidRPr="00EE601A">
        <w:rPr>
          <w:rFonts w:ascii="Times New Roman" w:hAnsi="Times New Roman" w:cs="Times New Roman"/>
          <w:color w:val="000000" w:themeColor="text1"/>
          <w:lang w:eastAsia="en-GB"/>
        </w:rPr>
        <w:t xml:space="preserve"> </w:t>
      </w:r>
      <w:r w:rsidRPr="00EE601A">
        <w:rPr>
          <w:rFonts w:ascii="Times New Roman" w:hAnsi="Times New Roman" w:cs="Times New Roman"/>
          <w:color w:val="000000" w:themeColor="text1"/>
          <w:lang w:eastAsia="en-GB"/>
        </w:rPr>
        <w:t>We also wish to thank the referee for providing the references</w:t>
      </w:r>
      <w:r w:rsidR="00C221FF" w:rsidRPr="00EE601A">
        <w:rPr>
          <w:rFonts w:ascii="Times New Roman" w:hAnsi="Times New Roman" w:cs="Times New Roman"/>
          <w:color w:val="000000" w:themeColor="text1"/>
          <w:lang w:eastAsia="en-GB"/>
        </w:rPr>
        <w:t>.</w:t>
      </w:r>
    </w:p>
    <w:p w14:paraId="5CAD18FD" w14:textId="77777777" w:rsidR="004B1517" w:rsidRPr="00EE601A" w:rsidRDefault="004B1517" w:rsidP="00AB5F2D">
      <w:pPr>
        <w:shd w:val="clear" w:color="auto" w:fill="FFFFFF"/>
        <w:jc w:val="both"/>
        <w:rPr>
          <w:rFonts w:ascii="Times New Roman" w:hAnsi="Times New Roman" w:cs="Times New Roman"/>
          <w:color w:val="000000" w:themeColor="text1"/>
          <w:lang w:eastAsia="en-GB"/>
        </w:rPr>
      </w:pPr>
    </w:p>
    <w:p w14:paraId="007D487A" w14:textId="77777777" w:rsidR="00404CE3" w:rsidRPr="00EE601A" w:rsidRDefault="00404CE3" w:rsidP="00AB5F2D">
      <w:pPr>
        <w:shd w:val="clear" w:color="auto" w:fill="FFFFFF"/>
        <w:jc w:val="both"/>
        <w:rPr>
          <w:rFonts w:ascii="Times New Roman" w:hAnsi="Times New Roman" w:cs="Times New Roman"/>
          <w:color w:val="000000" w:themeColor="text1"/>
          <w:lang w:eastAsia="en-GB"/>
        </w:rPr>
      </w:pPr>
    </w:p>
    <w:p w14:paraId="61521436" w14:textId="77777777" w:rsidR="00C221FF" w:rsidRPr="00EE601A" w:rsidRDefault="00C221FF" w:rsidP="00AB5F2D">
      <w:pPr>
        <w:shd w:val="clear" w:color="auto" w:fill="FFFFFF"/>
        <w:jc w:val="both"/>
        <w:rPr>
          <w:rFonts w:ascii="Times New Roman" w:hAnsi="Times New Roman" w:cs="Times New Roman"/>
          <w:b/>
          <w:color w:val="000000" w:themeColor="text1"/>
          <w:lang w:eastAsia="en-GB"/>
        </w:rPr>
      </w:pPr>
      <w:r w:rsidRPr="00EE601A">
        <w:rPr>
          <w:rFonts w:ascii="Times New Roman" w:hAnsi="Times New Roman" w:cs="Times New Roman"/>
          <w:b/>
          <w:color w:val="000000" w:themeColor="text1"/>
          <w:lang w:eastAsia="en-GB"/>
        </w:rPr>
        <w:t>Comment b:</w:t>
      </w:r>
    </w:p>
    <w:p w14:paraId="24DE35AF" w14:textId="77777777" w:rsidR="00C221FF" w:rsidRPr="00EE601A" w:rsidRDefault="00C221FF" w:rsidP="00AB5F2D">
      <w:pPr>
        <w:shd w:val="clear" w:color="auto" w:fill="FFFFFF"/>
        <w:jc w:val="both"/>
        <w:rPr>
          <w:rFonts w:ascii="Times New Roman" w:hAnsi="Times New Roman" w:cs="Times New Roman"/>
          <w:color w:val="000000" w:themeColor="text1"/>
          <w:lang w:eastAsia="en-GB"/>
        </w:rPr>
      </w:pPr>
    </w:p>
    <w:p w14:paraId="7BBE4640" w14:textId="77777777" w:rsidR="00944961" w:rsidRPr="00EE601A" w:rsidRDefault="00944961" w:rsidP="00AB5F2D">
      <w:pPr>
        <w:shd w:val="clear" w:color="auto" w:fill="FFFFFF"/>
        <w:jc w:val="both"/>
        <w:rPr>
          <w:rFonts w:ascii="Times New Roman" w:hAnsi="Times New Roman" w:cs="Times New Roman"/>
          <w:i/>
          <w:color w:val="000000" w:themeColor="text1"/>
          <w:lang w:eastAsia="en-GB"/>
        </w:rPr>
      </w:pPr>
      <w:r w:rsidRPr="00EE601A">
        <w:rPr>
          <w:rFonts w:ascii="Times New Roman" w:hAnsi="Times New Roman" w:cs="Times New Roman"/>
          <w:i/>
          <w:color w:val="000000" w:themeColor="text1"/>
          <w:lang w:eastAsia="en-GB"/>
        </w:rPr>
        <w:t xml:space="preserve">Equation (1) is wrong as it should be </w:t>
      </w:r>
      <w:proofErr w:type="gramStart"/>
      <w:r w:rsidRPr="00EE601A">
        <w:rPr>
          <w:rFonts w:ascii="Times New Roman" w:hAnsi="Times New Roman" w:cs="Times New Roman"/>
          <w:i/>
          <w:color w:val="000000" w:themeColor="text1"/>
          <w:lang w:eastAsia="en-GB"/>
        </w:rPr>
        <w:t>()^</w:t>
      </w:r>
      <w:proofErr w:type="gramEnd"/>
      <w:r w:rsidRPr="00EE601A">
        <w:rPr>
          <w:rFonts w:ascii="Times New Roman" w:hAnsi="Times New Roman" w:cs="Times New Roman"/>
          <w:i/>
          <w:color w:val="000000" w:themeColor="text1"/>
          <w:lang w:eastAsia="en-GB"/>
        </w:rPr>
        <w:t>2. Please define all components of the formula, i.e. r, n, and the indexes. This also applies to other equations (e.g. index t in equation (3) on page 12).    </w:t>
      </w:r>
    </w:p>
    <w:p w14:paraId="4D99F09F" w14:textId="77777777" w:rsidR="00C221FF" w:rsidRPr="00EE601A" w:rsidRDefault="00C221FF" w:rsidP="00AB5F2D">
      <w:pPr>
        <w:shd w:val="clear" w:color="auto" w:fill="FFFFFF"/>
        <w:jc w:val="both"/>
        <w:rPr>
          <w:rFonts w:ascii="Times New Roman" w:hAnsi="Times New Roman" w:cs="Times New Roman"/>
          <w:color w:val="000000" w:themeColor="text1"/>
          <w:lang w:eastAsia="en-GB"/>
        </w:rPr>
      </w:pPr>
    </w:p>
    <w:p w14:paraId="25B0E8D8" w14:textId="2651F1E6" w:rsidR="0041330E" w:rsidRPr="00EE601A" w:rsidRDefault="00856343" w:rsidP="00AB5F2D">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We are grateful to the referee for pointing out these errors.</w:t>
      </w:r>
      <w:r w:rsidR="00F6075F" w:rsidRPr="00EE601A">
        <w:rPr>
          <w:rFonts w:ascii="Times New Roman" w:hAnsi="Times New Roman" w:cs="Times New Roman"/>
          <w:color w:val="000000" w:themeColor="text1"/>
          <w:lang w:eastAsia="en-GB"/>
        </w:rPr>
        <w:t xml:space="preserve"> </w:t>
      </w:r>
      <w:r w:rsidRPr="00EE601A">
        <w:rPr>
          <w:rFonts w:ascii="Times New Roman" w:hAnsi="Times New Roman" w:cs="Times New Roman"/>
          <w:color w:val="000000" w:themeColor="text1"/>
          <w:lang w:eastAsia="en-GB"/>
        </w:rPr>
        <w:t xml:space="preserve">Following the advice of the referee, </w:t>
      </w:r>
      <w:r w:rsidR="0041330E" w:rsidRPr="00EE601A">
        <w:rPr>
          <w:rFonts w:ascii="Times New Roman" w:hAnsi="Times New Roman" w:cs="Times New Roman"/>
          <w:color w:val="000000" w:themeColor="text1"/>
          <w:lang w:eastAsia="en-GB"/>
        </w:rPr>
        <w:t xml:space="preserve">Equation (1) </w:t>
      </w:r>
      <w:r w:rsidR="00F6075F" w:rsidRPr="00EE601A">
        <w:rPr>
          <w:rFonts w:ascii="Times New Roman" w:hAnsi="Times New Roman" w:cs="Times New Roman"/>
          <w:color w:val="000000" w:themeColor="text1"/>
          <w:lang w:eastAsia="en-GB"/>
        </w:rPr>
        <w:t xml:space="preserve">on page 10 has been amended to </w:t>
      </w:r>
      <w:r w:rsidR="0041330E" w:rsidRPr="00EE601A">
        <w:rPr>
          <w:rFonts w:ascii="Times New Roman" w:hAnsi="Times New Roman" w:cs="Times New Roman"/>
          <w:color w:val="000000" w:themeColor="text1"/>
          <w:lang w:eastAsia="en-GB"/>
        </w:rPr>
        <w:t>include</w:t>
      </w:r>
      <w:r w:rsidR="00F6075F" w:rsidRPr="00EE601A">
        <w:rPr>
          <w:rFonts w:ascii="Times New Roman" w:hAnsi="Times New Roman" w:cs="Times New Roman"/>
          <w:color w:val="000000" w:themeColor="text1"/>
          <w:lang w:eastAsia="en-GB"/>
        </w:rPr>
        <w:t xml:space="preserve"> the power,</w:t>
      </w:r>
      <w:r w:rsidR="0041330E" w:rsidRPr="00EE601A">
        <w:rPr>
          <w:rFonts w:ascii="Times New Roman" w:hAnsi="Times New Roman" w:cs="Times New Roman"/>
          <w:color w:val="000000" w:themeColor="text1"/>
          <w:lang w:eastAsia="en-GB"/>
        </w:rPr>
        <w:t xml:space="preserve"> the return (r), number of asset observations (n) and time (t) </w:t>
      </w:r>
      <w:r w:rsidR="00F6075F" w:rsidRPr="00EE601A">
        <w:rPr>
          <w:rFonts w:ascii="Times New Roman" w:hAnsi="Times New Roman" w:cs="Times New Roman"/>
          <w:color w:val="000000" w:themeColor="text1"/>
          <w:lang w:eastAsia="en-GB"/>
        </w:rPr>
        <w:t xml:space="preserve">are also </w:t>
      </w:r>
      <w:r w:rsidR="0041330E" w:rsidRPr="00EE601A">
        <w:rPr>
          <w:rFonts w:ascii="Times New Roman" w:hAnsi="Times New Roman" w:cs="Times New Roman"/>
          <w:color w:val="000000" w:themeColor="text1"/>
          <w:lang w:eastAsia="en-GB"/>
        </w:rPr>
        <w:t>defined.</w:t>
      </w:r>
      <w:r w:rsidR="00C8741B" w:rsidRPr="00EE601A">
        <w:rPr>
          <w:rFonts w:ascii="Times New Roman" w:hAnsi="Times New Roman" w:cs="Times New Roman"/>
          <w:color w:val="000000" w:themeColor="text1"/>
          <w:lang w:eastAsia="en-GB"/>
        </w:rPr>
        <w:t xml:space="preserve"> Equation (3) on page 12</w:t>
      </w:r>
      <w:r w:rsidRPr="00EE601A">
        <w:rPr>
          <w:rFonts w:ascii="Times New Roman" w:hAnsi="Times New Roman" w:cs="Times New Roman"/>
          <w:color w:val="000000" w:themeColor="text1"/>
          <w:lang w:eastAsia="en-GB"/>
        </w:rPr>
        <w:t xml:space="preserve"> has also been</w:t>
      </w:r>
      <w:r w:rsidR="00C8741B" w:rsidRPr="00EE601A">
        <w:rPr>
          <w:rFonts w:ascii="Times New Roman" w:hAnsi="Times New Roman" w:cs="Times New Roman"/>
          <w:color w:val="000000" w:themeColor="text1"/>
          <w:lang w:eastAsia="en-GB"/>
        </w:rPr>
        <w:t xml:space="preserve"> amended. </w:t>
      </w:r>
    </w:p>
    <w:p w14:paraId="52CCC272" w14:textId="77777777" w:rsidR="004B1517" w:rsidRPr="00EE601A" w:rsidRDefault="004B1517" w:rsidP="00AB5F2D">
      <w:pPr>
        <w:shd w:val="clear" w:color="auto" w:fill="FFFFFF"/>
        <w:jc w:val="both"/>
        <w:rPr>
          <w:rFonts w:ascii="Times New Roman" w:hAnsi="Times New Roman" w:cs="Times New Roman"/>
          <w:color w:val="000000" w:themeColor="text1"/>
          <w:lang w:eastAsia="en-GB"/>
        </w:rPr>
      </w:pPr>
    </w:p>
    <w:p w14:paraId="76754862" w14:textId="77777777" w:rsidR="00C221FF" w:rsidRPr="00EE601A" w:rsidRDefault="00C8741B" w:rsidP="00AB5F2D">
      <w:pPr>
        <w:shd w:val="clear" w:color="auto" w:fill="FFFFFF"/>
        <w:jc w:val="both"/>
        <w:rPr>
          <w:rFonts w:ascii="Times New Roman" w:hAnsi="Times New Roman" w:cs="Times New Roman"/>
          <w:b/>
          <w:color w:val="000000" w:themeColor="text1"/>
          <w:lang w:eastAsia="en-GB"/>
        </w:rPr>
      </w:pPr>
      <w:r w:rsidRPr="00EE601A">
        <w:rPr>
          <w:rFonts w:ascii="Times New Roman" w:hAnsi="Times New Roman" w:cs="Times New Roman"/>
          <w:b/>
          <w:color w:val="000000" w:themeColor="text1"/>
          <w:lang w:eastAsia="en-GB"/>
        </w:rPr>
        <w:lastRenderedPageBreak/>
        <w:t>Comment c:</w:t>
      </w:r>
    </w:p>
    <w:p w14:paraId="0C66DE07" w14:textId="77777777" w:rsidR="00C8741B" w:rsidRPr="00EE601A" w:rsidRDefault="00C8741B" w:rsidP="00AB5F2D">
      <w:pPr>
        <w:shd w:val="clear" w:color="auto" w:fill="FFFFFF"/>
        <w:jc w:val="both"/>
        <w:rPr>
          <w:rFonts w:ascii="Times New Roman" w:hAnsi="Times New Roman" w:cs="Times New Roman"/>
          <w:b/>
          <w:color w:val="000000" w:themeColor="text1"/>
          <w:lang w:eastAsia="en-GB"/>
        </w:rPr>
      </w:pPr>
    </w:p>
    <w:p w14:paraId="616060EC" w14:textId="77777777" w:rsidR="00944961" w:rsidRPr="00EE601A" w:rsidRDefault="00944961" w:rsidP="00AB5F2D">
      <w:pPr>
        <w:shd w:val="clear" w:color="auto" w:fill="FFFFFF"/>
        <w:jc w:val="both"/>
        <w:rPr>
          <w:rFonts w:ascii="Times New Roman" w:hAnsi="Times New Roman" w:cs="Times New Roman"/>
          <w:i/>
          <w:color w:val="000000" w:themeColor="text1"/>
          <w:lang w:eastAsia="en-GB"/>
        </w:rPr>
      </w:pPr>
      <w:r w:rsidRPr="00EE601A">
        <w:rPr>
          <w:rFonts w:ascii="Times New Roman" w:hAnsi="Times New Roman" w:cs="Times New Roman"/>
          <w:i/>
          <w:color w:val="000000" w:themeColor="text1"/>
          <w:lang w:eastAsia="en-GB"/>
        </w:rPr>
        <w:t>The upper limit of the summation in equation (2) should be 11 and not 10.</w:t>
      </w:r>
    </w:p>
    <w:p w14:paraId="49732848" w14:textId="77777777" w:rsidR="00C8741B" w:rsidRPr="00EE601A" w:rsidRDefault="00C8741B" w:rsidP="00AB5F2D">
      <w:pPr>
        <w:shd w:val="clear" w:color="auto" w:fill="FFFFFF"/>
        <w:jc w:val="both"/>
        <w:rPr>
          <w:rFonts w:ascii="Times New Roman" w:hAnsi="Times New Roman" w:cs="Times New Roman"/>
          <w:color w:val="000000" w:themeColor="text1"/>
          <w:lang w:eastAsia="en-GB"/>
        </w:rPr>
      </w:pPr>
    </w:p>
    <w:p w14:paraId="61DD373C" w14:textId="75E2E9A9" w:rsidR="00C8741B" w:rsidRPr="00EE601A" w:rsidRDefault="00856343" w:rsidP="00AB5F2D">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 xml:space="preserve">Once again, we are grateful to the referee for pointing out this minor error. </w:t>
      </w:r>
      <w:r w:rsidR="00C8741B" w:rsidRPr="00EE601A">
        <w:rPr>
          <w:rFonts w:ascii="Times New Roman" w:hAnsi="Times New Roman" w:cs="Times New Roman"/>
          <w:color w:val="000000" w:themeColor="text1"/>
          <w:lang w:eastAsia="en-GB"/>
        </w:rPr>
        <w:t xml:space="preserve">The upper limit </w:t>
      </w:r>
      <w:r w:rsidRPr="00EE601A">
        <w:rPr>
          <w:rFonts w:ascii="Times New Roman" w:hAnsi="Times New Roman" w:cs="Times New Roman"/>
          <w:color w:val="000000" w:themeColor="text1"/>
          <w:lang w:eastAsia="en-GB"/>
        </w:rPr>
        <w:t>has been</w:t>
      </w:r>
      <w:r w:rsidR="00C8741B" w:rsidRPr="00EE601A">
        <w:rPr>
          <w:rFonts w:ascii="Times New Roman" w:hAnsi="Times New Roman" w:cs="Times New Roman"/>
          <w:color w:val="000000" w:themeColor="text1"/>
          <w:lang w:eastAsia="en-GB"/>
        </w:rPr>
        <w:t xml:space="preserve"> corrected to 11 instead of 10. </w:t>
      </w:r>
    </w:p>
    <w:p w14:paraId="7E9CD3E8" w14:textId="273ADD70" w:rsidR="00C8741B" w:rsidRPr="00EE601A" w:rsidRDefault="00C8741B" w:rsidP="00AB5F2D">
      <w:pPr>
        <w:shd w:val="clear" w:color="auto" w:fill="FFFFFF"/>
        <w:jc w:val="both"/>
        <w:rPr>
          <w:rFonts w:ascii="Times New Roman" w:hAnsi="Times New Roman" w:cs="Times New Roman"/>
          <w:color w:val="000000" w:themeColor="text1"/>
          <w:lang w:eastAsia="en-GB"/>
        </w:rPr>
      </w:pPr>
    </w:p>
    <w:p w14:paraId="1AFF4089" w14:textId="77777777" w:rsidR="00856343" w:rsidRPr="00EE601A" w:rsidRDefault="00856343" w:rsidP="00AB5F2D">
      <w:pPr>
        <w:shd w:val="clear" w:color="auto" w:fill="FFFFFF"/>
        <w:jc w:val="both"/>
        <w:rPr>
          <w:rFonts w:ascii="Times New Roman" w:hAnsi="Times New Roman" w:cs="Times New Roman"/>
          <w:color w:val="000000" w:themeColor="text1"/>
          <w:lang w:eastAsia="en-GB"/>
        </w:rPr>
      </w:pPr>
    </w:p>
    <w:p w14:paraId="2FC24E12" w14:textId="77777777" w:rsidR="00C8741B" w:rsidRPr="00EE601A" w:rsidRDefault="00C8741B" w:rsidP="00AB5F2D">
      <w:pPr>
        <w:shd w:val="clear" w:color="auto" w:fill="FFFFFF"/>
        <w:jc w:val="both"/>
        <w:rPr>
          <w:rFonts w:ascii="Times New Roman" w:hAnsi="Times New Roman" w:cs="Times New Roman"/>
          <w:b/>
          <w:color w:val="000000" w:themeColor="text1"/>
          <w:lang w:eastAsia="en-GB"/>
        </w:rPr>
      </w:pPr>
      <w:r w:rsidRPr="00EE601A">
        <w:rPr>
          <w:rFonts w:ascii="Times New Roman" w:hAnsi="Times New Roman" w:cs="Times New Roman"/>
          <w:b/>
          <w:color w:val="000000" w:themeColor="text1"/>
          <w:lang w:eastAsia="en-GB"/>
        </w:rPr>
        <w:t>Comment d:</w:t>
      </w:r>
    </w:p>
    <w:p w14:paraId="4C39E41A" w14:textId="77777777" w:rsidR="00C8741B" w:rsidRPr="00EE601A" w:rsidRDefault="00C8741B" w:rsidP="00AB5F2D">
      <w:pPr>
        <w:shd w:val="clear" w:color="auto" w:fill="FFFFFF"/>
        <w:jc w:val="both"/>
        <w:rPr>
          <w:rFonts w:ascii="Times New Roman" w:hAnsi="Times New Roman" w:cs="Times New Roman"/>
          <w:b/>
          <w:color w:val="000000" w:themeColor="text1"/>
          <w:lang w:eastAsia="en-GB"/>
        </w:rPr>
      </w:pPr>
    </w:p>
    <w:p w14:paraId="63F091EF" w14:textId="77777777" w:rsidR="00944961" w:rsidRPr="00EE601A" w:rsidRDefault="00944961" w:rsidP="00AB5F2D">
      <w:pPr>
        <w:shd w:val="clear" w:color="auto" w:fill="FFFFFF"/>
        <w:jc w:val="both"/>
        <w:rPr>
          <w:rFonts w:ascii="Times New Roman" w:hAnsi="Times New Roman" w:cs="Times New Roman"/>
          <w:i/>
          <w:color w:val="000000" w:themeColor="text1"/>
          <w:lang w:eastAsia="en-GB"/>
        </w:rPr>
      </w:pPr>
      <w:r w:rsidRPr="00EE601A">
        <w:rPr>
          <w:rFonts w:ascii="Times New Roman" w:hAnsi="Times New Roman" w:cs="Times New Roman"/>
          <w:i/>
          <w:color w:val="000000" w:themeColor="text1"/>
          <w:lang w:eastAsia="en-GB"/>
        </w:rPr>
        <w:t>Page 10: I suggest to simply use the term “book-to-price ratio” instead of “inverse of price-to-book ratio”.</w:t>
      </w:r>
    </w:p>
    <w:p w14:paraId="1F1B6B86" w14:textId="77777777" w:rsidR="00C8741B" w:rsidRPr="00EE601A" w:rsidRDefault="00C8741B" w:rsidP="00AB5F2D">
      <w:pPr>
        <w:shd w:val="clear" w:color="auto" w:fill="FFFFFF"/>
        <w:jc w:val="both"/>
        <w:rPr>
          <w:rFonts w:ascii="Times New Roman" w:hAnsi="Times New Roman" w:cs="Times New Roman"/>
          <w:color w:val="000000" w:themeColor="text1"/>
          <w:lang w:eastAsia="en-GB"/>
        </w:rPr>
      </w:pPr>
    </w:p>
    <w:p w14:paraId="79F8A428" w14:textId="56CDA6F4" w:rsidR="00C8741B" w:rsidRPr="00EE601A" w:rsidRDefault="00856343" w:rsidP="00AB5F2D">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 xml:space="preserve">Following the advice of the referee, </w:t>
      </w:r>
      <w:r w:rsidR="009E1888" w:rsidRPr="00EE601A">
        <w:rPr>
          <w:rFonts w:ascii="Times New Roman" w:hAnsi="Times New Roman" w:cs="Times New Roman"/>
          <w:color w:val="000000" w:themeColor="text1"/>
          <w:lang w:eastAsia="en-GB"/>
        </w:rPr>
        <w:t xml:space="preserve">“Inverse of price-to-book” </w:t>
      </w:r>
      <w:r w:rsidR="00A87927" w:rsidRPr="00EE601A">
        <w:rPr>
          <w:rFonts w:ascii="Times New Roman" w:hAnsi="Times New Roman" w:cs="Times New Roman"/>
          <w:color w:val="000000" w:themeColor="text1"/>
          <w:lang w:eastAsia="en-GB"/>
        </w:rPr>
        <w:t>has been</w:t>
      </w:r>
      <w:r w:rsidR="009E1888" w:rsidRPr="00EE601A">
        <w:rPr>
          <w:rFonts w:ascii="Times New Roman" w:hAnsi="Times New Roman" w:cs="Times New Roman"/>
          <w:color w:val="000000" w:themeColor="text1"/>
          <w:lang w:eastAsia="en-GB"/>
        </w:rPr>
        <w:t xml:space="preserve"> amended to “book-to-price” on page</w:t>
      </w:r>
      <w:r w:rsidR="00A87927" w:rsidRPr="00EE601A">
        <w:rPr>
          <w:rFonts w:ascii="Times New Roman" w:hAnsi="Times New Roman" w:cs="Times New Roman"/>
          <w:color w:val="000000" w:themeColor="text1"/>
          <w:lang w:eastAsia="en-GB"/>
        </w:rPr>
        <w:t>s</w:t>
      </w:r>
      <w:r w:rsidR="009E1888" w:rsidRPr="00EE601A">
        <w:rPr>
          <w:rFonts w:ascii="Times New Roman" w:hAnsi="Times New Roman" w:cs="Times New Roman"/>
          <w:color w:val="000000" w:themeColor="text1"/>
          <w:lang w:eastAsia="en-GB"/>
        </w:rPr>
        <w:t xml:space="preserve"> 10, 12 and 35 (Table 2</w:t>
      </w:r>
      <w:r w:rsidR="00022072" w:rsidRPr="00EE601A">
        <w:rPr>
          <w:rFonts w:ascii="Times New Roman" w:hAnsi="Times New Roman" w:cs="Times New Roman"/>
          <w:color w:val="000000" w:themeColor="text1"/>
          <w:lang w:eastAsia="en-GB"/>
        </w:rPr>
        <w:t xml:space="preserve"> description</w:t>
      </w:r>
      <w:r w:rsidR="009E1888" w:rsidRPr="00EE601A">
        <w:rPr>
          <w:rFonts w:ascii="Times New Roman" w:hAnsi="Times New Roman" w:cs="Times New Roman"/>
          <w:color w:val="000000" w:themeColor="text1"/>
          <w:lang w:eastAsia="en-GB"/>
        </w:rPr>
        <w:t>).</w:t>
      </w:r>
    </w:p>
    <w:p w14:paraId="520CF8AE" w14:textId="4D5B7613" w:rsidR="004B1517" w:rsidRPr="00EE601A" w:rsidRDefault="004B1517" w:rsidP="00AB5F2D">
      <w:pPr>
        <w:shd w:val="clear" w:color="auto" w:fill="FFFFFF"/>
        <w:jc w:val="both"/>
        <w:rPr>
          <w:rFonts w:ascii="Times New Roman" w:hAnsi="Times New Roman" w:cs="Times New Roman"/>
          <w:color w:val="000000" w:themeColor="text1"/>
          <w:lang w:eastAsia="en-GB"/>
        </w:rPr>
      </w:pPr>
    </w:p>
    <w:p w14:paraId="48CD9A7B" w14:textId="77777777" w:rsidR="00856343" w:rsidRPr="00EE601A" w:rsidRDefault="00856343" w:rsidP="00AB5F2D">
      <w:pPr>
        <w:shd w:val="clear" w:color="auto" w:fill="FFFFFF"/>
        <w:jc w:val="both"/>
        <w:rPr>
          <w:rFonts w:ascii="Times New Roman" w:hAnsi="Times New Roman" w:cs="Times New Roman"/>
          <w:color w:val="000000" w:themeColor="text1"/>
          <w:lang w:eastAsia="en-GB"/>
        </w:rPr>
      </w:pPr>
    </w:p>
    <w:p w14:paraId="714FC7CD" w14:textId="77777777" w:rsidR="009E1888" w:rsidRPr="00EE601A" w:rsidRDefault="009E1888" w:rsidP="00AB5F2D">
      <w:pPr>
        <w:shd w:val="clear" w:color="auto" w:fill="FFFFFF"/>
        <w:jc w:val="both"/>
        <w:rPr>
          <w:rFonts w:ascii="Times New Roman" w:hAnsi="Times New Roman" w:cs="Times New Roman"/>
          <w:b/>
          <w:color w:val="000000" w:themeColor="text1"/>
          <w:lang w:eastAsia="en-GB"/>
        </w:rPr>
      </w:pPr>
      <w:r w:rsidRPr="00EE601A">
        <w:rPr>
          <w:rFonts w:ascii="Times New Roman" w:hAnsi="Times New Roman" w:cs="Times New Roman"/>
          <w:b/>
          <w:color w:val="000000" w:themeColor="text1"/>
          <w:lang w:eastAsia="en-GB"/>
        </w:rPr>
        <w:t>Comment e:</w:t>
      </w:r>
    </w:p>
    <w:p w14:paraId="1CB0F704" w14:textId="77777777" w:rsidR="00C8741B" w:rsidRPr="00EE601A" w:rsidRDefault="00C8741B" w:rsidP="00AB5F2D">
      <w:pPr>
        <w:shd w:val="clear" w:color="auto" w:fill="FFFFFF"/>
        <w:jc w:val="both"/>
        <w:rPr>
          <w:rFonts w:ascii="Times New Roman" w:hAnsi="Times New Roman" w:cs="Times New Roman"/>
          <w:color w:val="000000" w:themeColor="text1"/>
          <w:lang w:eastAsia="en-GB"/>
        </w:rPr>
      </w:pPr>
    </w:p>
    <w:p w14:paraId="4C010B86" w14:textId="0CAA3B3C" w:rsidR="00944961" w:rsidRPr="00EE601A" w:rsidRDefault="00944961" w:rsidP="00AB5F2D">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i/>
          <w:color w:val="000000" w:themeColor="text1"/>
          <w:lang w:eastAsia="en-GB"/>
        </w:rPr>
        <w:t xml:space="preserve">Page 11: One should add the index t to the formula for the combined signal for each stock </w:t>
      </w:r>
      <w:proofErr w:type="spellStart"/>
      <w:r w:rsidRPr="00EE601A">
        <w:rPr>
          <w:rFonts w:ascii="Times New Roman" w:hAnsi="Times New Roman" w:cs="Times New Roman"/>
          <w:i/>
          <w:color w:val="000000" w:themeColor="text1"/>
          <w:lang w:eastAsia="en-GB"/>
        </w:rPr>
        <w:t>i</w:t>
      </w:r>
      <w:proofErr w:type="spellEnd"/>
      <w:r w:rsidRPr="00EE601A">
        <w:rPr>
          <w:rFonts w:ascii="Times New Roman" w:hAnsi="Times New Roman" w:cs="Times New Roman"/>
          <w:i/>
          <w:color w:val="000000" w:themeColor="text1"/>
          <w:lang w:eastAsia="en-GB"/>
        </w:rPr>
        <w:t xml:space="preserve"> (as portfolios are formed each month</w:t>
      </w:r>
      <w:r w:rsidRPr="00EE601A">
        <w:rPr>
          <w:rFonts w:ascii="Times New Roman" w:hAnsi="Times New Roman" w:cs="Times New Roman"/>
          <w:color w:val="000000" w:themeColor="text1"/>
          <w:lang w:eastAsia="en-GB"/>
        </w:rPr>
        <w:t>).</w:t>
      </w:r>
    </w:p>
    <w:p w14:paraId="5F2400EC" w14:textId="77777777" w:rsidR="009E1888" w:rsidRPr="00EE601A" w:rsidRDefault="009E1888" w:rsidP="00AB5F2D">
      <w:pPr>
        <w:shd w:val="clear" w:color="auto" w:fill="FFFFFF"/>
        <w:jc w:val="both"/>
        <w:rPr>
          <w:rFonts w:ascii="Times New Roman" w:hAnsi="Times New Roman" w:cs="Times New Roman"/>
          <w:color w:val="000000" w:themeColor="text1"/>
          <w:lang w:eastAsia="en-GB"/>
        </w:rPr>
      </w:pPr>
    </w:p>
    <w:p w14:paraId="0344577F" w14:textId="18450FD8" w:rsidR="009E1888" w:rsidRPr="00EE601A" w:rsidRDefault="009E1888" w:rsidP="00AB5F2D">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 xml:space="preserve">The index </w:t>
      </w:r>
      <w:r w:rsidRPr="00EE601A">
        <w:rPr>
          <w:rFonts w:ascii="Times New Roman" w:hAnsi="Times New Roman" w:cs="Times New Roman"/>
          <w:i/>
          <w:color w:val="000000" w:themeColor="text1"/>
          <w:lang w:eastAsia="en-GB"/>
        </w:rPr>
        <w:t>t</w:t>
      </w:r>
      <w:r w:rsidRPr="00EE601A">
        <w:rPr>
          <w:rFonts w:ascii="Times New Roman" w:hAnsi="Times New Roman" w:cs="Times New Roman"/>
          <w:color w:val="000000" w:themeColor="text1"/>
          <w:lang w:eastAsia="en-GB"/>
        </w:rPr>
        <w:t xml:space="preserve"> is added to the formula on page 11 as per</w:t>
      </w:r>
      <w:r w:rsidR="00A87927" w:rsidRPr="00EE601A">
        <w:rPr>
          <w:rFonts w:ascii="Times New Roman" w:hAnsi="Times New Roman" w:cs="Times New Roman"/>
          <w:color w:val="000000" w:themeColor="text1"/>
          <w:lang w:eastAsia="en-GB"/>
        </w:rPr>
        <w:t xml:space="preserve"> the</w:t>
      </w:r>
      <w:r w:rsidRPr="00EE601A">
        <w:rPr>
          <w:rFonts w:ascii="Times New Roman" w:hAnsi="Times New Roman" w:cs="Times New Roman"/>
          <w:color w:val="000000" w:themeColor="text1"/>
          <w:lang w:eastAsia="en-GB"/>
        </w:rPr>
        <w:t xml:space="preserve"> suggestion</w:t>
      </w:r>
      <w:r w:rsidR="00A87927" w:rsidRPr="00EE601A">
        <w:rPr>
          <w:rFonts w:ascii="Times New Roman" w:hAnsi="Times New Roman" w:cs="Times New Roman"/>
          <w:color w:val="000000" w:themeColor="text1"/>
          <w:lang w:eastAsia="en-GB"/>
        </w:rPr>
        <w:t xml:space="preserve"> of the referee</w:t>
      </w:r>
      <w:r w:rsidRPr="00EE601A">
        <w:rPr>
          <w:rFonts w:ascii="Times New Roman" w:hAnsi="Times New Roman" w:cs="Times New Roman"/>
          <w:color w:val="000000" w:themeColor="text1"/>
          <w:lang w:eastAsia="en-GB"/>
        </w:rPr>
        <w:t>.</w:t>
      </w:r>
      <w:r w:rsidR="00435263" w:rsidRPr="00EE601A">
        <w:rPr>
          <w:rFonts w:ascii="Times New Roman" w:hAnsi="Times New Roman" w:cs="Times New Roman"/>
          <w:color w:val="000000" w:themeColor="text1"/>
          <w:lang w:eastAsia="en-GB"/>
        </w:rPr>
        <w:t xml:space="preserve"> The expression now reads as: </w:t>
      </w:r>
      <w:r w:rsidR="00435263" w:rsidRPr="00EE601A">
        <w:rPr>
          <w:rFonts w:ascii="Times New Roman" w:hAnsi="Times New Roman" w:cs="Times New Roman"/>
          <w:color w:val="000000" w:themeColor="text1"/>
        </w:rPr>
        <w:t xml:space="preserve">[0.5 × </w:t>
      </w:r>
      <w:proofErr w:type="spellStart"/>
      <w:r w:rsidR="00435263" w:rsidRPr="00EE601A">
        <w:rPr>
          <w:rFonts w:ascii="Times New Roman" w:hAnsi="Times New Roman" w:cs="Times New Roman"/>
          <w:color w:val="000000" w:themeColor="text1"/>
        </w:rPr>
        <w:t>ESG_score</w:t>
      </w:r>
      <w:r w:rsidR="00435263" w:rsidRPr="00EE601A">
        <w:rPr>
          <w:rFonts w:ascii="Times New Roman" w:hAnsi="Times New Roman" w:cs="Times New Roman"/>
          <w:i/>
          <w:color w:val="000000" w:themeColor="text1"/>
          <w:vertAlign w:val="subscript"/>
        </w:rPr>
        <w:t>it</w:t>
      </w:r>
      <w:proofErr w:type="spellEnd"/>
      <w:r w:rsidR="00435263" w:rsidRPr="00EE601A">
        <w:rPr>
          <w:rFonts w:ascii="Times New Roman" w:hAnsi="Times New Roman" w:cs="Times New Roman"/>
          <w:color w:val="000000" w:themeColor="text1"/>
        </w:rPr>
        <w:t xml:space="preserve"> + 0.5 × </w:t>
      </w:r>
      <w:proofErr w:type="spellStart"/>
      <w:r w:rsidR="00435263" w:rsidRPr="00EE601A">
        <w:rPr>
          <w:rFonts w:ascii="Times New Roman" w:hAnsi="Times New Roman" w:cs="Times New Roman"/>
          <w:color w:val="000000" w:themeColor="text1"/>
        </w:rPr>
        <w:t>Signal_score</w:t>
      </w:r>
      <w:r w:rsidR="00435263" w:rsidRPr="00EE601A">
        <w:rPr>
          <w:rFonts w:ascii="Times New Roman" w:hAnsi="Times New Roman" w:cs="Times New Roman"/>
          <w:i/>
          <w:color w:val="000000" w:themeColor="text1"/>
          <w:vertAlign w:val="subscript"/>
        </w:rPr>
        <w:t>it</w:t>
      </w:r>
      <w:proofErr w:type="spellEnd"/>
      <w:r w:rsidR="00435263" w:rsidRPr="00EE601A">
        <w:rPr>
          <w:rFonts w:ascii="Times New Roman" w:hAnsi="Times New Roman" w:cs="Times New Roman"/>
          <w:color w:val="000000" w:themeColor="text1"/>
        </w:rPr>
        <w:t>].</w:t>
      </w:r>
    </w:p>
    <w:p w14:paraId="6FDD5CFB" w14:textId="56AD1DA0" w:rsidR="009E1888" w:rsidRPr="00EE601A" w:rsidRDefault="009E1888" w:rsidP="00AB5F2D">
      <w:pPr>
        <w:shd w:val="clear" w:color="auto" w:fill="FFFFFF"/>
        <w:jc w:val="both"/>
        <w:rPr>
          <w:rFonts w:ascii="Times New Roman" w:hAnsi="Times New Roman" w:cs="Times New Roman"/>
          <w:color w:val="000000" w:themeColor="text1"/>
          <w:lang w:eastAsia="en-GB"/>
        </w:rPr>
      </w:pPr>
    </w:p>
    <w:p w14:paraId="769B3DD6" w14:textId="77777777" w:rsidR="00856343" w:rsidRPr="00EE601A" w:rsidRDefault="00856343" w:rsidP="00AB5F2D">
      <w:pPr>
        <w:shd w:val="clear" w:color="auto" w:fill="FFFFFF"/>
        <w:jc w:val="both"/>
        <w:rPr>
          <w:rFonts w:ascii="Times New Roman" w:hAnsi="Times New Roman" w:cs="Times New Roman"/>
          <w:color w:val="000000" w:themeColor="text1"/>
          <w:lang w:eastAsia="en-GB"/>
        </w:rPr>
      </w:pPr>
    </w:p>
    <w:p w14:paraId="6AE52EED" w14:textId="03AA3B84" w:rsidR="0069124B" w:rsidRPr="00EE601A" w:rsidRDefault="0069124B" w:rsidP="00AB5F2D">
      <w:pPr>
        <w:shd w:val="clear" w:color="auto" w:fill="FFFFFF"/>
        <w:jc w:val="both"/>
        <w:rPr>
          <w:rFonts w:ascii="Times New Roman" w:hAnsi="Times New Roman" w:cs="Times New Roman"/>
          <w:b/>
          <w:color w:val="000000" w:themeColor="text1"/>
          <w:lang w:eastAsia="en-GB"/>
        </w:rPr>
      </w:pPr>
      <w:r w:rsidRPr="00EE601A">
        <w:rPr>
          <w:rFonts w:ascii="Times New Roman" w:hAnsi="Times New Roman" w:cs="Times New Roman"/>
          <w:b/>
          <w:color w:val="000000" w:themeColor="text1"/>
          <w:lang w:eastAsia="en-GB"/>
        </w:rPr>
        <w:t>Comment f:</w:t>
      </w:r>
    </w:p>
    <w:p w14:paraId="61649641" w14:textId="77777777" w:rsidR="0069124B" w:rsidRPr="00EE601A" w:rsidRDefault="0069124B" w:rsidP="00AB5F2D">
      <w:pPr>
        <w:shd w:val="clear" w:color="auto" w:fill="FFFFFF"/>
        <w:jc w:val="both"/>
        <w:rPr>
          <w:rFonts w:ascii="Times New Roman" w:hAnsi="Times New Roman" w:cs="Times New Roman"/>
          <w:color w:val="000000" w:themeColor="text1"/>
          <w:lang w:eastAsia="en-GB"/>
        </w:rPr>
      </w:pPr>
    </w:p>
    <w:p w14:paraId="1A44EBB8" w14:textId="34B9E7E2" w:rsidR="00944961" w:rsidRPr="00EE601A" w:rsidRDefault="00944961" w:rsidP="00AB5F2D">
      <w:pPr>
        <w:shd w:val="clear" w:color="auto" w:fill="FFFFFF"/>
        <w:jc w:val="both"/>
        <w:rPr>
          <w:rFonts w:ascii="Times New Roman" w:hAnsi="Times New Roman" w:cs="Times New Roman"/>
          <w:i/>
          <w:color w:val="000000" w:themeColor="text1"/>
          <w:lang w:eastAsia="en-GB"/>
        </w:rPr>
      </w:pPr>
      <w:r w:rsidRPr="00EE601A">
        <w:rPr>
          <w:rFonts w:ascii="Times New Roman" w:hAnsi="Times New Roman" w:cs="Times New Roman"/>
          <w:i/>
          <w:color w:val="000000" w:themeColor="text1"/>
          <w:lang w:eastAsia="en-GB"/>
        </w:rPr>
        <w:t>Page 12: It should be “beta_3i” and not “B_3i”.</w:t>
      </w:r>
    </w:p>
    <w:p w14:paraId="6CD259F4" w14:textId="77777777" w:rsidR="0069124B" w:rsidRPr="00EE601A" w:rsidRDefault="0069124B" w:rsidP="00AB5F2D">
      <w:pPr>
        <w:shd w:val="clear" w:color="auto" w:fill="FFFFFF"/>
        <w:jc w:val="both"/>
        <w:rPr>
          <w:rFonts w:ascii="Times New Roman" w:hAnsi="Times New Roman" w:cs="Times New Roman"/>
          <w:i/>
          <w:color w:val="000000" w:themeColor="text1"/>
          <w:lang w:eastAsia="en-GB"/>
        </w:rPr>
      </w:pPr>
    </w:p>
    <w:p w14:paraId="5CD1E205" w14:textId="26865606" w:rsidR="0069124B" w:rsidRPr="00EE601A" w:rsidRDefault="00A87927" w:rsidP="00AB5F2D">
      <w:pPr>
        <w:shd w:val="clear" w:color="auto" w:fill="FFFFFF"/>
        <w:jc w:val="both"/>
        <w:rPr>
          <w:rFonts w:ascii="Times New Roman" w:eastAsiaTheme="minorEastAsia" w:hAnsi="Times New Roman" w:cs="Times New Roman"/>
          <w:iCs/>
          <w:color w:val="000000" w:themeColor="text1"/>
          <w:shd w:val="clear" w:color="auto" w:fill="FFFFFF"/>
        </w:rPr>
      </w:pPr>
      <w:r w:rsidRPr="00EE601A">
        <w:rPr>
          <w:rFonts w:ascii="Times New Roman" w:hAnsi="Times New Roman" w:cs="Times New Roman"/>
          <w:color w:val="000000" w:themeColor="text1"/>
          <w:lang w:eastAsia="en-GB"/>
        </w:rPr>
        <w:t xml:space="preserve">We are grateful to the referee for pointing out this minor inconsistency. </w:t>
      </w:r>
      <w:proofErr w:type="spellStart"/>
      <w:proofErr w:type="gramStart"/>
      <w:r w:rsidR="0069124B" w:rsidRPr="00EE601A">
        <w:rPr>
          <w:rFonts w:ascii="Times New Roman" w:hAnsi="Times New Roman" w:cs="Times New Roman"/>
          <w:color w:val="000000" w:themeColor="text1"/>
          <w:lang w:eastAsia="en-GB"/>
        </w:rPr>
        <w:t>Eq</w:t>
      </w:r>
      <w:proofErr w:type="spellEnd"/>
      <w:r w:rsidR="0069124B" w:rsidRPr="00EE601A">
        <w:rPr>
          <w:rFonts w:ascii="Times New Roman" w:hAnsi="Times New Roman" w:cs="Times New Roman"/>
          <w:color w:val="000000" w:themeColor="text1"/>
          <w:lang w:eastAsia="en-GB"/>
        </w:rPr>
        <w:t>(</w:t>
      </w:r>
      <w:proofErr w:type="gramEnd"/>
      <w:r w:rsidR="0069124B" w:rsidRPr="00EE601A">
        <w:rPr>
          <w:rFonts w:ascii="Times New Roman" w:hAnsi="Times New Roman" w:cs="Times New Roman"/>
          <w:color w:val="000000" w:themeColor="text1"/>
          <w:lang w:eastAsia="en-GB"/>
        </w:rPr>
        <w:t>3)</w:t>
      </w:r>
      <w:r w:rsidR="006E18A7" w:rsidRPr="00EE601A">
        <w:rPr>
          <w:rFonts w:ascii="Times New Roman" w:hAnsi="Times New Roman" w:cs="Times New Roman"/>
          <w:color w:val="000000" w:themeColor="text1"/>
          <w:lang w:eastAsia="en-GB"/>
        </w:rPr>
        <w:t xml:space="preserve"> on page 12</w:t>
      </w:r>
      <w:r w:rsidR="0069124B" w:rsidRPr="00EE601A">
        <w:rPr>
          <w:rFonts w:ascii="Times New Roman" w:hAnsi="Times New Roman" w:cs="Times New Roman"/>
          <w:color w:val="000000" w:themeColor="text1"/>
          <w:lang w:eastAsia="en-GB"/>
        </w:rPr>
        <w:t xml:space="preserve"> now includes “</w:t>
      </w:r>
      <m:oMath>
        <m:sSub>
          <m:sSubPr>
            <m:ctrlPr>
              <w:rPr>
                <w:rFonts w:ascii="Cambria Math" w:eastAsia="PingFang SC" w:hAnsi="Cambria Math" w:cstheme="majorBidi"/>
                <w:i/>
                <w:iCs/>
                <w:color w:val="000000" w:themeColor="text1"/>
                <w:shd w:val="clear" w:color="auto" w:fill="FFFFFF"/>
              </w:rPr>
            </m:ctrlPr>
          </m:sSubPr>
          <m:e>
            <m:r>
              <w:rPr>
                <w:rFonts w:ascii="Cambria Math" w:eastAsia="PingFang SC" w:hAnsi="Cambria Math" w:cstheme="majorBidi"/>
                <w:color w:val="000000" w:themeColor="text1"/>
                <w:shd w:val="clear" w:color="auto" w:fill="FFFFFF"/>
              </w:rPr>
              <m:t>β</m:t>
            </m:r>
          </m:e>
          <m:sub>
            <m:r>
              <w:rPr>
                <w:rFonts w:ascii="Cambria Math" w:eastAsia="PingFang SC" w:hAnsi="Cambria Math" w:cstheme="majorBidi"/>
                <w:color w:val="000000" w:themeColor="text1"/>
                <w:shd w:val="clear" w:color="auto" w:fill="FFFFFF"/>
              </w:rPr>
              <m:t>3i</m:t>
            </m:r>
          </m:sub>
        </m:sSub>
      </m:oMath>
      <w:r w:rsidRPr="00EE601A">
        <w:rPr>
          <w:rFonts w:ascii="Times New Roman" w:eastAsiaTheme="minorEastAsia" w:hAnsi="Times New Roman" w:cs="Times New Roman"/>
          <w:iCs/>
          <w:color w:val="000000" w:themeColor="text1"/>
          <w:shd w:val="clear" w:color="auto" w:fill="FFFFFF"/>
        </w:rPr>
        <w:t>”</w:t>
      </w:r>
      <w:r w:rsidR="0069124B" w:rsidRPr="00EE601A">
        <w:rPr>
          <w:rFonts w:ascii="Times New Roman" w:eastAsiaTheme="minorEastAsia" w:hAnsi="Times New Roman" w:cs="Times New Roman"/>
          <w:iCs/>
          <w:color w:val="000000" w:themeColor="text1"/>
          <w:shd w:val="clear" w:color="auto" w:fill="FFFFFF"/>
        </w:rPr>
        <w:t xml:space="preserve"> instead of </w:t>
      </w:r>
      <w:r w:rsidRPr="00EE601A">
        <w:rPr>
          <w:rFonts w:ascii="Times New Roman" w:eastAsiaTheme="minorEastAsia" w:hAnsi="Times New Roman" w:cs="Times New Roman"/>
          <w:iCs/>
          <w:color w:val="000000" w:themeColor="text1"/>
          <w:shd w:val="clear" w:color="auto" w:fill="FFFFFF"/>
        </w:rPr>
        <w:t>“</w:t>
      </w:r>
      <m:oMath>
        <m:sSub>
          <m:sSubPr>
            <m:ctrlPr>
              <w:rPr>
                <w:rFonts w:ascii="Cambria Math" w:eastAsia="PingFang SC" w:hAnsi="Cambria Math" w:cstheme="majorBidi"/>
                <w:i/>
                <w:iCs/>
                <w:color w:val="000000" w:themeColor="text1"/>
                <w:shd w:val="clear" w:color="auto" w:fill="FFFFFF"/>
              </w:rPr>
            </m:ctrlPr>
          </m:sSubPr>
          <m:e>
            <m:r>
              <w:rPr>
                <w:rFonts w:ascii="Cambria Math" w:eastAsia="PingFang SC" w:hAnsi="Cambria Math" w:cstheme="majorBidi"/>
                <w:color w:val="000000" w:themeColor="text1"/>
                <w:shd w:val="clear" w:color="auto" w:fill="FFFFFF"/>
              </w:rPr>
              <m:t>B</m:t>
            </m:r>
          </m:e>
          <m:sub>
            <m:r>
              <w:rPr>
                <w:rFonts w:ascii="Cambria Math" w:eastAsia="PingFang SC" w:hAnsi="Cambria Math" w:cstheme="majorBidi"/>
                <w:color w:val="000000" w:themeColor="text1"/>
                <w:shd w:val="clear" w:color="auto" w:fill="FFFFFF"/>
              </w:rPr>
              <m:t>3i</m:t>
            </m:r>
          </m:sub>
        </m:sSub>
      </m:oMath>
      <w:r w:rsidRPr="00EE601A">
        <w:rPr>
          <w:rFonts w:ascii="Times New Roman" w:eastAsiaTheme="minorEastAsia" w:hAnsi="Times New Roman" w:cs="Times New Roman"/>
          <w:iCs/>
          <w:color w:val="000000" w:themeColor="text1"/>
          <w:shd w:val="clear" w:color="auto" w:fill="FFFFFF"/>
        </w:rPr>
        <w:t>”</w:t>
      </w:r>
      <w:r w:rsidR="00BA7734" w:rsidRPr="00EE601A">
        <w:rPr>
          <w:rFonts w:ascii="Times New Roman" w:eastAsiaTheme="minorEastAsia" w:hAnsi="Times New Roman" w:cs="Times New Roman"/>
          <w:iCs/>
          <w:color w:val="000000" w:themeColor="text1"/>
          <w:shd w:val="clear" w:color="auto" w:fill="FFFFFF"/>
        </w:rPr>
        <w:t>.</w:t>
      </w:r>
      <w:r w:rsidR="00B67E4A" w:rsidRPr="00EE601A">
        <w:rPr>
          <w:rFonts w:ascii="Times New Roman" w:eastAsiaTheme="minorEastAsia" w:hAnsi="Times New Roman" w:cs="Times New Roman"/>
          <w:iCs/>
          <w:color w:val="000000" w:themeColor="text1"/>
          <w:shd w:val="clear" w:color="auto" w:fill="FFFFFF"/>
        </w:rPr>
        <w:t xml:space="preserve"> </w:t>
      </w:r>
      <w:proofErr w:type="spellStart"/>
      <w:r w:rsidR="00B67E4A" w:rsidRPr="00EE601A">
        <w:rPr>
          <w:rFonts w:ascii="Times New Roman" w:eastAsiaTheme="minorEastAsia" w:hAnsi="Times New Roman" w:cs="Times New Roman"/>
          <w:iCs/>
          <w:color w:val="000000" w:themeColor="text1"/>
          <w:shd w:val="clear" w:color="auto" w:fill="FFFFFF"/>
        </w:rPr>
        <w:t>Eq</w:t>
      </w:r>
      <w:proofErr w:type="spellEnd"/>
      <w:r w:rsidR="00B67E4A" w:rsidRPr="00EE601A">
        <w:rPr>
          <w:rFonts w:ascii="Times New Roman" w:eastAsiaTheme="minorEastAsia" w:hAnsi="Times New Roman" w:cs="Times New Roman"/>
          <w:iCs/>
          <w:color w:val="000000" w:themeColor="text1"/>
          <w:shd w:val="clear" w:color="auto" w:fill="FFFFFF"/>
        </w:rPr>
        <w:t>(3) now reads as:</w:t>
      </w:r>
    </w:p>
    <w:p w14:paraId="2BF3F0A0" w14:textId="77777777" w:rsidR="00B67E4A" w:rsidRPr="00EE601A" w:rsidRDefault="00B67E4A" w:rsidP="00AB5F2D">
      <w:pPr>
        <w:shd w:val="clear" w:color="auto" w:fill="FFFFFF"/>
        <w:jc w:val="both"/>
        <w:rPr>
          <w:rFonts w:ascii="Times New Roman" w:eastAsiaTheme="minorEastAsia" w:hAnsi="Times New Roman" w:cs="Times New Roman"/>
          <w:iCs/>
          <w:color w:val="000000" w:themeColor="text1"/>
          <w:shd w:val="clear" w:color="auto" w:fill="FFFFFF"/>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9"/>
      </w:tblGrid>
      <w:tr w:rsidR="00B67E4A" w:rsidRPr="00EE601A" w14:paraId="798878D3" w14:textId="77777777" w:rsidTr="00B67E4A">
        <w:trPr>
          <w:jc w:val="center"/>
        </w:trPr>
        <w:tc>
          <w:tcPr>
            <w:tcW w:w="8079" w:type="dxa"/>
          </w:tcPr>
          <w:p w14:paraId="10498BC2" w14:textId="77777777" w:rsidR="00B67E4A" w:rsidRPr="00EE601A" w:rsidRDefault="00D24F0D" w:rsidP="00A24F34">
            <w:pPr>
              <w:spacing w:after="120" w:line="360" w:lineRule="auto"/>
              <w:rPr>
                <w:color w:val="000000" w:themeColor="text1"/>
              </w:rPr>
            </w:pPr>
            <m:oMathPara>
              <m:oMath>
                <m:sSub>
                  <m:sSubPr>
                    <m:ctrlPr>
                      <w:rPr>
                        <w:rFonts w:ascii="Cambria Math" w:eastAsia="PingFang SC" w:hAnsi="Cambria Math" w:cstheme="majorBidi"/>
                        <w:i/>
                        <w:iCs/>
                        <w:color w:val="000000" w:themeColor="text1"/>
                        <w:shd w:val="clear" w:color="auto" w:fill="FFFFFF"/>
                      </w:rPr>
                    </m:ctrlPr>
                  </m:sSubPr>
                  <m:e>
                    <m:r>
                      <w:rPr>
                        <w:rFonts w:ascii="Cambria Math" w:eastAsia="PingFang SC" w:hAnsi="Cambria Math" w:cstheme="majorBidi"/>
                        <w:color w:val="000000" w:themeColor="text1"/>
                        <w:shd w:val="clear" w:color="auto" w:fill="FFFFFF"/>
                      </w:rPr>
                      <m:t>R</m:t>
                    </m:r>
                  </m:e>
                  <m:sub>
                    <m:r>
                      <w:rPr>
                        <w:rFonts w:ascii="Cambria Math" w:eastAsia="PingFang SC" w:hAnsi="Cambria Math" w:cstheme="majorBidi"/>
                        <w:color w:val="000000" w:themeColor="text1"/>
                        <w:shd w:val="clear" w:color="auto" w:fill="FFFFFF"/>
                      </w:rPr>
                      <m:t>it</m:t>
                    </m:r>
                  </m:sub>
                </m:sSub>
                <m:r>
                  <w:rPr>
                    <w:rFonts w:ascii="Cambria Math" w:eastAsia="PingFang SC" w:hAnsi="Cambria Math" w:cstheme="majorBidi"/>
                    <w:color w:val="000000" w:themeColor="text1"/>
                    <w:shd w:val="clear" w:color="auto" w:fill="FFFFFF"/>
                  </w:rPr>
                  <m:t>-</m:t>
                </m:r>
                <m:sSub>
                  <m:sSubPr>
                    <m:ctrlPr>
                      <w:rPr>
                        <w:rFonts w:ascii="Cambria Math" w:eastAsia="PingFang SC" w:hAnsi="Cambria Math" w:cstheme="majorBidi"/>
                        <w:i/>
                        <w:iCs/>
                        <w:color w:val="000000" w:themeColor="text1"/>
                        <w:shd w:val="clear" w:color="auto" w:fill="FFFFFF"/>
                      </w:rPr>
                    </m:ctrlPr>
                  </m:sSubPr>
                  <m:e>
                    <m:r>
                      <w:rPr>
                        <w:rFonts w:ascii="Cambria Math" w:eastAsia="PingFang SC" w:hAnsi="Cambria Math" w:cstheme="majorBidi"/>
                        <w:color w:val="000000" w:themeColor="text1"/>
                        <w:shd w:val="clear" w:color="auto" w:fill="FFFFFF"/>
                      </w:rPr>
                      <m:t>R</m:t>
                    </m:r>
                  </m:e>
                  <m:sub>
                    <m:r>
                      <w:rPr>
                        <w:rFonts w:ascii="Cambria Math" w:eastAsia="PingFang SC" w:hAnsi="Cambria Math" w:cstheme="majorBidi"/>
                        <w:color w:val="000000" w:themeColor="text1"/>
                        <w:shd w:val="clear" w:color="auto" w:fill="FFFFFF"/>
                      </w:rPr>
                      <m:t>ft</m:t>
                    </m:r>
                  </m:sub>
                </m:sSub>
                <m:r>
                  <w:rPr>
                    <w:rFonts w:ascii="Cambria Math" w:eastAsia="PingFang SC" w:hAnsi="Cambria Math" w:cstheme="majorBidi"/>
                    <w:color w:val="000000" w:themeColor="text1"/>
                    <w:shd w:val="clear" w:color="auto" w:fill="FFFFFF"/>
                  </w:rPr>
                  <m:t xml:space="preserve">= </m:t>
                </m:r>
                <m:sSub>
                  <m:sSubPr>
                    <m:ctrlPr>
                      <w:rPr>
                        <w:rFonts w:ascii="Cambria Math" w:eastAsia="PingFang SC" w:hAnsi="Cambria Math" w:cstheme="majorBidi"/>
                        <w:i/>
                        <w:iCs/>
                        <w:color w:val="000000" w:themeColor="text1"/>
                        <w:shd w:val="clear" w:color="auto" w:fill="FFFFFF"/>
                      </w:rPr>
                    </m:ctrlPr>
                  </m:sSubPr>
                  <m:e>
                    <m:r>
                      <w:rPr>
                        <w:rFonts w:ascii="Cambria Math" w:eastAsia="PingFang SC" w:hAnsi="Cambria Math" w:cstheme="majorBidi"/>
                        <w:color w:val="000000" w:themeColor="text1"/>
                        <w:shd w:val="clear" w:color="auto" w:fill="FFFFFF"/>
                      </w:rPr>
                      <m:t>α</m:t>
                    </m:r>
                  </m:e>
                  <m:sub>
                    <m:r>
                      <w:rPr>
                        <w:rFonts w:ascii="Cambria Math" w:eastAsia="PingFang SC" w:hAnsi="Cambria Math" w:cstheme="majorBidi"/>
                        <w:color w:val="000000" w:themeColor="text1"/>
                        <w:shd w:val="clear" w:color="auto" w:fill="FFFFFF"/>
                      </w:rPr>
                      <m:t xml:space="preserve">i </m:t>
                    </m:r>
                  </m:sub>
                </m:sSub>
                <m:r>
                  <w:rPr>
                    <w:rFonts w:ascii="Cambria Math" w:eastAsia="PingFang SC" w:hAnsi="Cambria Math" w:cstheme="majorBidi"/>
                    <w:color w:val="000000" w:themeColor="text1"/>
                    <w:shd w:val="clear" w:color="auto" w:fill="FFFFFF"/>
                  </w:rPr>
                  <m:t xml:space="preserve">+ </m:t>
                </m:r>
                <m:sSub>
                  <m:sSubPr>
                    <m:ctrlPr>
                      <w:rPr>
                        <w:rFonts w:ascii="Cambria Math" w:eastAsia="PingFang SC" w:hAnsi="Cambria Math" w:cstheme="majorBidi"/>
                        <w:i/>
                        <w:iCs/>
                        <w:color w:val="000000" w:themeColor="text1"/>
                        <w:shd w:val="clear" w:color="auto" w:fill="FFFFFF"/>
                      </w:rPr>
                    </m:ctrlPr>
                  </m:sSubPr>
                  <m:e>
                    <m:r>
                      <w:rPr>
                        <w:rFonts w:ascii="Cambria Math" w:eastAsia="PingFang SC" w:hAnsi="Cambria Math" w:cstheme="majorBidi"/>
                        <w:color w:val="000000" w:themeColor="text1"/>
                        <w:shd w:val="clear" w:color="auto" w:fill="FFFFFF"/>
                      </w:rPr>
                      <m:t>β</m:t>
                    </m:r>
                  </m:e>
                  <m:sub>
                    <m:r>
                      <w:rPr>
                        <w:rFonts w:ascii="Cambria Math" w:eastAsia="PingFang SC" w:hAnsi="Cambria Math" w:cstheme="majorBidi"/>
                        <w:color w:val="000000" w:themeColor="text1"/>
                        <w:shd w:val="clear" w:color="auto" w:fill="FFFFFF"/>
                      </w:rPr>
                      <m:t>0i</m:t>
                    </m:r>
                  </m:sub>
                </m:sSub>
                <m:d>
                  <m:dPr>
                    <m:ctrlPr>
                      <w:rPr>
                        <w:rFonts w:ascii="Cambria Math" w:eastAsia="PingFang SC" w:hAnsi="Cambria Math" w:cstheme="majorBidi"/>
                        <w:i/>
                        <w:iCs/>
                        <w:color w:val="000000" w:themeColor="text1"/>
                        <w:shd w:val="clear" w:color="auto" w:fill="FFFFFF"/>
                      </w:rPr>
                    </m:ctrlPr>
                  </m:dPr>
                  <m:e>
                    <m:sSub>
                      <m:sSubPr>
                        <m:ctrlPr>
                          <w:rPr>
                            <w:rFonts w:ascii="Cambria Math" w:eastAsia="PingFang SC" w:hAnsi="Cambria Math" w:cstheme="majorBidi"/>
                            <w:i/>
                            <w:iCs/>
                            <w:color w:val="000000" w:themeColor="text1"/>
                            <w:shd w:val="clear" w:color="auto" w:fill="FFFFFF"/>
                          </w:rPr>
                        </m:ctrlPr>
                      </m:sSubPr>
                      <m:e>
                        <m:r>
                          <w:rPr>
                            <w:rFonts w:ascii="Cambria Math" w:eastAsia="PingFang SC" w:hAnsi="Cambria Math" w:cstheme="majorBidi"/>
                            <w:color w:val="000000" w:themeColor="text1"/>
                            <w:shd w:val="clear" w:color="auto" w:fill="FFFFFF"/>
                          </w:rPr>
                          <m:t>R</m:t>
                        </m:r>
                      </m:e>
                      <m:sub>
                        <m:r>
                          <w:rPr>
                            <w:rFonts w:ascii="Cambria Math" w:eastAsia="PingFang SC" w:hAnsi="Cambria Math" w:cstheme="majorBidi"/>
                            <w:color w:val="000000" w:themeColor="text1"/>
                            <w:shd w:val="clear" w:color="auto" w:fill="FFFFFF"/>
                          </w:rPr>
                          <m:t>mt</m:t>
                        </m:r>
                      </m:sub>
                    </m:sSub>
                    <m:r>
                      <w:rPr>
                        <w:rFonts w:ascii="Cambria Math" w:eastAsia="PingFang SC" w:hAnsi="Cambria Math" w:cstheme="majorBidi"/>
                        <w:color w:val="000000" w:themeColor="text1"/>
                        <w:shd w:val="clear" w:color="auto" w:fill="FFFFFF"/>
                      </w:rPr>
                      <m:t xml:space="preserve">- </m:t>
                    </m:r>
                    <m:sSub>
                      <m:sSubPr>
                        <m:ctrlPr>
                          <w:rPr>
                            <w:rFonts w:ascii="Cambria Math" w:eastAsia="PingFang SC" w:hAnsi="Cambria Math" w:cstheme="majorBidi"/>
                            <w:i/>
                            <w:iCs/>
                            <w:color w:val="000000" w:themeColor="text1"/>
                            <w:shd w:val="clear" w:color="auto" w:fill="FFFFFF"/>
                          </w:rPr>
                        </m:ctrlPr>
                      </m:sSubPr>
                      <m:e>
                        <m:r>
                          <w:rPr>
                            <w:rFonts w:ascii="Cambria Math" w:eastAsia="PingFang SC" w:hAnsi="Cambria Math" w:cstheme="majorBidi"/>
                            <w:color w:val="000000" w:themeColor="text1"/>
                            <w:shd w:val="clear" w:color="auto" w:fill="FFFFFF"/>
                          </w:rPr>
                          <m:t>R</m:t>
                        </m:r>
                      </m:e>
                      <m:sub>
                        <m:r>
                          <w:rPr>
                            <w:rFonts w:ascii="Cambria Math" w:eastAsia="PingFang SC" w:hAnsi="Cambria Math" w:cstheme="majorBidi"/>
                            <w:color w:val="000000" w:themeColor="text1"/>
                            <w:shd w:val="clear" w:color="auto" w:fill="FFFFFF"/>
                          </w:rPr>
                          <m:t>ft</m:t>
                        </m:r>
                      </m:sub>
                    </m:sSub>
                  </m:e>
                </m:d>
                <m:r>
                  <w:rPr>
                    <w:rFonts w:ascii="Cambria Math" w:eastAsia="PingFang SC" w:hAnsi="Cambria Math" w:cstheme="majorBidi"/>
                    <w:color w:val="000000" w:themeColor="text1"/>
                    <w:shd w:val="clear" w:color="auto" w:fill="FFFFFF"/>
                  </w:rPr>
                  <m:t xml:space="preserve">+ </m:t>
                </m:r>
                <m:sSub>
                  <m:sSubPr>
                    <m:ctrlPr>
                      <w:rPr>
                        <w:rFonts w:ascii="Cambria Math" w:eastAsia="PingFang SC" w:hAnsi="Cambria Math" w:cstheme="majorBidi"/>
                        <w:i/>
                        <w:iCs/>
                        <w:color w:val="000000" w:themeColor="text1"/>
                        <w:shd w:val="clear" w:color="auto" w:fill="FFFFFF"/>
                      </w:rPr>
                    </m:ctrlPr>
                  </m:sSubPr>
                  <m:e>
                    <m:r>
                      <w:rPr>
                        <w:rFonts w:ascii="Cambria Math" w:eastAsia="PingFang SC" w:hAnsi="Cambria Math" w:cstheme="majorBidi"/>
                        <w:color w:val="000000" w:themeColor="text1"/>
                        <w:shd w:val="clear" w:color="auto" w:fill="FFFFFF"/>
                      </w:rPr>
                      <m:t>β</m:t>
                    </m:r>
                  </m:e>
                  <m:sub>
                    <m:r>
                      <w:rPr>
                        <w:rFonts w:ascii="Cambria Math" w:eastAsia="PingFang SC" w:hAnsi="Cambria Math" w:cstheme="majorBidi"/>
                        <w:color w:val="000000" w:themeColor="text1"/>
                        <w:shd w:val="clear" w:color="auto" w:fill="FFFFFF"/>
                      </w:rPr>
                      <m:t>1i</m:t>
                    </m:r>
                  </m:sub>
                </m:sSub>
                <m:sSub>
                  <m:sSubPr>
                    <m:ctrlPr>
                      <w:rPr>
                        <w:rFonts w:ascii="Cambria Math" w:eastAsia="PingFang SC" w:hAnsi="Cambria Math" w:cstheme="majorBidi"/>
                        <w:i/>
                        <w:iCs/>
                        <w:color w:val="000000" w:themeColor="text1"/>
                        <w:shd w:val="clear" w:color="auto" w:fill="FFFFFF"/>
                      </w:rPr>
                    </m:ctrlPr>
                  </m:sSubPr>
                  <m:e>
                    <m:r>
                      <w:rPr>
                        <w:rFonts w:ascii="Cambria Math" w:eastAsia="PingFang SC" w:hAnsi="Cambria Math" w:cstheme="majorBidi"/>
                        <w:color w:val="000000" w:themeColor="text1"/>
                        <w:shd w:val="clear" w:color="auto" w:fill="FFFFFF"/>
                      </w:rPr>
                      <m:t>SMB</m:t>
                    </m:r>
                  </m:e>
                  <m:sub>
                    <m:r>
                      <w:rPr>
                        <w:rFonts w:ascii="Cambria Math" w:eastAsia="PingFang SC" w:hAnsi="Cambria Math" w:cstheme="majorBidi"/>
                        <w:color w:val="000000" w:themeColor="text1"/>
                        <w:shd w:val="clear" w:color="auto" w:fill="FFFFFF"/>
                      </w:rPr>
                      <m:t>t</m:t>
                    </m:r>
                  </m:sub>
                </m:sSub>
                <m:r>
                  <w:rPr>
                    <w:rFonts w:ascii="Cambria Math" w:eastAsia="PingFang SC" w:hAnsi="Cambria Math" w:cstheme="majorBidi"/>
                    <w:color w:val="000000" w:themeColor="text1"/>
                    <w:shd w:val="clear" w:color="auto" w:fill="FFFFFF"/>
                  </w:rPr>
                  <m:t xml:space="preserve">+ </m:t>
                </m:r>
                <m:sSub>
                  <m:sSubPr>
                    <m:ctrlPr>
                      <w:rPr>
                        <w:rFonts w:ascii="Cambria Math" w:eastAsia="PingFang SC" w:hAnsi="Cambria Math" w:cstheme="majorBidi"/>
                        <w:i/>
                        <w:iCs/>
                        <w:color w:val="000000" w:themeColor="text1"/>
                        <w:shd w:val="clear" w:color="auto" w:fill="FFFFFF"/>
                      </w:rPr>
                    </m:ctrlPr>
                  </m:sSubPr>
                  <m:e>
                    <m:r>
                      <w:rPr>
                        <w:rFonts w:ascii="Cambria Math" w:eastAsia="PingFang SC" w:hAnsi="Cambria Math" w:cstheme="majorBidi"/>
                        <w:color w:val="000000" w:themeColor="text1"/>
                        <w:shd w:val="clear" w:color="auto" w:fill="FFFFFF"/>
                      </w:rPr>
                      <m:t>β</m:t>
                    </m:r>
                  </m:e>
                  <m:sub>
                    <m:r>
                      <w:rPr>
                        <w:rFonts w:ascii="Cambria Math" w:eastAsia="PingFang SC" w:hAnsi="Cambria Math" w:cstheme="majorBidi"/>
                        <w:color w:val="000000" w:themeColor="text1"/>
                        <w:shd w:val="clear" w:color="auto" w:fill="FFFFFF"/>
                      </w:rPr>
                      <m:t>2i</m:t>
                    </m:r>
                  </m:sub>
                </m:sSub>
                <m:sSub>
                  <m:sSubPr>
                    <m:ctrlPr>
                      <w:rPr>
                        <w:rFonts w:ascii="Cambria Math" w:eastAsia="PingFang SC" w:hAnsi="Cambria Math" w:cstheme="majorBidi"/>
                        <w:i/>
                        <w:iCs/>
                        <w:color w:val="000000" w:themeColor="text1"/>
                        <w:shd w:val="clear" w:color="auto" w:fill="FFFFFF"/>
                      </w:rPr>
                    </m:ctrlPr>
                  </m:sSubPr>
                  <m:e>
                    <m:r>
                      <w:rPr>
                        <w:rFonts w:ascii="Cambria Math" w:eastAsia="PingFang SC" w:hAnsi="Cambria Math" w:cstheme="majorBidi"/>
                        <w:color w:val="000000" w:themeColor="text1"/>
                        <w:shd w:val="clear" w:color="auto" w:fill="FFFFFF"/>
                      </w:rPr>
                      <m:t>HML</m:t>
                    </m:r>
                  </m:e>
                  <m:sub>
                    <m:r>
                      <w:rPr>
                        <w:rFonts w:ascii="Cambria Math" w:eastAsia="PingFang SC" w:hAnsi="Cambria Math" w:cstheme="majorBidi"/>
                        <w:color w:val="000000" w:themeColor="text1"/>
                        <w:shd w:val="clear" w:color="auto" w:fill="FFFFFF"/>
                      </w:rPr>
                      <m:t>t</m:t>
                    </m:r>
                  </m:sub>
                </m:sSub>
                <m:r>
                  <w:rPr>
                    <w:rFonts w:ascii="Cambria Math" w:eastAsia="PingFang SC" w:hAnsi="Cambria Math" w:cstheme="majorBidi"/>
                    <w:color w:val="000000" w:themeColor="text1"/>
                    <w:shd w:val="clear" w:color="auto" w:fill="FFFFFF"/>
                  </w:rPr>
                  <m:t>+</m:t>
                </m:r>
                <m:sSub>
                  <m:sSubPr>
                    <m:ctrlPr>
                      <w:rPr>
                        <w:rFonts w:ascii="Cambria Math" w:eastAsia="PingFang SC" w:hAnsi="Cambria Math" w:cstheme="majorBidi"/>
                        <w:i/>
                        <w:iCs/>
                        <w:color w:val="000000" w:themeColor="text1"/>
                        <w:shd w:val="clear" w:color="auto" w:fill="FFFFFF"/>
                      </w:rPr>
                    </m:ctrlPr>
                  </m:sSubPr>
                  <m:e>
                    <m:r>
                      <w:rPr>
                        <w:rFonts w:ascii="Cambria Math" w:eastAsia="PingFang SC" w:hAnsi="Cambria Math" w:cstheme="majorBidi"/>
                        <w:color w:val="000000" w:themeColor="text1"/>
                        <w:shd w:val="clear" w:color="auto" w:fill="FFFFFF"/>
                      </w:rPr>
                      <m:t>β</m:t>
                    </m:r>
                  </m:e>
                  <m:sub>
                    <m:r>
                      <w:rPr>
                        <w:rFonts w:ascii="Cambria Math" w:eastAsia="PingFang SC" w:hAnsi="Cambria Math" w:cstheme="majorBidi"/>
                        <w:color w:val="000000" w:themeColor="text1"/>
                        <w:shd w:val="clear" w:color="auto" w:fill="FFFFFF"/>
                      </w:rPr>
                      <m:t>3i</m:t>
                    </m:r>
                  </m:sub>
                </m:sSub>
                <m:sSub>
                  <m:sSubPr>
                    <m:ctrlPr>
                      <w:rPr>
                        <w:rFonts w:ascii="Cambria Math" w:eastAsia="PingFang SC" w:hAnsi="Cambria Math" w:cstheme="majorBidi"/>
                        <w:i/>
                        <w:iCs/>
                        <w:color w:val="000000" w:themeColor="text1"/>
                        <w:shd w:val="clear" w:color="auto" w:fill="FFFFFF"/>
                      </w:rPr>
                    </m:ctrlPr>
                  </m:sSubPr>
                  <m:e>
                    <m:r>
                      <w:rPr>
                        <w:rFonts w:ascii="Cambria Math" w:eastAsia="PingFang SC" w:hAnsi="Cambria Math" w:cstheme="majorBidi"/>
                        <w:color w:val="000000" w:themeColor="text1"/>
                        <w:shd w:val="clear" w:color="auto" w:fill="FFFFFF"/>
                      </w:rPr>
                      <m:t>UMD</m:t>
                    </m:r>
                  </m:e>
                  <m:sub>
                    <m:r>
                      <w:rPr>
                        <w:rFonts w:ascii="Cambria Math" w:eastAsia="PingFang SC" w:hAnsi="Cambria Math" w:cstheme="majorBidi"/>
                        <w:color w:val="000000" w:themeColor="text1"/>
                        <w:shd w:val="clear" w:color="auto" w:fill="FFFFFF"/>
                      </w:rPr>
                      <m:t xml:space="preserve">t </m:t>
                    </m:r>
                  </m:sub>
                </m:sSub>
                <m:r>
                  <w:rPr>
                    <w:rFonts w:ascii="Cambria Math" w:eastAsia="PingFang SC" w:hAnsi="Cambria Math" w:cstheme="majorBidi"/>
                    <w:color w:val="000000" w:themeColor="text1"/>
                    <w:shd w:val="clear" w:color="auto" w:fill="FFFFFF"/>
                  </w:rPr>
                  <m:t xml:space="preserve">+ </m:t>
                </m:r>
                <m:sSub>
                  <m:sSubPr>
                    <m:ctrlPr>
                      <w:rPr>
                        <w:rFonts w:ascii="Cambria Math" w:eastAsia="PingFang SC" w:hAnsi="Cambria Math" w:cstheme="majorBidi"/>
                        <w:i/>
                        <w:iCs/>
                        <w:color w:val="000000" w:themeColor="text1"/>
                        <w:shd w:val="clear" w:color="auto" w:fill="FFFFFF"/>
                      </w:rPr>
                    </m:ctrlPr>
                  </m:sSubPr>
                  <m:e>
                    <m:r>
                      <w:rPr>
                        <w:rFonts w:ascii="Cambria Math" w:eastAsia="PingFang SC" w:hAnsi="Cambria Math" w:cstheme="majorBidi"/>
                        <w:color w:val="000000" w:themeColor="text1"/>
                        <w:shd w:val="clear" w:color="auto" w:fill="FFFFFF"/>
                      </w:rPr>
                      <m:t>ε</m:t>
                    </m:r>
                  </m:e>
                  <m:sub>
                    <m:r>
                      <w:rPr>
                        <w:rFonts w:ascii="Cambria Math" w:eastAsia="PingFang SC" w:hAnsi="Cambria Math" w:cstheme="majorBidi"/>
                        <w:color w:val="000000" w:themeColor="text1"/>
                        <w:shd w:val="clear" w:color="auto" w:fill="FFFFFF"/>
                      </w:rPr>
                      <m:t>it</m:t>
                    </m:r>
                  </m:sub>
                </m:sSub>
              </m:oMath>
            </m:oMathPara>
          </w:p>
        </w:tc>
      </w:tr>
    </w:tbl>
    <w:p w14:paraId="69D149EF" w14:textId="77777777" w:rsidR="00856343" w:rsidRPr="00EE601A" w:rsidRDefault="00856343" w:rsidP="00944961">
      <w:pPr>
        <w:shd w:val="clear" w:color="auto" w:fill="FFFFFF"/>
        <w:rPr>
          <w:rFonts w:ascii="Times New Roman" w:hAnsi="Times New Roman" w:cs="Times New Roman"/>
          <w:color w:val="000000" w:themeColor="text1"/>
          <w:lang w:eastAsia="en-GB"/>
        </w:rPr>
      </w:pPr>
    </w:p>
    <w:p w14:paraId="432F542C" w14:textId="2F078A28" w:rsidR="006E18A7" w:rsidRPr="00EE601A" w:rsidRDefault="006E18A7" w:rsidP="006E18A7">
      <w:pPr>
        <w:shd w:val="clear" w:color="auto" w:fill="FFFFFF"/>
        <w:rPr>
          <w:rFonts w:ascii="Times New Roman" w:hAnsi="Times New Roman" w:cs="Times New Roman"/>
          <w:b/>
          <w:color w:val="000000" w:themeColor="text1"/>
          <w:lang w:eastAsia="en-GB"/>
        </w:rPr>
      </w:pPr>
      <w:r w:rsidRPr="00EE601A">
        <w:rPr>
          <w:rFonts w:ascii="Times New Roman" w:hAnsi="Times New Roman" w:cs="Times New Roman"/>
          <w:b/>
          <w:color w:val="000000" w:themeColor="text1"/>
          <w:lang w:eastAsia="en-GB"/>
        </w:rPr>
        <w:t>Comment g:</w:t>
      </w:r>
    </w:p>
    <w:p w14:paraId="734E44AD" w14:textId="77777777" w:rsidR="00AF379D" w:rsidRPr="00EE601A" w:rsidRDefault="00AF379D" w:rsidP="00AF379D">
      <w:pPr>
        <w:shd w:val="clear" w:color="auto" w:fill="FFFFFF"/>
        <w:jc w:val="both"/>
        <w:rPr>
          <w:rFonts w:ascii="Times New Roman" w:hAnsi="Times New Roman" w:cs="Times New Roman"/>
          <w:color w:val="000000" w:themeColor="text1"/>
          <w:sz w:val="22"/>
          <w:szCs w:val="22"/>
          <w:lang w:eastAsia="en-GB"/>
        </w:rPr>
      </w:pPr>
    </w:p>
    <w:p w14:paraId="6113B6DA" w14:textId="4B436388" w:rsidR="00944961" w:rsidRPr="00EE601A" w:rsidRDefault="00944961" w:rsidP="00AF379D">
      <w:pPr>
        <w:shd w:val="clear" w:color="auto" w:fill="FFFFFF"/>
        <w:jc w:val="both"/>
        <w:rPr>
          <w:rFonts w:ascii="Times New Roman" w:hAnsi="Times New Roman" w:cs="Times New Roman"/>
          <w:i/>
          <w:color w:val="000000" w:themeColor="text1"/>
          <w:lang w:eastAsia="en-GB"/>
        </w:rPr>
      </w:pPr>
      <w:r w:rsidRPr="00EE601A">
        <w:rPr>
          <w:rFonts w:ascii="Times New Roman" w:hAnsi="Times New Roman" w:cs="Times New Roman"/>
          <w:i/>
          <w:color w:val="000000" w:themeColor="text1"/>
          <w:lang w:eastAsia="en-GB"/>
        </w:rPr>
        <w:t xml:space="preserve">I do not understand the last sentence of section 2 (“Overall, the distribution of disclosure scores is consistent with Gompers, Ishii, and </w:t>
      </w:r>
      <w:proofErr w:type="spellStart"/>
      <w:r w:rsidRPr="00EE601A">
        <w:rPr>
          <w:rFonts w:ascii="Times New Roman" w:hAnsi="Times New Roman" w:cs="Times New Roman"/>
          <w:i/>
          <w:color w:val="000000" w:themeColor="text1"/>
          <w:lang w:eastAsia="en-GB"/>
        </w:rPr>
        <w:t>Metrick</w:t>
      </w:r>
      <w:proofErr w:type="spellEnd"/>
      <w:r w:rsidRPr="00EE601A">
        <w:rPr>
          <w:rFonts w:ascii="Times New Roman" w:hAnsi="Times New Roman" w:cs="Times New Roman"/>
          <w:i/>
          <w:color w:val="000000" w:themeColor="text1"/>
          <w:lang w:eastAsia="en-GB"/>
        </w:rPr>
        <w:t xml:space="preserve"> (2003), </w:t>
      </w:r>
      <w:proofErr w:type="spellStart"/>
      <w:r w:rsidRPr="00EE601A">
        <w:rPr>
          <w:rFonts w:ascii="Times New Roman" w:hAnsi="Times New Roman" w:cs="Times New Roman"/>
          <w:i/>
          <w:color w:val="000000" w:themeColor="text1"/>
          <w:lang w:eastAsia="en-GB"/>
        </w:rPr>
        <w:t>Cremers</w:t>
      </w:r>
      <w:proofErr w:type="spellEnd"/>
      <w:r w:rsidRPr="00EE601A">
        <w:rPr>
          <w:rFonts w:ascii="Times New Roman" w:hAnsi="Times New Roman" w:cs="Times New Roman"/>
          <w:i/>
          <w:color w:val="000000" w:themeColor="text1"/>
          <w:lang w:eastAsia="en-GB"/>
        </w:rPr>
        <w:t xml:space="preserve"> and Nair (2005), Humphrey et al. (2012b) and Lee et al. (2018).”), as some of these studies partly do not report ESG scores for different industries (e.g. </w:t>
      </w:r>
      <w:proofErr w:type="spellStart"/>
      <w:r w:rsidRPr="00EE601A">
        <w:rPr>
          <w:rFonts w:ascii="Times New Roman" w:hAnsi="Times New Roman" w:cs="Times New Roman"/>
          <w:i/>
          <w:color w:val="000000" w:themeColor="text1"/>
          <w:lang w:eastAsia="en-GB"/>
        </w:rPr>
        <w:t>Cremers</w:t>
      </w:r>
      <w:proofErr w:type="spellEnd"/>
      <w:r w:rsidRPr="00EE601A">
        <w:rPr>
          <w:rFonts w:ascii="Times New Roman" w:hAnsi="Times New Roman" w:cs="Times New Roman"/>
          <w:i/>
          <w:color w:val="000000" w:themeColor="text1"/>
          <w:lang w:eastAsia="en-GB"/>
        </w:rPr>
        <w:t xml:space="preserve"> and Nair, 2005) or consider different industries (e.g. Humphrey et al., 2012b).</w:t>
      </w:r>
    </w:p>
    <w:p w14:paraId="4F4BEB89" w14:textId="77777777" w:rsidR="006E18A7" w:rsidRPr="00EE601A" w:rsidRDefault="006E18A7" w:rsidP="00944961">
      <w:pPr>
        <w:shd w:val="clear" w:color="auto" w:fill="FFFFFF"/>
        <w:rPr>
          <w:rFonts w:ascii="Times New Roman" w:hAnsi="Times New Roman" w:cs="Times New Roman"/>
          <w:color w:val="000000" w:themeColor="text1"/>
          <w:lang w:eastAsia="en-GB"/>
        </w:rPr>
      </w:pPr>
    </w:p>
    <w:p w14:paraId="74902C53" w14:textId="77777777" w:rsidR="007F37C9" w:rsidRPr="00EE601A" w:rsidRDefault="00DC59B1" w:rsidP="00944961">
      <w:pPr>
        <w:shd w:val="clear" w:color="auto" w:fill="FFFFFF"/>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This comment is well taken.</w:t>
      </w:r>
    </w:p>
    <w:p w14:paraId="0330D630" w14:textId="77777777" w:rsidR="007F37C9" w:rsidRPr="00EE601A" w:rsidRDefault="007F37C9" w:rsidP="00944961">
      <w:pPr>
        <w:shd w:val="clear" w:color="auto" w:fill="FFFFFF"/>
        <w:rPr>
          <w:rFonts w:ascii="Times New Roman" w:hAnsi="Times New Roman" w:cs="Times New Roman"/>
          <w:color w:val="000000" w:themeColor="text1"/>
          <w:lang w:eastAsia="en-GB"/>
        </w:rPr>
      </w:pPr>
    </w:p>
    <w:p w14:paraId="0DBF5E1E" w14:textId="6C0AFB02" w:rsidR="006E18A7" w:rsidRPr="00EE601A" w:rsidRDefault="007F37C9" w:rsidP="007F37C9">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Upon further reflecting, we realized that we may have been too general when discussing the distributional plot. As the referee rightly pointed out, our plot illustrates the industry break</w:t>
      </w:r>
      <w:r w:rsidR="004A0D6F" w:rsidRPr="00EE601A">
        <w:rPr>
          <w:rFonts w:ascii="Times New Roman" w:hAnsi="Times New Roman" w:cs="Times New Roman"/>
          <w:color w:val="000000" w:themeColor="text1"/>
          <w:lang w:eastAsia="en-GB"/>
        </w:rPr>
        <w:t>down</w:t>
      </w:r>
      <w:r w:rsidRPr="00EE601A">
        <w:rPr>
          <w:rFonts w:ascii="Times New Roman" w:hAnsi="Times New Roman" w:cs="Times New Roman"/>
          <w:color w:val="000000" w:themeColor="text1"/>
          <w:lang w:eastAsia="en-GB"/>
        </w:rPr>
        <w:t xml:space="preserve"> of the ESG scores rather than the market wide ESG scores. Therefore, to eliminate this ambiguity, t</w:t>
      </w:r>
      <w:r w:rsidR="00DC59B1" w:rsidRPr="00EE601A">
        <w:rPr>
          <w:rFonts w:ascii="Times New Roman" w:hAnsi="Times New Roman" w:cs="Times New Roman"/>
          <w:color w:val="000000" w:themeColor="text1"/>
          <w:lang w:eastAsia="en-GB"/>
        </w:rPr>
        <w:t>h</w:t>
      </w:r>
      <w:r w:rsidRPr="00EE601A">
        <w:rPr>
          <w:rFonts w:ascii="Times New Roman" w:hAnsi="Times New Roman" w:cs="Times New Roman"/>
          <w:color w:val="000000" w:themeColor="text1"/>
          <w:lang w:eastAsia="en-GB"/>
        </w:rPr>
        <w:t>is</w:t>
      </w:r>
      <w:r w:rsidR="00DC59B1" w:rsidRPr="00EE601A">
        <w:rPr>
          <w:rFonts w:ascii="Times New Roman" w:hAnsi="Times New Roman" w:cs="Times New Roman"/>
          <w:color w:val="000000" w:themeColor="text1"/>
          <w:lang w:eastAsia="en-GB"/>
        </w:rPr>
        <w:t xml:space="preserve"> sentence on Page </w:t>
      </w:r>
      <w:r w:rsidR="004A0D6F" w:rsidRPr="00EE601A">
        <w:rPr>
          <w:rFonts w:ascii="Times New Roman" w:hAnsi="Times New Roman" w:cs="Times New Roman"/>
          <w:color w:val="000000" w:themeColor="text1"/>
          <w:lang w:eastAsia="en-GB"/>
        </w:rPr>
        <w:t>8</w:t>
      </w:r>
      <w:r w:rsidR="00DC59B1" w:rsidRPr="00EE601A">
        <w:rPr>
          <w:rFonts w:ascii="Times New Roman" w:hAnsi="Times New Roman" w:cs="Times New Roman"/>
          <w:color w:val="000000" w:themeColor="text1"/>
          <w:lang w:eastAsia="en-GB"/>
        </w:rPr>
        <w:t xml:space="preserve"> has been removed from the</w:t>
      </w:r>
      <w:r w:rsidRPr="00EE601A">
        <w:rPr>
          <w:rFonts w:ascii="Times New Roman" w:hAnsi="Times New Roman" w:cs="Times New Roman"/>
          <w:color w:val="000000" w:themeColor="text1"/>
          <w:lang w:eastAsia="en-GB"/>
        </w:rPr>
        <w:t xml:space="preserve"> revised</w:t>
      </w:r>
      <w:r w:rsidR="00DC59B1" w:rsidRPr="00EE601A">
        <w:rPr>
          <w:rFonts w:ascii="Times New Roman" w:hAnsi="Times New Roman" w:cs="Times New Roman"/>
          <w:color w:val="000000" w:themeColor="text1"/>
          <w:lang w:eastAsia="en-GB"/>
        </w:rPr>
        <w:t xml:space="preserve"> manuscript. </w:t>
      </w:r>
    </w:p>
    <w:p w14:paraId="486BE8A8" w14:textId="3D4DC264" w:rsidR="00376750" w:rsidRPr="00EE601A" w:rsidRDefault="00376750" w:rsidP="00376750">
      <w:pPr>
        <w:shd w:val="clear" w:color="auto" w:fill="FFFFFF"/>
        <w:rPr>
          <w:rFonts w:ascii="Times New Roman" w:hAnsi="Times New Roman" w:cs="Times New Roman"/>
          <w:b/>
          <w:color w:val="000000" w:themeColor="text1"/>
          <w:lang w:eastAsia="en-GB"/>
        </w:rPr>
      </w:pPr>
      <w:r w:rsidRPr="00EE601A">
        <w:rPr>
          <w:rFonts w:ascii="Times New Roman" w:hAnsi="Times New Roman" w:cs="Times New Roman"/>
          <w:b/>
          <w:color w:val="000000" w:themeColor="text1"/>
          <w:lang w:eastAsia="en-GB"/>
        </w:rPr>
        <w:lastRenderedPageBreak/>
        <w:t>Comment h:</w:t>
      </w:r>
    </w:p>
    <w:p w14:paraId="5B167781" w14:textId="77777777" w:rsidR="00376750" w:rsidRPr="00EE601A" w:rsidRDefault="00376750" w:rsidP="00944961">
      <w:pPr>
        <w:shd w:val="clear" w:color="auto" w:fill="FFFFFF"/>
        <w:rPr>
          <w:rFonts w:ascii="Times New Roman" w:hAnsi="Times New Roman" w:cs="Times New Roman"/>
          <w:color w:val="000000" w:themeColor="text1"/>
          <w:lang w:eastAsia="en-GB"/>
        </w:rPr>
      </w:pPr>
    </w:p>
    <w:p w14:paraId="4C5AAE33" w14:textId="6B273B2F" w:rsidR="00944961" w:rsidRPr="00EE601A" w:rsidRDefault="00944961" w:rsidP="00376750">
      <w:pPr>
        <w:shd w:val="clear" w:color="auto" w:fill="FFFFFF"/>
        <w:jc w:val="both"/>
        <w:rPr>
          <w:rFonts w:ascii="Times New Roman" w:hAnsi="Times New Roman" w:cs="Times New Roman"/>
          <w:i/>
          <w:color w:val="000000" w:themeColor="text1"/>
          <w:lang w:eastAsia="en-GB"/>
        </w:rPr>
      </w:pPr>
      <w:r w:rsidRPr="00EE601A">
        <w:rPr>
          <w:rFonts w:ascii="Times New Roman" w:hAnsi="Times New Roman" w:cs="Times New Roman"/>
          <w:i/>
          <w:color w:val="000000" w:themeColor="text1"/>
          <w:lang w:eastAsia="en-GB"/>
        </w:rPr>
        <w:t>It is indeed important to explain differences (and similarities) between the Bloomberg ESG scores and other ratings, e.g. those provided by Asset4. However, I’d recommend to constraint this description to those points, which are relevant for the analysis, and to skip promotional passages for Bloomberg (e.g. with respect to information about carbon emissions or that it is possible to customize equity and bond portfolios).</w:t>
      </w:r>
    </w:p>
    <w:p w14:paraId="07F36C67" w14:textId="77777777" w:rsidR="00376750" w:rsidRPr="00EE601A" w:rsidRDefault="00376750" w:rsidP="00944961">
      <w:pPr>
        <w:shd w:val="clear" w:color="auto" w:fill="FFFFFF"/>
        <w:rPr>
          <w:rFonts w:ascii="Times New Roman" w:hAnsi="Times New Roman" w:cs="Times New Roman"/>
          <w:color w:val="000000" w:themeColor="text1"/>
          <w:lang w:eastAsia="en-GB"/>
        </w:rPr>
      </w:pPr>
    </w:p>
    <w:p w14:paraId="711E8A3D" w14:textId="0743C346" w:rsidR="00AA2525" w:rsidRPr="00EE601A" w:rsidRDefault="00AA2525" w:rsidP="0082591E">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The comment is well-taken.</w:t>
      </w:r>
    </w:p>
    <w:p w14:paraId="4DA70D00" w14:textId="503E5A48" w:rsidR="00AA2525" w:rsidRPr="00EE601A" w:rsidRDefault="00AA2525" w:rsidP="0082591E">
      <w:pPr>
        <w:shd w:val="clear" w:color="auto" w:fill="FFFFFF"/>
        <w:jc w:val="both"/>
        <w:rPr>
          <w:rFonts w:ascii="Times New Roman" w:hAnsi="Times New Roman" w:cs="Times New Roman"/>
          <w:color w:val="000000" w:themeColor="text1"/>
          <w:lang w:eastAsia="en-GB"/>
        </w:rPr>
      </w:pPr>
    </w:p>
    <w:p w14:paraId="65C7FF72" w14:textId="202A71FF" w:rsidR="00376750" w:rsidRPr="00EE601A" w:rsidRDefault="00AA2525" w:rsidP="0082591E">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Following the advice of the referee, t</w:t>
      </w:r>
      <w:r w:rsidR="00376750" w:rsidRPr="00EE601A">
        <w:rPr>
          <w:rFonts w:ascii="Times New Roman" w:hAnsi="Times New Roman" w:cs="Times New Roman"/>
          <w:color w:val="000000" w:themeColor="text1"/>
          <w:lang w:eastAsia="en-GB"/>
        </w:rPr>
        <w:t>he promotional passage “</w:t>
      </w:r>
      <w:r w:rsidR="00376750" w:rsidRPr="00EE601A">
        <w:rPr>
          <w:rFonts w:asciiTheme="majorBidi" w:hAnsiTheme="majorBidi" w:cstheme="majorBidi"/>
          <w:color w:val="000000" w:themeColor="text1"/>
          <w:lang w:val="en-US"/>
        </w:rPr>
        <w:t xml:space="preserve">In addition, Bloomberg has the ability to measure and compare portfolio carbon emissions against a selected benchmark, whilst also allowing custom equity and bond portfolios to be generated with the ESG score embedded.” has been removed from the manuscript. </w:t>
      </w:r>
    </w:p>
    <w:p w14:paraId="20926B69" w14:textId="652A492D" w:rsidR="00376750" w:rsidRPr="00EE601A" w:rsidRDefault="00376750" w:rsidP="00944961">
      <w:pPr>
        <w:shd w:val="clear" w:color="auto" w:fill="FFFFFF"/>
        <w:rPr>
          <w:rFonts w:ascii="Times New Roman" w:hAnsi="Times New Roman" w:cs="Times New Roman"/>
          <w:color w:val="000000" w:themeColor="text1"/>
          <w:lang w:eastAsia="en-GB"/>
        </w:rPr>
      </w:pPr>
    </w:p>
    <w:p w14:paraId="22462941" w14:textId="7F073F08" w:rsidR="004B1517" w:rsidRPr="00EE601A" w:rsidRDefault="004B1517" w:rsidP="00944961">
      <w:pPr>
        <w:shd w:val="clear" w:color="auto" w:fill="FFFFFF"/>
        <w:rPr>
          <w:rFonts w:ascii="Times New Roman" w:hAnsi="Times New Roman" w:cs="Times New Roman"/>
          <w:color w:val="000000" w:themeColor="text1"/>
          <w:lang w:eastAsia="en-GB"/>
        </w:rPr>
      </w:pPr>
    </w:p>
    <w:p w14:paraId="4C528326" w14:textId="77777777" w:rsidR="00376750" w:rsidRPr="00EE601A" w:rsidRDefault="00376750" w:rsidP="00376750">
      <w:pPr>
        <w:shd w:val="clear" w:color="auto" w:fill="FFFFFF"/>
        <w:rPr>
          <w:rFonts w:ascii="Times New Roman" w:hAnsi="Times New Roman" w:cs="Times New Roman"/>
          <w:b/>
          <w:color w:val="000000" w:themeColor="text1"/>
          <w:lang w:eastAsia="en-GB"/>
        </w:rPr>
      </w:pPr>
      <w:r w:rsidRPr="00EE601A">
        <w:rPr>
          <w:rFonts w:ascii="Times New Roman" w:hAnsi="Times New Roman" w:cs="Times New Roman"/>
          <w:b/>
          <w:color w:val="000000" w:themeColor="text1"/>
          <w:lang w:eastAsia="en-GB"/>
        </w:rPr>
        <w:t>Comment h:</w:t>
      </w:r>
    </w:p>
    <w:p w14:paraId="27CBB103" w14:textId="77777777" w:rsidR="00376750" w:rsidRPr="00EE601A" w:rsidRDefault="00376750" w:rsidP="00944961">
      <w:pPr>
        <w:shd w:val="clear" w:color="auto" w:fill="FFFFFF"/>
        <w:rPr>
          <w:rFonts w:ascii="Times New Roman" w:hAnsi="Times New Roman" w:cs="Times New Roman"/>
          <w:color w:val="000000" w:themeColor="text1"/>
          <w:lang w:eastAsia="en-GB"/>
        </w:rPr>
      </w:pPr>
    </w:p>
    <w:p w14:paraId="4DD9AEAC" w14:textId="13D27A4B" w:rsidR="00944961" w:rsidRPr="00EE601A" w:rsidRDefault="00944961" w:rsidP="003A0A8B">
      <w:pPr>
        <w:shd w:val="clear" w:color="auto" w:fill="FFFFFF"/>
        <w:jc w:val="both"/>
        <w:rPr>
          <w:rFonts w:ascii="Times New Roman" w:hAnsi="Times New Roman" w:cs="Times New Roman"/>
          <w:i/>
          <w:color w:val="000000" w:themeColor="text1"/>
          <w:lang w:eastAsia="en-GB"/>
        </w:rPr>
      </w:pPr>
      <w:r w:rsidRPr="00EE601A">
        <w:rPr>
          <w:rFonts w:ascii="Times New Roman" w:hAnsi="Times New Roman" w:cs="Times New Roman"/>
          <w:i/>
          <w:color w:val="000000" w:themeColor="text1"/>
          <w:lang w:eastAsia="en-GB"/>
        </w:rPr>
        <w:t>Please also add some information (maybe in a footnote) on the SPPR database and SIRCA.</w:t>
      </w:r>
    </w:p>
    <w:p w14:paraId="261A3299" w14:textId="77777777" w:rsidR="00376750" w:rsidRPr="00EE601A" w:rsidRDefault="00376750" w:rsidP="00944961">
      <w:pPr>
        <w:shd w:val="clear" w:color="auto" w:fill="FFFFFF"/>
        <w:rPr>
          <w:rFonts w:ascii="Times New Roman" w:hAnsi="Times New Roman" w:cs="Times New Roman"/>
          <w:i/>
          <w:color w:val="000000" w:themeColor="text1"/>
          <w:lang w:eastAsia="en-GB"/>
        </w:rPr>
      </w:pPr>
    </w:p>
    <w:p w14:paraId="6C0E4E0D" w14:textId="3298B670" w:rsidR="004C3BBA" w:rsidRPr="00EE601A" w:rsidRDefault="004C3BBA" w:rsidP="0082591E">
      <w:pPr>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Following the advice of the referee, t</w:t>
      </w:r>
      <w:r w:rsidR="003A0A8B" w:rsidRPr="00EE601A">
        <w:rPr>
          <w:rFonts w:ascii="Times New Roman" w:hAnsi="Times New Roman" w:cs="Times New Roman"/>
          <w:color w:val="000000" w:themeColor="text1"/>
          <w:lang w:eastAsia="en-GB"/>
        </w:rPr>
        <w:t>he following passage was added as footnote 4 on page 5.</w:t>
      </w:r>
      <w:r w:rsidR="009F0321" w:rsidRPr="00EE601A">
        <w:rPr>
          <w:rFonts w:ascii="Times New Roman" w:hAnsi="Times New Roman" w:cs="Times New Roman"/>
          <w:color w:val="000000" w:themeColor="text1"/>
          <w:lang w:eastAsia="en-GB"/>
        </w:rPr>
        <w:t xml:space="preserve"> We also fully spelled out the acronyms in the revised version of the manuscript.</w:t>
      </w:r>
    </w:p>
    <w:p w14:paraId="71B27B00" w14:textId="77777777" w:rsidR="004C3BBA" w:rsidRPr="00EE601A" w:rsidRDefault="004C3BBA" w:rsidP="0082591E">
      <w:pPr>
        <w:jc w:val="both"/>
        <w:rPr>
          <w:rFonts w:ascii="Times New Roman" w:hAnsi="Times New Roman" w:cs="Times New Roman"/>
          <w:color w:val="000000" w:themeColor="text1"/>
          <w:lang w:eastAsia="en-GB"/>
        </w:rPr>
      </w:pPr>
    </w:p>
    <w:p w14:paraId="234490D6" w14:textId="5CA94A1E" w:rsidR="003A0A8B" w:rsidRPr="00EE601A" w:rsidRDefault="009A6F20" w:rsidP="0082591E">
      <w:pPr>
        <w:jc w:val="both"/>
        <w:rPr>
          <w:rFonts w:ascii="Times New Roman" w:eastAsia="Times New Roman" w:hAnsi="Times New Roman" w:cs="Times New Roman"/>
          <w:color w:val="000000" w:themeColor="text1"/>
          <w:lang w:eastAsia="en-GB"/>
        </w:rPr>
      </w:pPr>
      <w:r w:rsidRPr="00EE601A">
        <w:rPr>
          <w:rFonts w:ascii="Times New Roman" w:hAnsi="Times New Roman" w:cs="Times New Roman"/>
          <w:lang w:eastAsia="en-GB"/>
        </w:rPr>
        <w:t xml:space="preserve">“SIRCA </w:t>
      </w:r>
      <w:r w:rsidR="00C03978" w:rsidRPr="00EE601A">
        <w:rPr>
          <w:rFonts w:ascii="Times New Roman" w:hAnsi="Times New Roman" w:cs="Times New Roman"/>
          <w:color w:val="000000" w:themeColor="text1"/>
          <w:lang w:eastAsia="en-GB"/>
        </w:rPr>
        <w:t xml:space="preserve">is a </w:t>
      </w:r>
      <w:r w:rsidRPr="00EE601A">
        <w:rPr>
          <w:rFonts w:ascii="Times New Roman" w:hAnsi="Times New Roman" w:cs="Times New Roman"/>
          <w:color w:val="000000" w:themeColor="text1"/>
          <w:lang w:eastAsia="en-GB"/>
        </w:rPr>
        <w:t>l</w:t>
      </w:r>
      <w:r w:rsidR="00C03978" w:rsidRPr="00EE601A">
        <w:rPr>
          <w:rFonts w:ascii="Times New Roman" w:hAnsi="Times New Roman" w:cs="Times New Roman"/>
          <w:color w:val="000000" w:themeColor="text1"/>
          <w:lang w:eastAsia="en-GB"/>
        </w:rPr>
        <w:t>eading</w:t>
      </w:r>
      <w:r w:rsidRPr="00EE601A">
        <w:rPr>
          <w:rFonts w:ascii="Times New Roman" w:hAnsi="Times New Roman" w:cs="Times New Roman"/>
          <w:color w:val="000000" w:themeColor="text1"/>
          <w:lang w:eastAsia="en-GB"/>
        </w:rPr>
        <w:t xml:space="preserve"> independent</w:t>
      </w:r>
      <w:r w:rsidR="00C03978" w:rsidRPr="00EE601A">
        <w:rPr>
          <w:rFonts w:ascii="Times New Roman" w:hAnsi="Times New Roman" w:cs="Times New Roman"/>
          <w:color w:val="000000" w:themeColor="text1"/>
          <w:lang w:eastAsia="en-GB"/>
        </w:rPr>
        <w:t xml:space="preserve"> provider of financial data services for Australian and New Zealand universities. SIRCA’s</w:t>
      </w:r>
      <w:r w:rsidRPr="00EE601A">
        <w:rPr>
          <w:rFonts w:ascii="Times New Roman" w:hAnsi="Times New Roman" w:cs="Times New Roman"/>
          <w:color w:val="000000" w:themeColor="text1"/>
          <w:lang w:eastAsia="en-GB"/>
        </w:rPr>
        <w:t xml:space="preserve"> SPPR</w:t>
      </w:r>
      <w:r w:rsidR="00F63808" w:rsidRPr="00EE601A">
        <w:rPr>
          <w:rFonts w:ascii="Times New Roman" w:hAnsi="Times New Roman" w:cs="Times New Roman"/>
          <w:color w:val="0070C0"/>
          <w:lang w:eastAsia="en-GB"/>
        </w:rPr>
        <w:t xml:space="preserve"> </w:t>
      </w:r>
      <w:r w:rsidR="00C03978" w:rsidRPr="00EE601A">
        <w:rPr>
          <w:rFonts w:ascii="Times New Roman" w:hAnsi="Times New Roman" w:cs="Times New Roman"/>
          <w:color w:val="000000" w:themeColor="text1"/>
          <w:lang w:eastAsia="en-GB"/>
        </w:rPr>
        <w:t>Database contains monthly share price movements, company names and name changes</w:t>
      </w:r>
      <w:r w:rsidR="00330B53" w:rsidRPr="00EE601A">
        <w:rPr>
          <w:rFonts w:ascii="Times New Roman" w:hAnsi="Times New Roman" w:cs="Times New Roman"/>
          <w:color w:val="000000" w:themeColor="text1"/>
          <w:lang w:eastAsia="en-GB"/>
        </w:rPr>
        <w:t xml:space="preserve"> for Australian Stock Exchange (ASX) listed firms dating</w:t>
      </w:r>
      <w:r w:rsidR="00C03978" w:rsidRPr="00EE601A">
        <w:rPr>
          <w:rFonts w:ascii="Times New Roman" w:hAnsi="Times New Roman" w:cs="Times New Roman"/>
          <w:color w:val="000000" w:themeColor="text1"/>
          <w:lang w:eastAsia="en-GB"/>
        </w:rPr>
        <w:t xml:space="preserve"> back to the 1950s.</w:t>
      </w:r>
      <w:r w:rsidR="00330B53" w:rsidRPr="00EE601A">
        <w:rPr>
          <w:rFonts w:ascii="Times New Roman" w:hAnsi="Times New Roman" w:cs="Times New Roman"/>
          <w:color w:val="000000" w:themeColor="text1"/>
          <w:lang w:eastAsia="en-GB"/>
        </w:rPr>
        <w:t xml:space="preserve"> See </w:t>
      </w:r>
      <w:hyperlink r:id="rId7" w:history="1">
        <w:r w:rsidR="003A0A8B" w:rsidRPr="00EE601A">
          <w:rPr>
            <w:rFonts w:ascii="Times New Roman" w:eastAsia="Times New Roman" w:hAnsi="Times New Roman" w:cs="Times New Roman"/>
            <w:color w:val="000000" w:themeColor="text1"/>
            <w:u w:val="single"/>
            <w:lang w:eastAsia="en-GB"/>
          </w:rPr>
          <w:t>https://www.sirca.org.au/about-sirca/</w:t>
        </w:r>
      </w:hyperlink>
      <w:r w:rsidR="00330B53" w:rsidRPr="00EE601A">
        <w:rPr>
          <w:rFonts w:ascii="Times New Roman" w:eastAsia="Times New Roman" w:hAnsi="Times New Roman" w:cs="Times New Roman"/>
          <w:color w:val="000000" w:themeColor="text1"/>
          <w:lang w:eastAsia="en-GB"/>
        </w:rPr>
        <w:t xml:space="preserve"> for details</w:t>
      </w:r>
      <w:r w:rsidR="003A0A8B" w:rsidRPr="00EE601A">
        <w:rPr>
          <w:rFonts w:ascii="Times New Roman" w:eastAsia="Times New Roman" w:hAnsi="Times New Roman" w:cs="Times New Roman"/>
          <w:color w:val="000000" w:themeColor="text1"/>
          <w:lang w:eastAsia="en-GB"/>
        </w:rPr>
        <w:t>”</w:t>
      </w:r>
    </w:p>
    <w:p w14:paraId="2280C933" w14:textId="54F85B35" w:rsidR="003A0A8B" w:rsidRPr="00EE601A" w:rsidRDefault="003A0A8B" w:rsidP="003A0A8B">
      <w:pPr>
        <w:rPr>
          <w:rFonts w:ascii="Times New Roman" w:eastAsia="Times New Roman" w:hAnsi="Times New Roman" w:cs="Times New Roman"/>
          <w:color w:val="000000" w:themeColor="text1"/>
          <w:lang w:eastAsia="en-GB"/>
        </w:rPr>
      </w:pPr>
    </w:p>
    <w:p w14:paraId="55FC6E6A" w14:textId="2355129B" w:rsidR="004C3BBA" w:rsidRPr="00EE601A" w:rsidRDefault="004C3BBA" w:rsidP="003A0A8B">
      <w:pPr>
        <w:rPr>
          <w:rFonts w:ascii="Times New Roman" w:eastAsia="Times New Roman" w:hAnsi="Times New Roman" w:cs="Times New Roman"/>
          <w:color w:val="000000" w:themeColor="text1"/>
          <w:lang w:eastAsia="en-GB"/>
        </w:rPr>
      </w:pPr>
    </w:p>
    <w:p w14:paraId="71641406" w14:textId="55DD40C3" w:rsidR="003A0A8B" w:rsidRPr="00EE601A" w:rsidRDefault="003A0A8B" w:rsidP="003A0A8B">
      <w:pPr>
        <w:shd w:val="clear" w:color="auto" w:fill="FFFFFF"/>
        <w:rPr>
          <w:rFonts w:ascii="Times New Roman" w:hAnsi="Times New Roman" w:cs="Times New Roman"/>
          <w:b/>
          <w:color w:val="000000" w:themeColor="text1"/>
          <w:lang w:eastAsia="en-GB"/>
        </w:rPr>
      </w:pPr>
      <w:r w:rsidRPr="00EE601A">
        <w:rPr>
          <w:rFonts w:ascii="Times New Roman" w:hAnsi="Times New Roman" w:cs="Times New Roman"/>
          <w:b/>
          <w:color w:val="000000" w:themeColor="text1"/>
          <w:lang w:eastAsia="en-GB"/>
        </w:rPr>
        <w:t>Comment j:</w:t>
      </w:r>
    </w:p>
    <w:p w14:paraId="5613DDA4" w14:textId="7A65DEAA" w:rsidR="00376750" w:rsidRPr="00EE601A" w:rsidRDefault="00376750" w:rsidP="00944961">
      <w:pPr>
        <w:shd w:val="clear" w:color="auto" w:fill="FFFFFF"/>
        <w:rPr>
          <w:rFonts w:ascii="Times New Roman" w:hAnsi="Times New Roman" w:cs="Times New Roman"/>
          <w:color w:val="000000" w:themeColor="text1"/>
          <w:lang w:eastAsia="en-GB"/>
        </w:rPr>
      </w:pPr>
    </w:p>
    <w:p w14:paraId="330ED5A6" w14:textId="3B324D76" w:rsidR="00944961" w:rsidRPr="00EE601A" w:rsidRDefault="00944961" w:rsidP="003A0A8B">
      <w:pPr>
        <w:shd w:val="clear" w:color="auto" w:fill="FFFFFF"/>
        <w:jc w:val="both"/>
        <w:rPr>
          <w:rFonts w:ascii="Times New Roman" w:hAnsi="Times New Roman" w:cs="Times New Roman"/>
          <w:i/>
          <w:color w:val="000000" w:themeColor="text1"/>
          <w:sz w:val="22"/>
          <w:szCs w:val="22"/>
          <w:lang w:eastAsia="en-GB"/>
        </w:rPr>
      </w:pPr>
      <w:r w:rsidRPr="00EE601A">
        <w:rPr>
          <w:rFonts w:ascii="Times New Roman" w:hAnsi="Times New Roman" w:cs="Times New Roman"/>
          <w:i/>
          <w:color w:val="000000" w:themeColor="text1"/>
          <w:sz w:val="22"/>
          <w:szCs w:val="22"/>
          <w:lang w:eastAsia="en-GB"/>
        </w:rPr>
        <w:t xml:space="preserve">Some statements and interpretations are too broad and/or strong. From my reading, the authors generally tend to highlight findings that show the outperformance of strategy M3 over the standard </w:t>
      </w:r>
      <w:proofErr w:type="gramStart"/>
      <w:r w:rsidRPr="00EE601A">
        <w:rPr>
          <w:rFonts w:ascii="Times New Roman" w:hAnsi="Times New Roman" w:cs="Times New Roman"/>
          <w:i/>
          <w:color w:val="000000" w:themeColor="text1"/>
          <w:sz w:val="22"/>
          <w:szCs w:val="22"/>
          <w:lang w:eastAsia="en-GB"/>
        </w:rPr>
        <w:t>method, but</w:t>
      </w:r>
      <w:proofErr w:type="gramEnd"/>
      <w:r w:rsidRPr="00EE601A">
        <w:rPr>
          <w:rFonts w:ascii="Times New Roman" w:hAnsi="Times New Roman" w:cs="Times New Roman"/>
          <w:i/>
          <w:color w:val="000000" w:themeColor="text1"/>
          <w:sz w:val="22"/>
          <w:szCs w:val="22"/>
          <w:lang w:eastAsia="en-GB"/>
        </w:rPr>
        <w:t xml:space="preserve"> tend to neglect cases where ESG integration leads to a similar or worse performance. Further, valuations of differences between strategies (e.g. with respect to average monthly returns or Sharpe ratios) are rather based on “gut feelings” than statistical measures. For example, on page 14, the authors write “For quality, momentum and size, M2, which results in unbalanced long-short portfolios, outperforms the standard method.”. However, differences are rather small, i.e. 1.37% vs 1.31%, 0.72% vs 0.69%, 1.48% vs 1.35%, respectively, and probably not statistically different from each other. At the same time, they state that “ESG integrated factors deliver Sharpe ratios which are of similar magnitude to those reported by standard quality, size and momentum strategies (depending on the integration method).” (page 14). This is obviously very vague and subjective given, for example, the Sharpe ratios for the category “Size” which amount to 1.09, 0.55, 0.80, and 0.58, respectively. </w:t>
      </w:r>
      <w:proofErr w:type="gramStart"/>
      <w:r w:rsidRPr="00EE601A">
        <w:rPr>
          <w:rFonts w:ascii="Times New Roman" w:hAnsi="Times New Roman" w:cs="Times New Roman"/>
          <w:i/>
          <w:color w:val="000000" w:themeColor="text1"/>
          <w:sz w:val="22"/>
          <w:szCs w:val="22"/>
          <w:lang w:eastAsia="en-GB"/>
        </w:rPr>
        <w:t>Also</w:t>
      </w:r>
      <w:proofErr w:type="gramEnd"/>
      <w:r w:rsidRPr="00EE601A">
        <w:rPr>
          <w:rFonts w:ascii="Times New Roman" w:hAnsi="Times New Roman" w:cs="Times New Roman"/>
          <w:i/>
          <w:color w:val="000000" w:themeColor="text1"/>
          <w:sz w:val="22"/>
          <w:szCs w:val="22"/>
          <w:lang w:eastAsia="en-GB"/>
        </w:rPr>
        <w:t xml:space="preserve"> volatility is generally higher under ESG integration strategies than under the standard strategy, which is solely discussed at the surface. Similarly, statements like “jointly exploiting ESG scores with factor signals not only does not detract </w:t>
      </w:r>
      <w:proofErr w:type="gramStart"/>
      <w:r w:rsidRPr="00EE601A">
        <w:rPr>
          <w:rFonts w:ascii="Times New Roman" w:hAnsi="Times New Roman" w:cs="Times New Roman"/>
          <w:i/>
          <w:color w:val="000000" w:themeColor="text1"/>
          <w:sz w:val="22"/>
          <w:szCs w:val="22"/>
          <w:lang w:eastAsia="en-GB"/>
        </w:rPr>
        <w:t>performance, but</w:t>
      </w:r>
      <w:proofErr w:type="gramEnd"/>
      <w:r w:rsidRPr="00EE601A">
        <w:rPr>
          <w:rFonts w:ascii="Times New Roman" w:hAnsi="Times New Roman" w:cs="Times New Roman"/>
          <w:i/>
          <w:color w:val="000000" w:themeColor="text1"/>
          <w:sz w:val="22"/>
          <w:szCs w:val="22"/>
          <w:lang w:eastAsia="en-GB"/>
        </w:rPr>
        <w:t xml:space="preserve"> can be beneficial for investors in the long-run.” (page 29) are too strong. Therefore, the authors need to tone down these kinds of statements throughout the paper and/or provide statistical measures (e.g. test statistics) which allow stronger statements.</w:t>
      </w:r>
    </w:p>
    <w:p w14:paraId="6D656E1F" w14:textId="77777777" w:rsidR="006C384C" w:rsidRPr="00EE601A" w:rsidRDefault="006C384C" w:rsidP="003A0A8B">
      <w:pPr>
        <w:shd w:val="clear" w:color="auto" w:fill="FFFFFF"/>
        <w:jc w:val="both"/>
        <w:rPr>
          <w:rFonts w:ascii="Times New Roman" w:hAnsi="Times New Roman" w:cs="Times New Roman"/>
          <w:i/>
          <w:color w:val="000000" w:themeColor="text1"/>
          <w:lang w:eastAsia="en-GB"/>
        </w:rPr>
      </w:pPr>
    </w:p>
    <w:p w14:paraId="6A32B333" w14:textId="20D6544B" w:rsidR="00C81491" w:rsidRPr="00EE601A" w:rsidRDefault="006C384C" w:rsidP="00F577C8">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The comment is well-taken.</w:t>
      </w:r>
    </w:p>
    <w:p w14:paraId="596C783E" w14:textId="77777777" w:rsidR="0006146C" w:rsidRPr="00EE601A" w:rsidRDefault="0006146C" w:rsidP="00F577C8">
      <w:pPr>
        <w:shd w:val="clear" w:color="auto" w:fill="FFFFFF"/>
        <w:jc w:val="both"/>
        <w:rPr>
          <w:rFonts w:ascii="Times New Roman" w:hAnsi="Times New Roman" w:cs="Times New Roman"/>
          <w:color w:val="000000" w:themeColor="text1"/>
          <w:lang w:eastAsia="en-GB"/>
        </w:rPr>
      </w:pPr>
    </w:p>
    <w:p w14:paraId="05906355" w14:textId="6776EA99" w:rsidR="00351A06" w:rsidRPr="00EE601A" w:rsidRDefault="001A3594" w:rsidP="00F577C8">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lastRenderedPageBreak/>
        <w:t>Upon reflecting on the comment</w:t>
      </w:r>
      <w:r w:rsidR="0002476D" w:rsidRPr="00EE601A">
        <w:rPr>
          <w:rFonts w:ascii="Times New Roman" w:hAnsi="Times New Roman" w:cs="Times New Roman"/>
          <w:color w:val="000000" w:themeColor="text1"/>
          <w:lang w:eastAsia="en-GB"/>
        </w:rPr>
        <w:t>s</w:t>
      </w:r>
      <w:r w:rsidRPr="00EE601A">
        <w:rPr>
          <w:rFonts w:ascii="Times New Roman" w:hAnsi="Times New Roman" w:cs="Times New Roman"/>
          <w:color w:val="000000" w:themeColor="text1"/>
          <w:lang w:eastAsia="en-GB"/>
        </w:rPr>
        <w:t xml:space="preserve"> of the referee, we realize </w:t>
      </w:r>
      <w:r w:rsidR="006C384C" w:rsidRPr="00EE601A">
        <w:rPr>
          <w:rFonts w:ascii="Times New Roman" w:hAnsi="Times New Roman" w:cs="Times New Roman"/>
          <w:color w:val="000000" w:themeColor="text1"/>
          <w:lang w:eastAsia="en-GB"/>
        </w:rPr>
        <w:t>some statements</w:t>
      </w:r>
      <w:r w:rsidR="0002476D" w:rsidRPr="00EE601A">
        <w:rPr>
          <w:rFonts w:ascii="Times New Roman" w:hAnsi="Times New Roman" w:cs="Times New Roman"/>
          <w:color w:val="000000" w:themeColor="text1"/>
          <w:lang w:eastAsia="en-GB"/>
        </w:rPr>
        <w:t xml:space="preserve"> indeed lack clarity and precision. </w:t>
      </w:r>
      <w:r w:rsidR="005A7A0B" w:rsidRPr="00EE601A">
        <w:rPr>
          <w:rFonts w:ascii="Times New Roman" w:hAnsi="Times New Roman" w:cs="Times New Roman"/>
          <w:color w:val="000000" w:themeColor="text1"/>
          <w:lang w:eastAsia="en-GB"/>
        </w:rPr>
        <w:t>To ensure there is no confusions for the reader, w</w:t>
      </w:r>
      <w:r w:rsidR="0002476D" w:rsidRPr="00EE601A">
        <w:rPr>
          <w:rFonts w:ascii="Times New Roman" w:hAnsi="Times New Roman" w:cs="Times New Roman"/>
          <w:color w:val="000000" w:themeColor="text1"/>
          <w:lang w:eastAsia="en-GB"/>
        </w:rPr>
        <w:t xml:space="preserve">e have </w:t>
      </w:r>
      <w:r w:rsidR="006C384C" w:rsidRPr="00EE601A">
        <w:rPr>
          <w:rFonts w:ascii="Times New Roman" w:hAnsi="Times New Roman" w:cs="Times New Roman"/>
          <w:color w:val="000000" w:themeColor="text1"/>
          <w:lang w:eastAsia="en-GB"/>
        </w:rPr>
        <w:t>ton</w:t>
      </w:r>
      <w:r w:rsidR="0002476D" w:rsidRPr="00EE601A">
        <w:rPr>
          <w:rFonts w:ascii="Times New Roman" w:hAnsi="Times New Roman" w:cs="Times New Roman"/>
          <w:color w:val="000000" w:themeColor="text1"/>
          <w:lang w:eastAsia="en-GB"/>
        </w:rPr>
        <w:t xml:space="preserve">ed </w:t>
      </w:r>
      <w:r w:rsidR="006C384C" w:rsidRPr="00EE601A">
        <w:rPr>
          <w:rFonts w:ascii="Times New Roman" w:hAnsi="Times New Roman" w:cs="Times New Roman"/>
          <w:color w:val="000000" w:themeColor="text1"/>
          <w:lang w:eastAsia="en-GB"/>
        </w:rPr>
        <w:t>down</w:t>
      </w:r>
      <w:r w:rsidR="00374260" w:rsidRPr="00EE601A">
        <w:rPr>
          <w:rFonts w:ascii="Times New Roman" w:hAnsi="Times New Roman" w:cs="Times New Roman"/>
          <w:color w:val="000000" w:themeColor="text1"/>
          <w:lang w:eastAsia="en-GB"/>
        </w:rPr>
        <w:t xml:space="preserve"> the use of “outperformance” </w:t>
      </w:r>
      <w:r w:rsidR="005A7A0B" w:rsidRPr="00EE601A">
        <w:rPr>
          <w:rFonts w:ascii="Times New Roman" w:hAnsi="Times New Roman" w:cs="Times New Roman"/>
          <w:color w:val="000000" w:themeColor="text1"/>
          <w:lang w:eastAsia="en-GB"/>
        </w:rPr>
        <w:t>throughout the revised manuscript</w:t>
      </w:r>
      <w:r w:rsidR="00F577C8" w:rsidRPr="00EE601A">
        <w:rPr>
          <w:rFonts w:ascii="Times New Roman" w:hAnsi="Times New Roman" w:cs="Times New Roman"/>
          <w:color w:val="000000" w:themeColor="text1"/>
          <w:lang w:eastAsia="en-GB"/>
        </w:rPr>
        <w:t>.</w:t>
      </w:r>
    </w:p>
    <w:p w14:paraId="0CE8D131" w14:textId="77777777" w:rsidR="00351A06" w:rsidRPr="00EE601A" w:rsidRDefault="00351A06" w:rsidP="00F577C8">
      <w:pPr>
        <w:shd w:val="clear" w:color="auto" w:fill="FFFFFF"/>
        <w:jc w:val="both"/>
        <w:rPr>
          <w:rFonts w:ascii="Times New Roman" w:hAnsi="Times New Roman" w:cs="Times New Roman"/>
          <w:color w:val="000000" w:themeColor="text1"/>
          <w:lang w:eastAsia="en-GB"/>
        </w:rPr>
      </w:pPr>
    </w:p>
    <w:p w14:paraId="5DA735E4" w14:textId="14A5E023" w:rsidR="00F81C6A" w:rsidRPr="00EE601A" w:rsidRDefault="00F81C6A" w:rsidP="00F577C8">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O</w:t>
      </w:r>
      <w:r w:rsidR="006C384C" w:rsidRPr="00EE601A">
        <w:rPr>
          <w:rFonts w:ascii="Times New Roman" w:hAnsi="Times New Roman" w:cs="Times New Roman"/>
          <w:color w:val="000000" w:themeColor="text1"/>
          <w:lang w:eastAsia="en-GB"/>
        </w:rPr>
        <w:t>n page 14, the statement “</w:t>
      </w:r>
      <w:r w:rsidR="006C384C" w:rsidRPr="00EE601A">
        <w:rPr>
          <w:rFonts w:ascii="Times New Roman" w:hAnsi="Times New Roman" w:cs="Times New Roman"/>
          <w:i/>
          <w:color w:val="000000" w:themeColor="text1"/>
          <w:lang w:eastAsia="en-GB"/>
        </w:rPr>
        <w:t xml:space="preserve">For quality, momentum and size, M2, which results in unbalanced long-short portfolios, </w:t>
      </w:r>
      <w:r w:rsidR="006C384C" w:rsidRPr="00EE601A">
        <w:rPr>
          <w:rFonts w:ascii="Times New Roman" w:hAnsi="Times New Roman" w:cs="Times New Roman"/>
          <w:i/>
          <w:color w:val="000000" w:themeColor="text1"/>
          <w:u w:val="single"/>
          <w:lang w:eastAsia="en-GB"/>
        </w:rPr>
        <w:t>outperforms</w:t>
      </w:r>
      <w:r w:rsidR="006C384C" w:rsidRPr="00EE601A">
        <w:rPr>
          <w:rFonts w:ascii="Times New Roman" w:hAnsi="Times New Roman" w:cs="Times New Roman"/>
          <w:i/>
          <w:color w:val="000000" w:themeColor="text1"/>
          <w:lang w:eastAsia="en-GB"/>
        </w:rPr>
        <w:t xml:space="preserve"> the standard method.”</w:t>
      </w:r>
      <w:r w:rsidR="00351A06" w:rsidRPr="00EE601A">
        <w:rPr>
          <w:rFonts w:ascii="Times New Roman" w:hAnsi="Times New Roman" w:cs="Times New Roman"/>
          <w:i/>
          <w:color w:val="000000" w:themeColor="text1"/>
          <w:lang w:eastAsia="en-GB"/>
        </w:rPr>
        <w:t xml:space="preserve"> </w:t>
      </w:r>
      <w:r w:rsidR="00351A06" w:rsidRPr="00EE601A">
        <w:rPr>
          <w:rFonts w:ascii="Times New Roman" w:hAnsi="Times New Roman" w:cs="Times New Roman"/>
          <w:iCs/>
          <w:color w:val="000000" w:themeColor="text1"/>
          <w:lang w:eastAsia="en-GB"/>
        </w:rPr>
        <w:t>has been</w:t>
      </w:r>
      <w:r w:rsidR="006C384C" w:rsidRPr="00EE601A">
        <w:rPr>
          <w:rFonts w:ascii="Times New Roman" w:hAnsi="Times New Roman" w:cs="Times New Roman"/>
          <w:color w:val="000000" w:themeColor="text1"/>
          <w:lang w:eastAsia="en-GB"/>
        </w:rPr>
        <w:t xml:space="preserve"> amended</w:t>
      </w:r>
      <w:r w:rsidRPr="00EE601A">
        <w:rPr>
          <w:rFonts w:ascii="Times New Roman" w:hAnsi="Times New Roman" w:cs="Times New Roman"/>
          <w:color w:val="000000" w:themeColor="text1"/>
          <w:lang w:eastAsia="en-GB"/>
        </w:rPr>
        <w:t xml:space="preserve"> to “</w:t>
      </w:r>
      <w:r w:rsidRPr="00EE601A">
        <w:rPr>
          <w:rFonts w:ascii="Times New Roman" w:hAnsi="Times New Roman" w:cs="Times New Roman"/>
          <w:i/>
          <w:color w:val="000000" w:themeColor="text1"/>
          <w:lang w:eastAsia="en-GB"/>
        </w:rPr>
        <w:t>For quality, momentum and size, M2, which results in unbalanced long-short portfolios, report similar performance to the standard method.”</w:t>
      </w:r>
    </w:p>
    <w:p w14:paraId="7E1981D0" w14:textId="77777777" w:rsidR="00F81C6A" w:rsidRPr="00EE601A" w:rsidRDefault="00F81C6A" w:rsidP="00F577C8">
      <w:pPr>
        <w:shd w:val="clear" w:color="auto" w:fill="FFFFFF"/>
        <w:jc w:val="both"/>
        <w:rPr>
          <w:rFonts w:ascii="Times New Roman" w:hAnsi="Times New Roman" w:cs="Times New Roman"/>
          <w:color w:val="000000" w:themeColor="text1"/>
          <w:lang w:eastAsia="en-GB"/>
        </w:rPr>
      </w:pPr>
    </w:p>
    <w:p w14:paraId="584A1645" w14:textId="08C9BACA" w:rsidR="00D92C11" w:rsidRPr="00EE601A" w:rsidRDefault="00F81C6A" w:rsidP="00F577C8">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 xml:space="preserve">On page 14, </w:t>
      </w:r>
      <w:r w:rsidR="00F577C8" w:rsidRPr="00EE601A">
        <w:rPr>
          <w:rFonts w:ascii="Times New Roman" w:hAnsi="Times New Roman" w:cs="Times New Roman"/>
          <w:color w:val="000000" w:themeColor="text1"/>
          <w:lang w:eastAsia="en-GB"/>
        </w:rPr>
        <w:t>the statement “</w:t>
      </w:r>
      <w:r w:rsidR="00F577C8" w:rsidRPr="00EE601A">
        <w:rPr>
          <w:rFonts w:asciiTheme="majorBidi" w:hAnsiTheme="majorBidi" w:cstheme="majorBidi"/>
          <w:i/>
          <w:iCs/>
          <w:color w:val="000000" w:themeColor="text1"/>
        </w:rPr>
        <w:t>In particular, size reports the highest average return under M2</w:t>
      </w:r>
      <w:r w:rsidR="00F577C8" w:rsidRPr="00EE601A">
        <w:rPr>
          <w:rFonts w:asciiTheme="majorBidi" w:hAnsiTheme="majorBidi" w:cstheme="majorBidi"/>
          <w:color w:val="000000" w:themeColor="text1"/>
        </w:rPr>
        <w:t>”</w:t>
      </w:r>
      <w:r w:rsidRPr="00EE601A">
        <w:rPr>
          <w:rFonts w:asciiTheme="majorBidi" w:hAnsiTheme="majorBidi" w:cstheme="majorBidi"/>
          <w:i/>
          <w:iCs/>
          <w:color w:val="000000" w:themeColor="text1"/>
        </w:rPr>
        <w:t xml:space="preserve"> </w:t>
      </w:r>
      <w:r w:rsidRPr="00EE601A">
        <w:rPr>
          <w:rFonts w:asciiTheme="majorBidi" w:hAnsiTheme="majorBidi" w:cstheme="majorBidi"/>
          <w:color w:val="000000" w:themeColor="text1"/>
        </w:rPr>
        <w:t>has been amended to “</w:t>
      </w:r>
      <w:r w:rsidRPr="00EE601A">
        <w:rPr>
          <w:rFonts w:asciiTheme="majorBidi" w:hAnsiTheme="majorBidi" w:cstheme="majorBidi"/>
          <w:i/>
          <w:iCs/>
          <w:color w:val="000000" w:themeColor="text1"/>
        </w:rPr>
        <w:t>In particular, size reports the highest average return under M2, however the increased volatility subdues the Sharpe ratio</w:t>
      </w:r>
      <w:r w:rsidRPr="00EE601A">
        <w:rPr>
          <w:rFonts w:asciiTheme="majorBidi" w:hAnsiTheme="majorBidi" w:cstheme="majorBidi"/>
          <w:color w:val="000000" w:themeColor="text1"/>
        </w:rPr>
        <w:t>”.</w:t>
      </w:r>
    </w:p>
    <w:p w14:paraId="56A0385A" w14:textId="77777777" w:rsidR="00D92C11" w:rsidRPr="00EE601A" w:rsidRDefault="00D92C11" w:rsidP="00F577C8">
      <w:pPr>
        <w:shd w:val="clear" w:color="auto" w:fill="FFFFFF"/>
        <w:jc w:val="both"/>
        <w:rPr>
          <w:rFonts w:ascii="Times New Roman" w:hAnsi="Times New Roman" w:cs="Times New Roman"/>
          <w:color w:val="000000" w:themeColor="text1"/>
          <w:lang w:eastAsia="en-GB"/>
        </w:rPr>
      </w:pPr>
    </w:p>
    <w:p w14:paraId="72556708" w14:textId="7AABB280" w:rsidR="00D92C11" w:rsidRPr="00EE601A" w:rsidRDefault="00B57738" w:rsidP="00F577C8">
      <w:pPr>
        <w:shd w:val="clear" w:color="auto" w:fill="FFFFFF"/>
        <w:jc w:val="both"/>
        <w:rPr>
          <w:rFonts w:asciiTheme="majorBidi" w:hAnsiTheme="majorBidi" w:cstheme="majorBidi"/>
          <w:color w:val="000000" w:themeColor="text1"/>
        </w:rPr>
      </w:pPr>
      <w:r w:rsidRPr="00EE601A">
        <w:rPr>
          <w:rFonts w:asciiTheme="majorBidi" w:hAnsiTheme="majorBidi" w:cstheme="majorBidi"/>
          <w:color w:val="000000" w:themeColor="text1"/>
        </w:rPr>
        <w:t xml:space="preserve">On page 14, </w:t>
      </w:r>
      <w:r w:rsidR="00B14D47" w:rsidRPr="00EE601A">
        <w:rPr>
          <w:rFonts w:asciiTheme="majorBidi" w:hAnsiTheme="majorBidi" w:cstheme="majorBidi"/>
          <w:color w:val="000000" w:themeColor="text1"/>
        </w:rPr>
        <w:t>the statement “</w:t>
      </w:r>
      <w:r w:rsidR="00B14D47" w:rsidRPr="00EE601A">
        <w:rPr>
          <w:rFonts w:asciiTheme="majorBidi" w:hAnsiTheme="majorBidi" w:cstheme="majorBidi"/>
          <w:i/>
          <w:iCs/>
          <w:color w:val="000000" w:themeColor="text1"/>
        </w:rPr>
        <w:t xml:space="preserve">The M3, which captures the interaction between ESG scores and factor signals, reports </w:t>
      </w:r>
      <w:r w:rsidR="00B14D47" w:rsidRPr="00EE601A">
        <w:rPr>
          <w:rFonts w:asciiTheme="majorBidi" w:hAnsiTheme="majorBidi" w:cstheme="majorBidi"/>
          <w:i/>
          <w:iCs/>
          <w:color w:val="000000" w:themeColor="text1"/>
          <w:u w:val="single"/>
        </w:rPr>
        <w:t>outperformance</w:t>
      </w:r>
      <w:r w:rsidR="00B14D47" w:rsidRPr="00EE601A">
        <w:rPr>
          <w:rFonts w:asciiTheme="majorBidi" w:hAnsiTheme="majorBidi" w:cstheme="majorBidi"/>
          <w:i/>
          <w:iCs/>
          <w:color w:val="000000" w:themeColor="text1"/>
        </w:rPr>
        <w:t xml:space="preserve"> over the standard quality and momentum strategies at 1.52% and 1.55% per month, respectively</w:t>
      </w:r>
      <w:r w:rsidR="00B14D47" w:rsidRPr="00EE601A">
        <w:rPr>
          <w:rFonts w:asciiTheme="majorBidi" w:hAnsiTheme="majorBidi" w:cstheme="majorBidi"/>
          <w:color w:val="000000" w:themeColor="text1"/>
        </w:rPr>
        <w:t>.” has been amended to “</w:t>
      </w:r>
      <w:r w:rsidR="00B14D47" w:rsidRPr="00EE601A">
        <w:rPr>
          <w:rFonts w:asciiTheme="majorBidi" w:hAnsiTheme="majorBidi" w:cstheme="majorBidi"/>
          <w:i/>
          <w:iCs/>
          <w:color w:val="000000" w:themeColor="text1"/>
        </w:rPr>
        <w:t>The M3, which captures the interaction between ESG scores and factor signals, reports higher returns over the standard quality and momentum strategies at 1.52% and 1.55% per month, respectively</w:t>
      </w:r>
      <w:r w:rsidR="00B14D47" w:rsidRPr="00EE601A">
        <w:rPr>
          <w:rFonts w:asciiTheme="majorBidi" w:hAnsiTheme="majorBidi" w:cstheme="majorBidi"/>
          <w:color w:val="000000" w:themeColor="text1"/>
        </w:rPr>
        <w:t>.</w:t>
      </w:r>
    </w:p>
    <w:p w14:paraId="27EBDA21" w14:textId="1E1BE0C2" w:rsidR="002B12E8" w:rsidRPr="00EE601A" w:rsidRDefault="002B12E8" w:rsidP="00F577C8">
      <w:pPr>
        <w:shd w:val="clear" w:color="auto" w:fill="FFFFFF"/>
        <w:jc w:val="both"/>
        <w:rPr>
          <w:rFonts w:asciiTheme="majorBidi" w:hAnsiTheme="majorBidi" w:cstheme="majorBidi"/>
          <w:color w:val="000000" w:themeColor="text1"/>
        </w:rPr>
      </w:pPr>
    </w:p>
    <w:p w14:paraId="2E8A31DE" w14:textId="51804A14" w:rsidR="002B12E8" w:rsidRPr="00EE601A" w:rsidRDefault="002B12E8" w:rsidP="00F577C8">
      <w:pPr>
        <w:shd w:val="clear" w:color="auto" w:fill="FFFFFF"/>
        <w:jc w:val="both"/>
        <w:rPr>
          <w:rFonts w:ascii="Times New Roman" w:hAnsi="Times New Roman" w:cs="Times New Roman"/>
          <w:color w:val="000000" w:themeColor="text1"/>
          <w:lang w:eastAsia="en-GB"/>
        </w:rPr>
      </w:pPr>
      <w:r w:rsidRPr="00EE601A">
        <w:rPr>
          <w:rFonts w:asciiTheme="majorBidi" w:hAnsiTheme="majorBidi" w:cstheme="majorBidi"/>
          <w:color w:val="000000" w:themeColor="text1"/>
        </w:rPr>
        <w:t>On page 14, the statement “</w:t>
      </w:r>
      <w:r w:rsidRPr="00EE601A">
        <w:rPr>
          <w:rFonts w:asciiTheme="majorBidi" w:hAnsiTheme="majorBidi" w:cstheme="majorBidi"/>
          <w:i/>
          <w:iCs/>
          <w:color w:val="000000" w:themeColor="text1"/>
        </w:rPr>
        <w:t>Although the opportunity set is reduced for integrated strategies, ESG integrated factors deliver Sharpe ratios which are of similar magnitude to those reported by standard quality, size and momentum strategies (depending on the integration method)</w:t>
      </w:r>
      <w:r w:rsidRPr="00EE601A">
        <w:rPr>
          <w:rFonts w:asciiTheme="majorBidi" w:hAnsiTheme="majorBidi" w:cstheme="majorBidi"/>
          <w:color w:val="000000" w:themeColor="text1"/>
        </w:rPr>
        <w:t>” has been amended to “</w:t>
      </w:r>
      <w:bookmarkStart w:id="1" w:name="_Hlk31920116"/>
      <w:bookmarkStart w:id="2" w:name="_Hlk31920484"/>
      <w:r w:rsidR="00374260" w:rsidRPr="00EE601A">
        <w:rPr>
          <w:rFonts w:asciiTheme="majorBidi" w:hAnsiTheme="majorBidi" w:cstheme="majorBidi"/>
          <w:i/>
          <w:iCs/>
          <w:color w:val="000000" w:themeColor="text1"/>
          <w:lang w:val="en-AU"/>
        </w:rPr>
        <w:t>Although the opportunity set is reduced for integrated strategies, ESG integrated quality strategies deliver Sharpe ratios which are of similar magnitude to those reported by the standard quality.</w:t>
      </w:r>
      <w:bookmarkEnd w:id="1"/>
      <w:bookmarkEnd w:id="2"/>
      <w:r w:rsidRPr="00EE601A">
        <w:rPr>
          <w:rFonts w:asciiTheme="majorBidi" w:hAnsiTheme="majorBidi" w:cstheme="majorBidi"/>
          <w:i/>
          <w:iCs/>
          <w:color w:val="000000" w:themeColor="text1"/>
        </w:rPr>
        <w:t>.</w:t>
      </w:r>
    </w:p>
    <w:p w14:paraId="35ED099B" w14:textId="77777777" w:rsidR="00D92C11" w:rsidRPr="00EE601A" w:rsidRDefault="00D92C11" w:rsidP="00F577C8">
      <w:pPr>
        <w:shd w:val="clear" w:color="auto" w:fill="FFFFFF"/>
        <w:jc w:val="both"/>
        <w:rPr>
          <w:rFonts w:ascii="Times New Roman" w:hAnsi="Times New Roman" w:cs="Times New Roman"/>
          <w:color w:val="000000" w:themeColor="text1"/>
          <w:lang w:eastAsia="en-GB"/>
        </w:rPr>
      </w:pPr>
    </w:p>
    <w:p w14:paraId="7FF6C08D" w14:textId="4D20F9D4" w:rsidR="00F577C8" w:rsidRPr="00EE601A" w:rsidRDefault="002B12E8" w:rsidP="00F577C8">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On pages 19 and 29</w:t>
      </w:r>
      <w:r w:rsidR="00F577C8" w:rsidRPr="00EE601A">
        <w:rPr>
          <w:rFonts w:ascii="Times New Roman" w:hAnsi="Times New Roman" w:cs="Times New Roman"/>
          <w:color w:val="000000" w:themeColor="text1"/>
          <w:lang w:eastAsia="en-GB"/>
        </w:rPr>
        <w:t>, the statement “</w:t>
      </w:r>
      <w:r w:rsidR="00F577C8" w:rsidRPr="00EE601A">
        <w:rPr>
          <w:rFonts w:ascii="Times New Roman" w:hAnsi="Times New Roman" w:cs="Times New Roman"/>
          <w:i/>
          <w:color w:val="000000" w:themeColor="text1"/>
          <w:lang w:eastAsia="en-GB"/>
        </w:rPr>
        <w:t xml:space="preserve">jointly exploiting ESG scores with factor signals not only does not detract </w:t>
      </w:r>
      <w:proofErr w:type="gramStart"/>
      <w:r w:rsidR="00F577C8" w:rsidRPr="00EE601A">
        <w:rPr>
          <w:rFonts w:ascii="Times New Roman" w:hAnsi="Times New Roman" w:cs="Times New Roman"/>
          <w:i/>
          <w:color w:val="000000" w:themeColor="text1"/>
          <w:lang w:eastAsia="en-GB"/>
        </w:rPr>
        <w:t>performance, but</w:t>
      </w:r>
      <w:proofErr w:type="gramEnd"/>
      <w:r w:rsidR="00F577C8" w:rsidRPr="00EE601A">
        <w:rPr>
          <w:rFonts w:ascii="Times New Roman" w:hAnsi="Times New Roman" w:cs="Times New Roman"/>
          <w:i/>
          <w:color w:val="000000" w:themeColor="text1"/>
          <w:lang w:eastAsia="en-GB"/>
        </w:rPr>
        <w:t xml:space="preserve"> can be beneficial for investors in the long-run” </w:t>
      </w:r>
      <w:r w:rsidR="00F577C8" w:rsidRPr="00EE601A">
        <w:rPr>
          <w:rFonts w:ascii="Times New Roman" w:hAnsi="Times New Roman" w:cs="Times New Roman"/>
          <w:color w:val="000000" w:themeColor="text1"/>
          <w:lang w:eastAsia="en-GB"/>
        </w:rPr>
        <w:t>are amended. The sentence now reads “</w:t>
      </w:r>
      <w:r w:rsidR="005D7604" w:rsidRPr="00EE601A">
        <w:rPr>
          <w:rFonts w:asciiTheme="majorBidi" w:hAnsiTheme="majorBidi" w:cstheme="majorBidi"/>
          <w:i/>
          <w:iCs/>
          <w:color w:val="000000" w:themeColor="text1"/>
          <w:lang w:val="en-US"/>
        </w:rPr>
        <w:t>Jointly exploiting ESG scores with factor signals does not significantly detract performance of factor strategies, integration could add value for investors in the long-run.</w:t>
      </w:r>
      <w:r w:rsidR="00F577C8" w:rsidRPr="00EE601A">
        <w:rPr>
          <w:rFonts w:asciiTheme="majorBidi" w:hAnsiTheme="majorBidi" w:cstheme="majorBidi"/>
          <w:i/>
          <w:iCs/>
          <w:color w:val="000000" w:themeColor="text1"/>
          <w:lang w:val="en-US"/>
        </w:rPr>
        <w:t>”</w:t>
      </w:r>
    </w:p>
    <w:p w14:paraId="7A4CBD02" w14:textId="7DACB656" w:rsidR="003A0A8B" w:rsidRPr="00EE601A" w:rsidRDefault="003A0A8B" w:rsidP="00944961">
      <w:pPr>
        <w:shd w:val="clear" w:color="auto" w:fill="FFFFFF"/>
        <w:rPr>
          <w:rFonts w:ascii="Times New Roman" w:hAnsi="Times New Roman" w:cs="Times New Roman"/>
          <w:color w:val="000000" w:themeColor="text1"/>
          <w:lang w:eastAsia="en-GB"/>
        </w:rPr>
      </w:pPr>
    </w:p>
    <w:p w14:paraId="65DBFA2D" w14:textId="1E7EC8B9" w:rsidR="004B1517" w:rsidRPr="00EE601A" w:rsidRDefault="004B1517" w:rsidP="00944961">
      <w:pPr>
        <w:shd w:val="clear" w:color="auto" w:fill="FFFFFF"/>
        <w:rPr>
          <w:rFonts w:ascii="Times New Roman" w:hAnsi="Times New Roman" w:cs="Times New Roman"/>
          <w:color w:val="000000" w:themeColor="text1"/>
          <w:lang w:eastAsia="en-GB"/>
        </w:rPr>
      </w:pPr>
    </w:p>
    <w:p w14:paraId="51B9362B" w14:textId="7F7DC62F" w:rsidR="00F577C8" w:rsidRPr="00EE601A" w:rsidRDefault="00F577C8" w:rsidP="00F577C8">
      <w:pPr>
        <w:shd w:val="clear" w:color="auto" w:fill="FFFFFF"/>
        <w:rPr>
          <w:rFonts w:ascii="Times New Roman" w:hAnsi="Times New Roman" w:cs="Times New Roman"/>
          <w:b/>
          <w:color w:val="000000" w:themeColor="text1"/>
          <w:lang w:eastAsia="en-GB"/>
        </w:rPr>
      </w:pPr>
      <w:r w:rsidRPr="00EE601A">
        <w:rPr>
          <w:rFonts w:ascii="Times New Roman" w:hAnsi="Times New Roman" w:cs="Times New Roman"/>
          <w:b/>
          <w:color w:val="000000" w:themeColor="text1"/>
          <w:lang w:eastAsia="en-GB"/>
        </w:rPr>
        <w:t>Comment k:</w:t>
      </w:r>
    </w:p>
    <w:p w14:paraId="2EC6F413" w14:textId="77777777" w:rsidR="00F577C8" w:rsidRPr="00EE601A" w:rsidRDefault="00F577C8" w:rsidP="00787EC5">
      <w:pPr>
        <w:shd w:val="clear" w:color="auto" w:fill="FFFFFF"/>
        <w:jc w:val="both"/>
        <w:rPr>
          <w:rFonts w:ascii="Times New Roman" w:hAnsi="Times New Roman" w:cs="Times New Roman"/>
          <w:b/>
          <w:i/>
          <w:color w:val="000000" w:themeColor="text1"/>
          <w:lang w:eastAsia="en-GB"/>
        </w:rPr>
      </w:pPr>
    </w:p>
    <w:p w14:paraId="5B2720FD" w14:textId="1728E712" w:rsidR="00944961" w:rsidRPr="00EE601A" w:rsidRDefault="00944961" w:rsidP="00787EC5">
      <w:pPr>
        <w:shd w:val="clear" w:color="auto" w:fill="FFFFFF"/>
        <w:jc w:val="both"/>
        <w:rPr>
          <w:rFonts w:ascii="Times New Roman" w:hAnsi="Times New Roman" w:cs="Times New Roman"/>
          <w:i/>
          <w:color w:val="000000" w:themeColor="text1"/>
          <w:lang w:eastAsia="en-GB"/>
        </w:rPr>
      </w:pPr>
      <w:r w:rsidRPr="00EE601A">
        <w:rPr>
          <w:rFonts w:ascii="Times New Roman" w:hAnsi="Times New Roman" w:cs="Times New Roman"/>
          <w:i/>
          <w:color w:val="000000" w:themeColor="text1"/>
          <w:lang w:eastAsia="en-GB"/>
        </w:rPr>
        <w:t xml:space="preserve">The authors also state that “findings imply that traditional ESG investing through negative screens would likely lead to inferior investment outcomes.” (e.g. page 15). This statement might confuse readers, since the term “negative screening” typically describes investment strategies that exclude specific (sin) industries or countries. In this paper, however, the authors “perform a negative screen by excluding non-ESG rated firms from the “All” sample.” (page 11), i.e. they exclude all firms with no ESG rating. </w:t>
      </w:r>
      <w:proofErr w:type="gramStart"/>
      <w:r w:rsidRPr="00EE601A">
        <w:rPr>
          <w:rFonts w:ascii="Times New Roman" w:hAnsi="Times New Roman" w:cs="Times New Roman"/>
          <w:i/>
          <w:color w:val="000000" w:themeColor="text1"/>
          <w:lang w:eastAsia="en-GB"/>
        </w:rPr>
        <w:t>Thus</w:t>
      </w:r>
      <w:proofErr w:type="gramEnd"/>
      <w:r w:rsidRPr="00EE601A">
        <w:rPr>
          <w:rFonts w:ascii="Times New Roman" w:hAnsi="Times New Roman" w:cs="Times New Roman"/>
          <w:i/>
          <w:color w:val="000000" w:themeColor="text1"/>
          <w:lang w:eastAsia="en-GB"/>
        </w:rPr>
        <w:t xml:space="preserve"> the meaning is totally different, which needs to be clarified.</w:t>
      </w:r>
    </w:p>
    <w:p w14:paraId="173569E5" w14:textId="77777777" w:rsidR="00F577C8" w:rsidRPr="00EE601A" w:rsidRDefault="00F577C8" w:rsidP="00944961">
      <w:pPr>
        <w:shd w:val="clear" w:color="auto" w:fill="FFFFFF"/>
        <w:rPr>
          <w:rFonts w:ascii="Times New Roman" w:hAnsi="Times New Roman" w:cs="Times New Roman"/>
          <w:color w:val="000000" w:themeColor="text1"/>
          <w:lang w:eastAsia="en-GB"/>
        </w:rPr>
      </w:pPr>
    </w:p>
    <w:p w14:paraId="6D3FA021" w14:textId="77777777" w:rsidR="008C5FF5" w:rsidRPr="00EE601A" w:rsidRDefault="009E7FA1" w:rsidP="005E249D">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 xml:space="preserve">The comment is well-taken. </w:t>
      </w:r>
    </w:p>
    <w:p w14:paraId="363E65BA" w14:textId="77777777" w:rsidR="008C5FF5" w:rsidRPr="00EE601A" w:rsidRDefault="008C5FF5" w:rsidP="005E249D">
      <w:pPr>
        <w:shd w:val="clear" w:color="auto" w:fill="FFFFFF"/>
        <w:jc w:val="both"/>
        <w:rPr>
          <w:rFonts w:ascii="Times New Roman" w:hAnsi="Times New Roman" w:cs="Times New Roman"/>
          <w:color w:val="000000" w:themeColor="text1"/>
          <w:lang w:eastAsia="en-GB"/>
        </w:rPr>
      </w:pPr>
    </w:p>
    <w:p w14:paraId="4B812FCA" w14:textId="6B9209A1" w:rsidR="00787EC5" w:rsidRPr="00EE601A" w:rsidRDefault="009E7FA1" w:rsidP="005E249D">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We are grateful to the referee for pointing out this potential confusion.</w:t>
      </w:r>
      <w:r w:rsidR="00F577C8" w:rsidRPr="00EE601A">
        <w:rPr>
          <w:rFonts w:ascii="Times New Roman" w:hAnsi="Times New Roman" w:cs="Times New Roman"/>
          <w:color w:val="000000" w:themeColor="text1"/>
          <w:lang w:eastAsia="en-GB"/>
        </w:rPr>
        <w:t xml:space="preserve"> </w:t>
      </w:r>
      <w:r w:rsidRPr="00EE601A">
        <w:rPr>
          <w:rFonts w:ascii="Times New Roman" w:hAnsi="Times New Roman" w:cs="Times New Roman"/>
          <w:color w:val="000000" w:themeColor="text1"/>
          <w:lang w:eastAsia="en-GB"/>
        </w:rPr>
        <w:t>To address this concern</w:t>
      </w:r>
      <w:r w:rsidR="00596091" w:rsidRPr="00EE601A">
        <w:rPr>
          <w:rFonts w:ascii="Times New Roman" w:hAnsi="Times New Roman" w:cs="Times New Roman"/>
          <w:color w:val="000000" w:themeColor="text1"/>
          <w:lang w:eastAsia="en-GB"/>
        </w:rPr>
        <w:t>,</w:t>
      </w:r>
      <w:r w:rsidR="00D75688" w:rsidRPr="00EE601A">
        <w:rPr>
          <w:rFonts w:ascii="Times New Roman" w:hAnsi="Times New Roman" w:cs="Times New Roman"/>
          <w:color w:val="000000" w:themeColor="text1"/>
          <w:lang w:eastAsia="en-GB"/>
        </w:rPr>
        <w:t xml:space="preserve"> we clearly distinguish our approach from traditional “</w:t>
      </w:r>
      <w:r w:rsidR="00596091" w:rsidRPr="00EE601A">
        <w:rPr>
          <w:rFonts w:ascii="Times New Roman" w:hAnsi="Times New Roman" w:cs="Times New Roman"/>
          <w:color w:val="000000" w:themeColor="text1"/>
          <w:lang w:eastAsia="en-GB"/>
        </w:rPr>
        <w:t>negative screening</w:t>
      </w:r>
      <w:r w:rsidR="00D75688" w:rsidRPr="00EE601A">
        <w:rPr>
          <w:rFonts w:ascii="Times New Roman" w:hAnsi="Times New Roman" w:cs="Times New Roman"/>
          <w:color w:val="000000" w:themeColor="text1"/>
          <w:lang w:eastAsia="en-GB"/>
        </w:rPr>
        <w:t>” in the revised manuscript. Terms like</w:t>
      </w:r>
      <w:r w:rsidR="00787EC5" w:rsidRPr="00EE601A">
        <w:rPr>
          <w:rFonts w:ascii="Times New Roman" w:hAnsi="Times New Roman" w:cs="Times New Roman"/>
          <w:color w:val="000000" w:themeColor="text1"/>
          <w:lang w:eastAsia="en-GB"/>
        </w:rPr>
        <w:t xml:space="preserve"> “negatively screened” and “negative </w:t>
      </w:r>
      <w:r w:rsidR="00D75688" w:rsidRPr="00EE601A">
        <w:rPr>
          <w:rFonts w:ascii="Times New Roman" w:hAnsi="Times New Roman" w:cs="Times New Roman"/>
          <w:color w:val="000000" w:themeColor="text1"/>
          <w:lang w:eastAsia="en-GB"/>
        </w:rPr>
        <w:t>screening</w:t>
      </w:r>
      <w:r w:rsidR="00787EC5" w:rsidRPr="00EE601A">
        <w:rPr>
          <w:rFonts w:ascii="Times New Roman" w:hAnsi="Times New Roman" w:cs="Times New Roman"/>
          <w:color w:val="000000" w:themeColor="text1"/>
          <w:lang w:eastAsia="en-GB"/>
        </w:rPr>
        <w:t>” have</w:t>
      </w:r>
      <w:r w:rsidR="00D75688" w:rsidRPr="00EE601A">
        <w:rPr>
          <w:rFonts w:ascii="Times New Roman" w:hAnsi="Times New Roman" w:cs="Times New Roman"/>
          <w:color w:val="000000" w:themeColor="text1"/>
          <w:lang w:eastAsia="en-GB"/>
        </w:rPr>
        <w:t xml:space="preserve"> either been removed or reworded </w:t>
      </w:r>
      <w:r w:rsidR="004923A8" w:rsidRPr="00EE601A">
        <w:rPr>
          <w:rFonts w:ascii="Times New Roman" w:hAnsi="Times New Roman" w:cs="Times New Roman"/>
          <w:color w:val="000000" w:themeColor="text1"/>
          <w:lang w:eastAsia="en-GB"/>
        </w:rPr>
        <w:t xml:space="preserve">in the </w:t>
      </w:r>
      <w:r w:rsidR="00D75688" w:rsidRPr="00EE601A">
        <w:rPr>
          <w:rFonts w:ascii="Times New Roman" w:hAnsi="Times New Roman" w:cs="Times New Roman"/>
          <w:color w:val="000000" w:themeColor="text1"/>
          <w:lang w:eastAsia="en-GB"/>
        </w:rPr>
        <w:t>following sections of the manuscript</w:t>
      </w:r>
      <w:r w:rsidRPr="00EE601A">
        <w:rPr>
          <w:rFonts w:ascii="Times New Roman" w:hAnsi="Times New Roman" w:cs="Times New Roman"/>
          <w:color w:val="000000" w:themeColor="text1"/>
          <w:lang w:eastAsia="en-GB"/>
        </w:rPr>
        <w:t>.</w:t>
      </w:r>
    </w:p>
    <w:p w14:paraId="3A2F3A01" w14:textId="77777777" w:rsidR="00E35C5D" w:rsidRPr="00EE601A" w:rsidRDefault="00E35C5D" w:rsidP="005E249D">
      <w:pPr>
        <w:shd w:val="clear" w:color="auto" w:fill="FFFFFF"/>
        <w:jc w:val="both"/>
        <w:rPr>
          <w:rFonts w:ascii="Times New Roman" w:hAnsi="Times New Roman" w:cs="Times New Roman"/>
          <w:color w:val="000000" w:themeColor="text1"/>
          <w:lang w:eastAsia="en-GB"/>
        </w:rPr>
      </w:pPr>
    </w:p>
    <w:tbl>
      <w:tblPr>
        <w:tblStyle w:val="TableGrid"/>
        <w:tblW w:w="4720" w:type="pc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7"/>
        <w:gridCol w:w="4258"/>
      </w:tblGrid>
      <w:tr w:rsidR="00E35C5D" w:rsidRPr="00EE601A" w14:paraId="66DDB0BA" w14:textId="77777777" w:rsidTr="008C5FF5">
        <w:tc>
          <w:tcPr>
            <w:tcW w:w="2500" w:type="pct"/>
          </w:tcPr>
          <w:p w14:paraId="61D1B58C" w14:textId="081B7255" w:rsidR="00E35C5D" w:rsidRPr="00EE601A" w:rsidRDefault="00E35C5D" w:rsidP="00E35C5D">
            <w:pPr>
              <w:pStyle w:val="ListParagraph"/>
              <w:numPr>
                <w:ilvl w:val="2"/>
                <w:numId w:val="3"/>
              </w:numPr>
              <w:shd w:val="clear" w:color="auto" w:fill="FFFFFF"/>
              <w:tabs>
                <w:tab w:val="clear" w:pos="2160"/>
                <w:tab w:val="num" w:pos="1843"/>
              </w:tabs>
              <w:ind w:left="455" w:hanging="317"/>
              <w:jc w:val="both"/>
              <w:rPr>
                <w:rFonts w:ascii="Times New Roman" w:hAnsi="Times New Roman" w:cs="Times New Roman"/>
                <w:color w:val="000000" w:themeColor="text1"/>
                <w:sz w:val="22"/>
                <w:szCs w:val="22"/>
                <w:lang w:eastAsia="en-GB"/>
              </w:rPr>
            </w:pPr>
            <w:r w:rsidRPr="00EE601A">
              <w:rPr>
                <w:rFonts w:ascii="Times New Roman" w:hAnsi="Times New Roman" w:cs="Times New Roman"/>
                <w:color w:val="000000" w:themeColor="text1"/>
                <w:sz w:val="22"/>
                <w:szCs w:val="22"/>
                <w:lang w:eastAsia="en-GB"/>
              </w:rPr>
              <w:lastRenderedPageBreak/>
              <w:t>Abstract</w:t>
            </w:r>
            <w:r w:rsidR="00D75688" w:rsidRPr="00EE601A">
              <w:rPr>
                <w:rFonts w:ascii="Times New Roman" w:hAnsi="Times New Roman" w:cs="Times New Roman"/>
                <w:color w:val="000000" w:themeColor="text1"/>
                <w:sz w:val="22"/>
                <w:szCs w:val="22"/>
                <w:lang w:eastAsia="en-GB"/>
              </w:rPr>
              <w:t>, line 2</w:t>
            </w:r>
          </w:p>
          <w:p w14:paraId="452E9DDE" w14:textId="5D6336CA" w:rsidR="00E35C5D" w:rsidRPr="00EE601A" w:rsidRDefault="00E35C5D" w:rsidP="00E35C5D">
            <w:pPr>
              <w:pStyle w:val="ListParagraph"/>
              <w:numPr>
                <w:ilvl w:val="2"/>
                <w:numId w:val="3"/>
              </w:numPr>
              <w:shd w:val="clear" w:color="auto" w:fill="FFFFFF"/>
              <w:tabs>
                <w:tab w:val="clear" w:pos="2160"/>
                <w:tab w:val="num" w:pos="1843"/>
              </w:tabs>
              <w:ind w:left="455" w:hanging="317"/>
              <w:jc w:val="both"/>
              <w:rPr>
                <w:rFonts w:ascii="Times New Roman" w:hAnsi="Times New Roman" w:cs="Times New Roman"/>
                <w:color w:val="000000" w:themeColor="text1"/>
                <w:sz w:val="22"/>
                <w:szCs w:val="22"/>
                <w:lang w:eastAsia="en-GB"/>
              </w:rPr>
            </w:pPr>
            <w:r w:rsidRPr="00EE601A">
              <w:rPr>
                <w:rFonts w:ascii="Times New Roman" w:hAnsi="Times New Roman" w:cs="Times New Roman"/>
                <w:color w:val="000000" w:themeColor="text1"/>
                <w:sz w:val="22"/>
                <w:szCs w:val="22"/>
                <w:lang w:eastAsia="en-GB"/>
              </w:rPr>
              <w:t>Page 2, paragraph</w:t>
            </w:r>
            <w:r w:rsidR="00D75688" w:rsidRPr="00EE601A">
              <w:rPr>
                <w:rFonts w:ascii="Times New Roman" w:hAnsi="Times New Roman" w:cs="Times New Roman"/>
                <w:color w:val="000000" w:themeColor="text1"/>
                <w:sz w:val="22"/>
                <w:szCs w:val="22"/>
                <w:lang w:eastAsia="en-GB"/>
              </w:rPr>
              <w:t xml:space="preserve"> 3</w:t>
            </w:r>
            <w:r w:rsidRPr="00EE601A">
              <w:rPr>
                <w:rFonts w:ascii="Times New Roman" w:hAnsi="Times New Roman" w:cs="Times New Roman"/>
                <w:color w:val="000000" w:themeColor="text1"/>
                <w:sz w:val="22"/>
                <w:szCs w:val="22"/>
                <w:lang w:eastAsia="en-GB"/>
              </w:rPr>
              <w:t>, line</w:t>
            </w:r>
            <w:r w:rsidR="008C5FF5" w:rsidRPr="00EE601A">
              <w:rPr>
                <w:rFonts w:ascii="Times New Roman" w:hAnsi="Times New Roman" w:cs="Times New Roman"/>
                <w:color w:val="000000" w:themeColor="text1"/>
                <w:sz w:val="22"/>
                <w:szCs w:val="22"/>
                <w:lang w:eastAsia="en-GB"/>
              </w:rPr>
              <w:t xml:space="preserve"> 2</w:t>
            </w:r>
          </w:p>
          <w:p w14:paraId="286B179B" w14:textId="3A07B76B" w:rsidR="00E35C5D" w:rsidRPr="00EE601A" w:rsidRDefault="00E35C5D" w:rsidP="00E35C5D">
            <w:pPr>
              <w:pStyle w:val="ListParagraph"/>
              <w:numPr>
                <w:ilvl w:val="2"/>
                <w:numId w:val="3"/>
              </w:numPr>
              <w:shd w:val="clear" w:color="auto" w:fill="FFFFFF"/>
              <w:tabs>
                <w:tab w:val="clear" w:pos="2160"/>
                <w:tab w:val="num" w:pos="1843"/>
              </w:tabs>
              <w:ind w:left="455" w:hanging="317"/>
              <w:jc w:val="both"/>
              <w:rPr>
                <w:rFonts w:ascii="Times New Roman" w:hAnsi="Times New Roman" w:cs="Times New Roman"/>
                <w:color w:val="000000" w:themeColor="text1"/>
                <w:sz w:val="22"/>
                <w:szCs w:val="22"/>
                <w:lang w:eastAsia="en-GB"/>
              </w:rPr>
            </w:pPr>
            <w:r w:rsidRPr="00EE601A">
              <w:rPr>
                <w:rFonts w:ascii="Times New Roman" w:hAnsi="Times New Roman" w:cs="Times New Roman"/>
                <w:color w:val="000000" w:themeColor="text1"/>
                <w:sz w:val="22"/>
                <w:szCs w:val="22"/>
                <w:lang w:eastAsia="en-GB"/>
              </w:rPr>
              <w:t>Page 4, paragraph</w:t>
            </w:r>
            <w:r w:rsidR="00D75688" w:rsidRPr="00EE601A">
              <w:rPr>
                <w:rFonts w:ascii="Times New Roman" w:hAnsi="Times New Roman" w:cs="Times New Roman"/>
                <w:color w:val="000000" w:themeColor="text1"/>
                <w:sz w:val="22"/>
                <w:szCs w:val="22"/>
                <w:lang w:eastAsia="en-GB"/>
              </w:rPr>
              <w:t xml:space="preserve"> 1</w:t>
            </w:r>
            <w:r w:rsidRPr="00EE601A">
              <w:rPr>
                <w:rFonts w:ascii="Times New Roman" w:hAnsi="Times New Roman" w:cs="Times New Roman"/>
                <w:color w:val="000000" w:themeColor="text1"/>
                <w:sz w:val="22"/>
                <w:szCs w:val="22"/>
                <w:lang w:eastAsia="en-GB"/>
              </w:rPr>
              <w:t xml:space="preserve">, </w:t>
            </w:r>
            <w:r w:rsidR="008C5FF5" w:rsidRPr="00EE601A">
              <w:rPr>
                <w:rFonts w:ascii="Times New Roman" w:hAnsi="Times New Roman" w:cs="Times New Roman"/>
                <w:color w:val="000000" w:themeColor="text1"/>
                <w:sz w:val="22"/>
                <w:szCs w:val="22"/>
                <w:lang w:eastAsia="en-GB"/>
              </w:rPr>
              <w:t>l</w:t>
            </w:r>
            <w:r w:rsidRPr="00EE601A">
              <w:rPr>
                <w:rFonts w:ascii="Times New Roman" w:hAnsi="Times New Roman" w:cs="Times New Roman"/>
                <w:color w:val="000000" w:themeColor="text1"/>
                <w:sz w:val="22"/>
                <w:szCs w:val="22"/>
                <w:lang w:eastAsia="en-GB"/>
              </w:rPr>
              <w:t>ine</w:t>
            </w:r>
            <w:r w:rsidR="008C5FF5" w:rsidRPr="00EE601A">
              <w:rPr>
                <w:rFonts w:ascii="Times New Roman" w:hAnsi="Times New Roman" w:cs="Times New Roman"/>
                <w:color w:val="000000" w:themeColor="text1"/>
                <w:sz w:val="22"/>
                <w:szCs w:val="22"/>
                <w:lang w:eastAsia="en-GB"/>
              </w:rPr>
              <w:t xml:space="preserve"> </w:t>
            </w:r>
            <w:r w:rsidR="00D75688" w:rsidRPr="00EE601A">
              <w:rPr>
                <w:rFonts w:ascii="Times New Roman" w:hAnsi="Times New Roman" w:cs="Times New Roman"/>
                <w:color w:val="000000" w:themeColor="text1"/>
                <w:sz w:val="22"/>
                <w:szCs w:val="22"/>
                <w:lang w:eastAsia="en-GB"/>
              </w:rPr>
              <w:t>1</w:t>
            </w:r>
          </w:p>
          <w:p w14:paraId="2F755380" w14:textId="05D91B83" w:rsidR="00E35C5D" w:rsidRPr="00EE601A" w:rsidRDefault="00E35C5D" w:rsidP="00E35C5D">
            <w:pPr>
              <w:pStyle w:val="ListParagraph"/>
              <w:numPr>
                <w:ilvl w:val="2"/>
                <w:numId w:val="3"/>
              </w:numPr>
              <w:shd w:val="clear" w:color="auto" w:fill="FFFFFF"/>
              <w:tabs>
                <w:tab w:val="clear" w:pos="2160"/>
                <w:tab w:val="num" w:pos="1843"/>
              </w:tabs>
              <w:ind w:left="455" w:hanging="317"/>
              <w:jc w:val="both"/>
              <w:rPr>
                <w:rFonts w:ascii="Times New Roman" w:hAnsi="Times New Roman" w:cs="Times New Roman"/>
                <w:color w:val="000000" w:themeColor="text1"/>
                <w:sz w:val="22"/>
                <w:szCs w:val="22"/>
                <w:lang w:eastAsia="en-GB"/>
              </w:rPr>
            </w:pPr>
            <w:r w:rsidRPr="00EE601A">
              <w:rPr>
                <w:rFonts w:ascii="Times New Roman" w:hAnsi="Times New Roman" w:cs="Times New Roman"/>
                <w:color w:val="000000" w:themeColor="text1"/>
                <w:sz w:val="22"/>
                <w:szCs w:val="22"/>
                <w:lang w:eastAsia="en-GB"/>
              </w:rPr>
              <w:t>Page 11, paragraph</w:t>
            </w:r>
            <w:r w:rsidR="00D75688" w:rsidRPr="00EE601A">
              <w:rPr>
                <w:rFonts w:ascii="Times New Roman" w:hAnsi="Times New Roman" w:cs="Times New Roman"/>
                <w:color w:val="000000" w:themeColor="text1"/>
                <w:sz w:val="22"/>
                <w:szCs w:val="22"/>
                <w:lang w:eastAsia="en-GB"/>
              </w:rPr>
              <w:t xml:space="preserve"> 2</w:t>
            </w:r>
            <w:r w:rsidRPr="00EE601A">
              <w:rPr>
                <w:rFonts w:ascii="Times New Roman" w:hAnsi="Times New Roman" w:cs="Times New Roman"/>
                <w:color w:val="000000" w:themeColor="text1"/>
                <w:sz w:val="22"/>
                <w:szCs w:val="22"/>
                <w:lang w:eastAsia="en-GB"/>
              </w:rPr>
              <w:t>, line</w:t>
            </w:r>
            <w:r w:rsidR="008C5FF5" w:rsidRPr="00EE601A">
              <w:rPr>
                <w:rFonts w:ascii="Times New Roman" w:hAnsi="Times New Roman" w:cs="Times New Roman"/>
                <w:color w:val="000000" w:themeColor="text1"/>
                <w:sz w:val="22"/>
                <w:szCs w:val="22"/>
                <w:lang w:eastAsia="en-GB"/>
              </w:rPr>
              <w:t xml:space="preserve"> 1</w:t>
            </w:r>
          </w:p>
          <w:p w14:paraId="43112633" w14:textId="451C8610" w:rsidR="00E35C5D" w:rsidRPr="00EE601A" w:rsidRDefault="00E35C5D" w:rsidP="00E35C5D">
            <w:pPr>
              <w:pStyle w:val="ListParagraph"/>
              <w:numPr>
                <w:ilvl w:val="2"/>
                <w:numId w:val="3"/>
              </w:numPr>
              <w:shd w:val="clear" w:color="auto" w:fill="FFFFFF"/>
              <w:tabs>
                <w:tab w:val="clear" w:pos="2160"/>
                <w:tab w:val="num" w:pos="1843"/>
              </w:tabs>
              <w:ind w:left="455" w:hanging="317"/>
              <w:jc w:val="both"/>
              <w:rPr>
                <w:rFonts w:ascii="Times New Roman" w:hAnsi="Times New Roman" w:cs="Times New Roman"/>
                <w:color w:val="000000" w:themeColor="text1"/>
                <w:sz w:val="22"/>
                <w:szCs w:val="22"/>
                <w:lang w:eastAsia="en-GB"/>
              </w:rPr>
            </w:pPr>
            <w:r w:rsidRPr="00EE601A">
              <w:rPr>
                <w:rFonts w:ascii="Times New Roman" w:hAnsi="Times New Roman" w:cs="Times New Roman"/>
                <w:color w:val="000000" w:themeColor="text1"/>
                <w:sz w:val="22"/>
                <w:szCs w:val="22"/>
                <w:lang w:eastAsia="en-GB"/>
              </w:rPr>
              <w:t>Page 11, paragraph</w:t>
            </w:r>
            <w:r w:rsidR="00D75688" w:rsidRPr="00EE601A">
              <w:rPr>
                <w:rFonts w:ascii="Times New Roman" w:hAnsi="Times New Roman" w:cs="Times New Roman"/>
                <w:color w:val="000000" w:themeColor="text1"/>
                <w:sz w:val="22"/>
                <w:szCs w:val="22"/>
                <w:lang w:eastAsia="en-GB"/>
              </w:rPr>
              <w:t xml:space="preserve"> 4</w:t>
            </w:r>
            <w:r w:rsidRPr="00EE601A">
              <w:rPr>
                <w:rFonts w:ascii="Times New Roman" w:hAnsi="Times New Roman" w:cs="Times New Roman"/>
                <w:color w:val="000000" w:themeColor="text1"/>
                <w:sz w:val="22"/>
                <w:szCs w:val="22"/>
                <w:lang w:eastAsia="en-GB"/>
              </w:rPr>
              <w:t>, line</w:t>
            </w:r>
            <w:r w:rsidR="008C5FF5" w:rsidRPr="00EE601A">
              <w:rPr>
                <w:rFonts w:ascii="Times New Roman" w:hAnsi="Times New Roman" w:cs="Times New Roman"/>
                <w:color w:val="000000" w:themeColor="text1"/>
                <w:sz w:val="22"/>
                <w:szCs w:val="22"/>
                <w:lang w:eastAsia="en-GB"/>
              </w:rPr>
              <w:t xml:space="preserve"> 1</w:t>
            </w:r>
          </w:p>
          <w:p w14:paraId="1176384A" w14:textId="3A116E07" w:rsidR="00E35C5D" w:rsidRPr="00EE601A" w:rsidRDefault="00E35C5D" w:rsidP="00497FBD">
            <w:pPr>
              <w:pStyle w:val="ListParagraph"/>
              <w:numPr>
                <w:ilvl w:val="2"/>
                <w:numId w:val="3"/>
              </w:numPr>
              <w:shd w:val="clear" w:color="auto" w:fill="FFFFFF"/>
              <w:tabs>
                <w:tab w:val="clear" w:pos="2160"/>
                <w:tab w:val="num" w:pos="1843"/>
              </w:tabs>
              <w:ind w:left="455" w:hanging="317"/>
              <w:jc w:val="both"/>
              <w:rPr>
                <w:rFonts w:ascii="Times New Roman" w:hAnsi="Times New Roman" w:cs="Times New Roman"/>
                <w:color w:val="000000" w:themeColor="text1"/>
                <w:sz w:val="22"/>
                <w:szCs w:val="22"/>
                <w:lang w:eastAsia="en-GB"/>
              </w:rPr>
            </w:pPr>
            <w:r w:rsidRPr="00EE601A">
              <w:rPr>
                <w:rFonts w:ascii="Times New Roman" w:hAnsi="Times New Roman" w:cs="Times New Roman"/>
                <w:color w:val="000000" w:themeColor="text1"/>
                <w:sz w:val="22"/>
                <w:szCs w:val="22"/>
                <w:lang w:eastAsia="en-GB"/>
              </w:rPr>
              <w:t>Page 1</w:t>
            </w:r>
            <w:r w:rsidR="00582F8C" w:rsidRPr="00EE601A">
              <w:rPr>
                <w:rFonts w:ascii="Times New Roman" w:hAnsi="Times New Roman" w:cs="Times New Roman"/>
                <w:color w:val="000000" w:themeColor="text1"/>
                <w:sz w:val="22"/>
                <w:szCs w:val="22"/>
                <w:lang w:eastAsia="en-GB"/>
              </w:rPr>
              <w:t>3</w:t>
            </w:r>
            <w:r w:rsidRPr="00EE601A">
              <w:rPr>
                <w:rFonts w:ascii="Times New Roman" w:hAnsi="Times New Roman" w:cs="Times New Roman"/>
                <w:color w:val="000000" w:themeColor="text1"/>
                <w:sz w:val="22"/>
                <w:szCs w:val="22"/>
                <w:lang w:eastAsia="en-GB"/>
              </w:rPr>
              <w:t>, paragraph</w:t>
            </w:r>
            <w:r w:rsidR="00582F8C" w:rsidRPr="00EE601A">
              <w:rPr>
                <w:rFonts w:ascii="Times New Roman" w:hAnsi="Times New Roman" w:cs="Times New Roman"/>
                <w:color w:val="000000" w:themeColor="text1"/>
                <w:sz w:val="22"/>
                <w:szCs w:val="22"/>
                <w:lang w:eastAsia="en-GB"/>
              </w:rPr>
              <w:t xml:space="preserve"> 4</w:t>
            </w:r>
            <w:r w:rsidRPr="00EE601A">
              <w:rPr>
                <w:rFonts w:ascii="Times New Roman" w:hAnsi="Times New Roman" w:cs="Times New Roman"/>
                <w:color w:val="000000" w:themeColor="text1"/>
                <w:sz w:val="22"/>
                <w:szCs w:val="22"/>
                <w:lang w:eastAsia="en-GB"/>
              </w:rPr>
              <w:t>, line</w:t>
            </w:r>
            <w:r w:rsidR="00582F8C" w:rsidRPr="00EE601A">
              <w:rPr>
                <w:rFonts w:ascii="Times New Roman" w:hAnsi="Times New Roman" w:cs="Times New Roman"/>
                <w:color w:val="000000" w:themeColor="text1"/>
                <w:sz w:val="22"/>
                <w:szCs w:val="22"/>
                <w:lang w:eastAsia="en-GB"/>
              </w:rPr>
              <w:t xml:space="preserve"> 2</w:t>
            </w:r>
          </w:p>
          <w:p w14:paraId="49B6C95A" w14:textId="6F822BA7" w:rsidR="00582F8C" w:rsidRPr="00EE601A" w:rsidRDefault="00582F8C" w:rsidP="00497FBD">
            <w:pPr>
              <w:pStyle w:val="ListParagraph"/>
              <w:numPr>
                <w:ilvl w:val="2"/>
                <w:numId w:val="3"/>
              </w:numPr>
              <w:shd w:val="clear" w:color="auto" w:fill="FFFFFF"/>
              <w:tabs>
                <w:tab w:val="clear" w:pos="2160"/>
                <w:tab w:val="num" w:pos="1843"/>
              </w:tabs>
              <w:ind w:left="455" w:hanging="317"/>
              <w:jc w:val="both"/>
              <w:rPr>
                <w:rFonts w:ascii="Times New Roman" w:hAnsi="Times New Roman" w:cs="Times New Roman"/>
                <w:color w:val="000000" w:themeColor="text1"/>
                <w:sz w:val="22"/>
                <w:szCs w:val="22"/>
                <w:lang w:eastAsia="en-GB"/>
              </w:rPr>
            </w:pPr>
            <w:r w:rsidRPr="00EE601A">
              <w:rPr>
                <w:rFonts w:ascii="Times New Roman" w:hAnsi="Times New Roman" w:cs="Times New Roman"/>
                <w:color w:val="000000" w:themeColor="text1"/>
                <w:sz w:val="22"/>
                <w:szCs w:val="22"/>
                <w:lang w:eastAsia="en-GB"/>
              </w:rPr>
              <w:t>Page 15, paragraph 1, line 11</w:t>
            </w:r>
          </w:p>
          <w:p w14:paraId="18D5E791" w14:textId="44720ABA" w:rsidR="00E35C5D" w:rsidRPr="00EE601A" w:rsidRDefault="00E35C5D" w:rsidP="00497FBD">
            <w:pPr>
              <w:pStyle w:val="ListParagraph"/>
              <w:numPr>
                <w:ilvl w:val="2"/>
                <w:numId w:val="3"/>
              </w:numPr>
              <w:shd w:val="clear" w:color="auto" w:fill="FFFFFF"/>
              <w:tabs>
                <w:tab w:val="clear" w:pos="2160"/>
                <w:tab w:val="num" w:pos="1843"/>
              </w:tabs>
              <w:ind w:left="455" w:hanging="317"/>
              <w:jc w:val="both"/>
              <w:rPr>
                <w:rFonts w:ascii="Times New Roman" w:hAnsi="Times New Roman" w:cs="Times New Roman"/>
                <w:color w:val="000000" w:themeColor="text1"/>
                <w:sz w:val="22"/>
                <w:szCs w:val="22"/>
                <w:lang w:eastAsia="en-GB"/>
              </w:rPr>
            </w:pPr>
            <w:r w:rsidRPr="00EE601A">
              <w:rPr>
                <w:rFonts w:ascii="Times New Roman" w:hAnsi="Times New Roman" w:cs="Times New Roman"/>
                <w:color w:val="000000" w:themeColor="text1"/>
                <w:sz w:val="22"/>
                <w:szCs w:val="22"/>
                <w:lang w:eastAsia="en-GB"/>
              </w:rPr>
              <w:t>Page 21, paragraph</w:t>
            </w:r>
            <w:r w:rsidR="00582F8C" w:rsidRPr="00EE601A">
              <w:rPr>
                <w:rFonts w:ascii="Times New Roman" w:hAnsi="Times New Roman" w:cs="Times New Roman"/>
                <w:color w:val="000000" w:themeColor="text1"/>
                <w:sz w:val="22"/>
                <w:szCs w:val="22"/>
                <w:lang w:eastAsia="en-GB"/>
              </w:rPr>
              <w:t xml:space="preserve"> 4</w:t>
            </w:r>
            <w:r w:rsidRPr="00EE601A">
              <w:rPr>
                <w:rFonts w:ascii="Times New Roman" w:hAnsi="Times New Roman" w:cs="Times New Roman"/>
                <w:color w:val="000000" w:themeColor="text1"/>
                <w:sz w:val="22"/>
                <w:szCs w:val="22"/>
                <w:lang w:eastAsia="en-GB"/>
              </w:rPr>
              <w:t>, line</w:t>
            </w:r>
            <w:r w:rsidR="008C5FF5" w:rsidRPr="00EE601A">
              <w:rPr>
                <w:rFonts w:ascii="Times New Roman" w:hAnsi="Times New Roman" w:cs="Times New Roman"/>
                <w:color w:val="000000" w:themeColor="text1"/>
                <w:sz w:val="22"/>
                <w:szCs w:val="22"/>
                <w:lang w:eastAsia="en-GB"/>
              </w:rPr>
              <w:t xml:space="preserve"> 5</w:t>
            </w:r>
          </w:p>
          <w:p w14:paraId="281B5306" w14:textId="374180B1" w:rsidR="008C5FF5" w:rsidRPr="00EE601A" w:rsidRDefault="008C5FF5" w:rsidP="008C5FF5">
            <w:pPr>
              <w:pStyle w:val="ListParagraph"/>
              <w:numPr>
                <w:ilvl w:val="2"/>
                <w:numId w:val="3"/>
              </w:numPr>
              <w:shd w:val="clear" w:color="auto" w:fill="FFFFFF"/>
              <w:tabs>
                <w:tab w:val="clear" w:pos="2160"/>
                <w:tab w:val="num" w:pos="1843"/>
              </w:tabs>
              <w:ind w:left="455" w:hanging="317"/>
              <w:jc w:val="both"/>
              <w:rPr>
                <w:rFonts w:ascii="Times New Roman" w:hAnsi="Times New Roman" w:cs="Times New Roman"/>
                <w:color w:val="000000" w:themeColor="text1"/>
                <w:sz w:val="22"/>
                <w:szCs w:val="22"/>
                <w:lang w:eastAsia="en-GB"/>
              </w:rPr>
            </w:pPr>
            <w:r w:rsidRPr="00EE601A">
              <w:rPr>
                <w:rFonts w:ascii="Times New Roman" w:hAnsi="Times New Roman" w:cs="Times New Roman"/>
                <w:color w:val="000000" w:themeColor="text1"/>
                <w:sz w:val="22"/>
                <w:szCs w:val="22"/>
                <w:lang w:eastAsia="en-GB"/>
              </w:rPr>
              <w:t>Page 22, paragraph</w:t>
            </w:r>
            <w:r w:rsidR="00582F8C" w:rsidRPr="00EE601A">
              <w:rPr>
                <w:rFonts w:ascii="Times New Roman" w:hAnsi="Times New Roman" w:cs="Times New Roman"/>
                <w:color w:val="000000" w:themeColor="text1"/>
                <w:sz w:val="22"/>
                <w:szCs w:val="22"/>
                <w:lang w:eastAsia="en-GB"/>
              </w:rPr>
              <w:t xml:space="preserve"> 2</w:t>
            </w:r>
            <w:r w:rsidRPr="00EE601A">
              <w:rPr>
                <w:rFonts w:ascii="Times New Roman" w:hAnsi="Times New Roman" w:cs="Times New Roman"/>
                <w:color w:val="000000" w:themeColor="text1"/>
                <w:sz w:val="22"/>
                <w:szCs w:val="22"/>
                <w:lang w:eastAsia="en-GB"/>
              </w:rPr>
              <w:t>, line 6</w:t>
            </w:r>
          </w:p>
          <w:p w14:paraId="47C91573" w14:textId="7D5F06CC" w:rsidR="00E35C5D" w:rsidRPr="00EE601A" w:rsidRDefault="00E35C5D" w:rsidP="008C5FF5">
            <w:pPr>
              <w:pStyle w:val="ListParagraph"/>
              <w:shd w:val="clear" w:color="auto" w:fill="FFFFFF"/>
              <w:ind w:left="455"/>
              <w:jc w:val="both"/>
              <w:rPr>
                <w:rFonts w:ascii="Times New Roman" w:hAnsi="Times New Roman" w:cs="Times New Roman"/>
                <w:color w:val="000000" w:themeColor="text1"/>
                <w:sz w:val="22"/>
                <w:szCs w:val="22"/>
                <w:lang w:eastAsia="en-GB"/>
              </w:rPr>
            </w:pPr>
          </w:p>
        </w:tc>
        <w:tc>
          <w:tcPr>
            <w:tcW w:w="2500" w:type="pct"/>
          </w:tcPr>
          <w:p w14:paraId="36B0B9A2" w14:textId="77777777" w:rsidR="00C413E2" w:rsidRPr="00EE601A" w:rsidRDefault="00C413E2" w:rsidP="00C413E2">
            <w:pPr>
              <w:pStyle w:val="ListParagraph"/>
              <w:shd w:val="clear" w:color="auto" w:fill="FFFFFF"/>
              <w:ind w:left="493"/>
              <w:jc w:val="both"/>
              <w:rPr>
                <w:rFonts w:ascii="Times New Roman" w:hAnsi="Times New Roman" w:cs="Times New Roman"/>
                <w:color w:val="000000" w:themeColor="text1"/>
                <w:sz w:val="22"/>
                <w:szCs w:val="22"/>
                <w:lang w:eastAsia="en-GB"/>
              </w:rPr>
            </w:pPr>
          </w:p>
          <w:p w14:paraId="4194C63B" w14:textId="09630483" w:rsidR="00E35C5D" w:rsidRPr="00EE601A" w:rsidRDefault="00E35C5D" w:rsidP="00E35C5D">
            <w:pPr>
              <w:pStyle w:val="ListParagraph"/>
              <w:numPr>
                <w:ilvl w:val="2"/>
                <w:numId w:val="3"/>
              </w:numPr>
              <w:shd w:val="clear" w:color="auto" w:fill="FFFFFF"/>
              <w:tabs>
                <w:tab w:val="clear" w:pos="2160"/>
                <w:tab w:val="num" w:pos="1843"/>
              </w:tabs>
              <w:ind w:left="493" w:hanging="317"/>
              <w:jc w:val="both"/>
              <w:rPr>
                <w:rFonts w:ascii="Times New Roman" w:hAnsi="Times New Roman" w:cs="Times New Roman"/>
                <w:color w:val="000000" w:themeColor="text1"/>
                <w:sz w:val="22"/>
                <w:szCs w:val="22"/>
                <w:lang w:eastAsia="en-GB"/>
              </w:rPr>
            </w:pPr>
            <w:r w:rsidRPr="00EE601A">
              <w:rPr>
                <w:rFonts w:ascii="Times New Roman" w:hAnsi="Times New Roman" w:cs="Times New Roman"/>
                <w:color w:val="000000" w:themeColor="text1"/>
                <w:sz w:val="22"/>
                <w:szCs w:val="22"/>
                <w:lang w:eastAsia="en-GB"/>
              </w:rPr>
              <w:t>Page 28, paragraph</w:t>
            </w:r>
            <w:r w:rsidR="008478B5" w:rsidRPr="00EE601A">
              <w:rPr>
                <w:rFonts w:ascii="Times New Roman" w:hAnsi="Times New Roman" w:cs="Times New Roman"/>
                <w:color w:val="000000" w:themeColor="text1"/>
                <w:sz w:val="22"/>
                <w:szCs w:val="22"/>
                <w:lang w:eastAsia="en-GB"/>
              </w:rPr>
              <w:t xml:space="preserve"> 3</w:t>
            </w:r>
            <w:r w:rsidRPr="00EE601A">
              <w:rPr>
                <w:rFonts w:ascii="Times New Roman" w:hAnsi="Times New Roman" w:cs="Times New Roman"/>
                <w:color w:val="000000" w:themeColor="text1"/>
                <w:sz w:val="22"/>
                <w:szCs w:val="22"/>
                <w:lang w:eastAsia="en-GB"/>
              </w:rPr>
              <w:t>, line</w:t>
            </w:r>
            <w:r w:rsidR="008C5FF5" w:rsidRPr="00EE601A">
              <w:rPr>
                <w:rFonts w:ascii="Times New Roman" w:hAnsi="Times New Roman" w:cs="Times New Roman"/>
                <w:color w:val="000000" w:themeColor="text1"/>
                <w:sz w:val="22"/>
                <w:szCs w:val="22"/>
                <w:lang w:eastAsia="en-GB"/>
              </w:rPr>
              <w:t xml:space="preserve"> 8</w:t>
            </w:r>
          </w:p>
          <w:p w14:paraId="0385A4AC" w14:textId="7FD7CEEB" w:rsidR="00E35C5D" w:rsidRPr="00EE601A" w:rsidRDefault="00E35C5D" w:rsidP="00E35C5D">
            <w:pPr>
              <w:pStyle w:val="ListParagraph"/>
              <w:numPr>
                <w:ilvl w:val="2"/>
                <w:numId w:val="3"/>
              </w:numPr>
              <w:shd w:val="clear" w:color="auto" w:fill="FFFFFF"/>
              <w:tabs>
                <w:tab w:val="clear" w:pos="2160"/>
                <w:tab w:val="num" w:pos="1843"/>
              </w:tabs>
              <w:ind w:left="493" w:hanging="317"/>
              <w:jc w:val="both"/>
              <w:rPr>
                <w:rFonts w:ascii="Times New Roman" w:hAnsi="Times New Roman" w:cs="Times New Roman"/>
                <w:color w:val="000000" w:themeColor="text1"/>
                <w:sz w:val="22"/>
                <w:szCs w:val="22"/>
                <w:lang w:eastAsia="en-GB"/>
              </w:rPr>
            </w:pPr>
            <w:r w:rsidRPr="00EE601A">
              <w:rPr>
                <w:rFonts w:ascii="Times New Roman" w:hAnsi="Times New Roman" w:cs="Times New Roman"/>
                <w:color w:val="000000" w:themeColor="text1"/>
                <w:sz w:val="22"/>
                <w:szCs w:val="22"/>
                <w:lang w:eastAsia="en-GB"/>
              </w:rPr>
              <w:t>Page 28, paragraph</w:t>
            </w:r>
            <w:r w:rsidR="008478B5" w:rsidRPr="00EE601A">
              <w:rPr>
                <w:rFonts w:ascii="Times New Roman" w:hAnsi="Times New Roman" w:cs="Times New Roman"/>
                <w:color w:val="000000" w:themeColor="text1"/>
                <w:sz w:val="22"/>
                <w:szCs w:val="22"/>
                <w:lang w:eastAsia="en-GB"/>
              </w:rPr>
              <w:t xml:space="preserve"> 4</w:t>
            </w:r>
            <w:r w:rsidRPr="00EE601A">
              <w:rPr>
                <w:rFonts w:ascii="Times New Roman" w:hAnsi="Times New Roman" w:cs="Times New Roman"/>
                <w:color w:val="000000" w:themeColor="text1"/>
                <w:sz w:val="22"/>
                <w:szCs w:val="22"/>
                <w:lang w:eastAsia="en-GB"/>
              </w:rPr>
              <w:t>, line</w:t>
            </w:r>
            <w:r w:rsidR="008C5FF5" w:rsidRPr="00EE601A">
              <w:rPr>
                <w:rFonts w:ascii="Times New Roman" w:hAnsi="Times New Roman" w:cs="Times New Roman"/>
                <w:color w:val="000000" w:themeColor="text1"/>
                <w:sz w:val="22"/>
                <w:szCs w:val="22"/>
                <w:lang w:eastAsia="en-GB"/>
              </w:rPr>
              <w:t xml:space="preserve"> 2</w:t>
            </w:r>
          </w:p>
          <w:p w14:paraId="390B08CA" w14:textId="77777777" w:rsidR="00E35C5D" w:rsidRPr="00EE601A" w:rsidRDefault="00E35C5D" w:rsidP="00E35C5D">
            <w:pPr>
              <w:pStyle w:val="ListParagraph"/>
              <w:numPr>
                <w:ilvl w:val="2"/>
                <w:numId w:val="3"/>
              </w:numPr>
              <w:shd w:val="clear" w:color="auto" w:fill="FFFFFF"/>
              <w:tabs>
                <w:tab w:val="clear" w:pos="2160"/>
                <w:tab w:val="num" w:pos="1843"/>
              </w:tabs>
              <w:ind w:left="493" w:hanging="317"/>
              <w:jc w:val="both"/>
              <w:rPr>
                <w:rFonts w:ascii="Times New Roman" w:hAnsi="Times New Roman" w:cs="Times New Roman"/>
                <w:color w:val="000000" w:themeColor="text1"/>
                <w:sz w:val="22"/>
                <w:szCs w:val="22"/>
                <w:lang w:eastAsia="en-GB"/>
              </w:rPr>
            </w:pPr>
            <w:r w:rsidRPr="00EE601A">
              <w:rPr>
                <w:rFonts w:ascii="Times New Roman" w:hAnsi="Times New Roman" w:cs="Times New Roman"/>
                <w:color w:val="000000" w:themeColor="text1"/>
                <w:sz w:val="22"/>
                <w:szCs w:val="22"/>
                <w:lang w:eastAsia="en-GB"/>
              </w:rPr>
              <w:t>Page 34, Table 2 description</w:t>
            </w:r>
          </w:p>
          <w:p w14:paraId="775D10F6" w14:textId="77777777" w:rsidR="00E35C5D" w:rsidRPr="00EE601A" w:rsidRDefault="00E35C5D" w:rsidP="00E35C5D">
            <w:pPr>
              <w:pStyle w:val="ListParagraph"/>
              <w:numPr>
                <w:ilvl w:val="2"/>
                <w:numId w:val="3"/>
              </w:numPr>
              <w:shd w:val="clear" w:color="auto" w:fill="FFFFFF"/>
              <w:tabs>
                <w:tab w:val="clear" w:pos="2160"/>
                <w:tab w:val="num" w:pos="1843"/>
              </w:tabs>
              <w:ind w:left="493" w:hanging="317"/>
              <w:jc w:val="both"/>
              <w:rPr>
                <w:rFonts w:ascii="Times New Roman" w:hAnsi="Times New Roman" w:cs="Times New Roman"/>
                <w:color w:val="000000" w:themeColor="text1"/>
                <w:sz w:val="22"/>
                <w:szCs w:val="22"/>
                <w:lang w:eastAsia="en-GB"/>
              </w:rPr>
            </w:pPr>
            <w:r w:rsidRPr="00EE601A">
              <w:rPr>
                <w:rFonts w:ascii="Times New Roman" w:hAnsi="Times New Roman" w:cs="Times New Roman"/>
                <w:color w:val="000000" w:themeColor="text1"/>
                <w:sz w:val="22"/>
                <w:szCs w:val="22"/>
                <w:lang w:eastAsia="en-GB"/>
              </w:rPr>
              <w:t>Page 38, Table 5 description</w:t>
            </w:r>
          </w:p>
          <w:p w14:paraId="48609691" w14:textId="77777777" w:rsidR="00E35C5D" w:rsidRPr="00EE601A" w:rsidRDefault="00E35C5D" w:rsidP="00E35C5D">
            <w:pPr>
              <w:pStyle w:val="ListParagraph"/>
              <w:numPr>
                <w:ilvl w:val="2"/>
                <w:numId w:val="3"/>
              </w:numPr>
              <w:shd w:val="clear" w:color="auto" w:fill="FFFFFF"/>
              <w:tabs>
                <w:tab w:val="clear" w:pos="2160"/>
                <w:tab w:val="num" w:pos="1843"/>
              </w:tabs>
              <w:ind w:left="493" w:hanging="317"/>
              <w:jc w:val="both"/>
              <w:rPr>
                <w:rFonts w:ascii="Times New Roman" w:hAnsi="Times New Roman" w:cs="Times New Roman"/>
                <w:color w:val="000000" w:themeColor="text1"/>
                <w:sz w:val="22"/>
                <w:szCs w:val="22"/>
                <w:lang w:eastAsia="en-GB"/>
              </w:rPr>
            </w:pPr>
            <w:r w:rsidRPr="00EE601A">
              <w:rPr>
                <w:rFonts w:ascii="Times New Roman" w:hAnsi="Times New Roman" w:cs="Times New Roman"/>
                <w:color w:val="000000" w:themeColor="text1"/>
                <w:sz w:val="22"/>
                <w:szCs w:val="22"/>
                <w:lang w:eastAsia="en-GB"/>
              </w:rPr>
              <w:t>Page 39, Table 6 description</w:t>
            </w:r>
          </w:p>
          <w:p w14:paraId="3C7D136A" w14:textId="77777777" w:rsidR="00E35C5D" w:rsidRPr="00EE601A" w:rsidRDefault="00E35C5D" w:rsidP="00E35C5D">
            <w:pPr>
              <w:pStyle w:val="ListParagraph"/>
              <w:numPr>
                <w:ilvl w:val="2"/>
                <w:numId w:val="3"/>
              </w:numPr>
              <w:shd w:val="clear" w:color="auto" w:fill="FFFFFF"/>
              <w:tabs>
                <w:tab w:val="clear" w:pos="2160"/>
                <w:tab w:val="num" w:pos="1843"/>
              </w:tabs>
              <w:ind w:left="493" w:hanging="317"/>
              <w:jc w:val="both"/>
              <w:rPr>
                <w:rFonts w:ascii="Times New Roman" w:hAnsi="Times New Roman" w:cs="Times New Roman"/>
                <w:color w:val="000000" w:themeColor="text1"/>
                <w:sz w:val="22"/>
                <w:szCs w:val="22"/>
                <w:lang w:eastAsia="en-GB"/>
              </w:rPr>
            </w:pPr>
            <w:r w:rsidRPr="00EE601A">
              <w:rPr>
                <w:rFonts w:ascii="Times New Roman" w:hAnsi="Times New Roman" w:cs="Times New Roman"/>
                <w:color w:val="000000" w:themeColor="text1"/>
                <w:sz w:val="22"/>
                <w:szCs w:val="22"/>
                <w:lang w:eastAsia="en-GB"/>
              </w:rPr>
              <w:t>Page 40, Table 7 description</w:t>
            </w:r>
          </w:p>
          <w:p w14:paraId="35422C16" w14:textId="77777777" w:rsidR="00E35C5D" w:rsidRPr="00EE601A" w:rsidRDefault="00E35C5D" w:rsidP="00E35C5D">
            <w:pPr>
              <w:pStyle w:val="ListParagraph"/>
              <w:numPr>
                <w:ilvl w:val="2"/>
                <w:numId w:val="3"/>
              </w:numPr>
              <w:shd w:val="clear" w:color="auto" w:fill="FFFFFF"/>
              <w:tabs>
                <w:tab w:val="clear" w:pos="2160"/>
                <w:tab w:val="num" w:pos="1843"/>
              </w:tabs>
              <w:ind w:left="493" w:hanging="317"/>
              <w:jc w:val="both"/>
              <w:rPr>
                <w:rFonts w:ascii="Times New Roman" w:hAnsi="Times New Roman" w:cs="Times New Roman"/>
                <w:color w:val="000000" w:themeColor="text1"/>
                <w:sz w:val="22"/>
                <w:szCs w:val="22"/>
                <w:lang w:eastAsia="en-GB"/>
              </w:rPr>
            </w:pPr>
            <w:r w:rsidRPr="00EE601A">
              <w:rPr>
                <w:rFonts w:ascii="Times New Roman" w:hAnsi="Times New Roman" w:cs="Times New Roman"/>
                <w:color w:val="000000" w:themeColor="text1"/>
                <w:sz w:val="22"/>
                <w:szCs w:val="22"/>
                <w:lang w:eastAsia="en-GB"/>
              </w:rPr>
              <w:t>Page 41, Table 8 description</w:t>
            </w:r>
          </w:p>
          <w:p w14:paraId="0848AB3B" w14:textId="16EDA0E5" w:rsidR="00E35C5D" w:rsidRPr="00EE601A" w:rsidRDefault="00E35C5D" w:rsidP="00E35C5D">
            <w:pPr>
              <w:pStyle w:val="ListParagraph"/>
              <w:numPr>
                <w:ilvl w:val="2"/>
                <w:numId w:val="3"/>
              </w:numPr>
              <w:shd w:val="clear" w:color="auto" w:fill="FFFFFF"/>
              <w:tabs>
                <w:tab w:val="clear" w:pos="2160"/>
                <w:tab w:val="num" w:pos="1843"/>
              </w:tabs>
              <w:ind w:left="493" w:hanging="317"/>
              <w:jc w:val="both"/>
              <w:rPr>
                <w:rFonts w:ascii="Times New Roman" w:hAnsi="Times New Roman" w:cs="Times New Roman"/>
                <w:color w:val="000000" w:themeColor="text1"/>
                <w:sz w:val="22"/>
                <w:szCs w:val="22"/>
                <w:lang w:eastAsia="en-GB"/>
              </w:rPr>
            </w:pPr>
            <w:r w:rsidRPr="00EE601A">
              <w:rPr>
                <w:rFonts w:ascii="Times New Roman" w:hAnsi="Times New Roman" w:cs="Times New Roman"/>
                <w:color w:val="000000" w:themeColor="text1"/>
                <w:sz w:val="22"/>
                <w:szCs w:val="22"/>
                <w:lang w:eastAsia="en-GB"/>
              </w:rPr>
              <w:t>Page 43, Figure 2 description</w:t>
            </w:r>
          </w:p>
        </w:tc>
      </w:tr>
    </w:tbl>
    <w:p w14:paraId="493DACF7" w14:textId="77777777" w:rsidR="00415AB2" w:rsidRPr="00EE601A" w:rsidRDefault="00415AB2" w:rsidP="00787EC5">
      <w:pPr>
        <w:shd w:val="clear" w:color="auto" w:fill="FFFFFF"/>
        <w:rPr>
          <w:rFonts w:ascii="Times New Roman" w:hAnsi="Times New Roman" w:cs="Times New Roman"/>
          <w:bCs/>
          <w:color w:val="FF0000"/>
          <w:lang w:eastAsia="en-GB"/>
        </w:rPr>
      </w:pPr>
    </w:p>
    <w:p w14:paraId="4687D311" w14:textId="58119D31" w:rsidR="00787EC5" w:rsidRPr="00EE601A" w:rsidRDefault="00787EC5" w:rsidP="008C5FF5">
      <w:pPr>
        <w:shd w:val="clear" w:color="auto" w:fill="FFFFFF"/>
        <w:jc w:val="both"/>
        <w:rPr>
          <w:rFonts w:ascii="Times New Roman" w:hAnsi="Times New Roman" w:cs="Times New Roman"/>
          <w:b/>
          <w:color w:val="000000" w:themeColor="text1"/>
          <w:lang w:eastAsia="en-GB"/>
        </w:rPr>
      </w:pPr>
      <w:r w:rsidRPr="00EE601A">
        <w:rPr>
          <w:rFonts w:ascii="Times New Roman" w:hAnsi="Times New Roman" w:cs="Times New Roman"/>
          <w:b/>
          <w:color w:val="000000" w:themeColor="text1"/>
          <w:lang w:eastAsia="en-GB"/>
        </w:rPr>
        <w:t>Comment l:</w:t>
      </w:r>
    </w:p>
    <w:p w14:paraId="7DF32808" w14:textId="77777777" w:rsidR="00787EC5" w:rsidRPr="00EE601A" w:rsidRDefault="00787EC5" w:rsidP="008C5FF5">
      <w:pPr>
        <w:shd w:val="clear" w:color="auto" w:fill="FFFFFF"/>
        <w:jc w:val="both"/>
        <w:rPr>
          <w:rFonts w:ascii="Times New Roman" w:hAnsi="Times New Roman" w:cs="Times New Roman"/>
          <w:color w:val="000000" w:themeColor="text1"/>
          <w:lang w:eastAsia="en-GB"/>
        </w:rPr>
      </w:pPr>
    </w:p>
    <w:p w14:paraId="07296208" w14:textId="2A1EE2E5" w:rsidR="00944961" w:rsidRPr="00EE601A" w:rsidRDefault="00944961" w:rsidP="008C5FF5">
      <w:pPr>
        <w:shd w:val="clear" w:color="auto" w:fill="FFFFFF"/>
        <w:jc w:val="both"/>
        <w:rPr>
          <w:rFonts w:ascii="Times New Roman" w:hAnsi="Times New Roman" w:cs="Times New Roman"/>
          <w:i/>
          <w:color w:val="000000" w:themeColor="text1"/>
          <w:lang w:eastAsia="en-GB"/>
        </w:rPr>
      </w:pPr>
      <w:r w:rsidRPr="00EE601A">
        <w:rPr>
          <w:rFonts w:ascii="Times New Roman" w:hAnsi="Times New Roman" w:cs="Times New Roman"/>
          <w:i/>
          <w:color w:val="000000" w:themeColor="text1"/>
          <w:lang w:eastAsia="en-GB"/>
        </w:rPr>
        <w:t xml:space="preserve">Figure 3 and 4 </w:t>
      </w:r>
      <w:proofErr w:type="gramStart"/>
      <w:r w:rsidRPr="00EE601A">
        <w:rPr>
          <w:rFonts w:ascii="Times New Roman" w:hAnsi="Times New Roman" w:cs="Times New Roman"/>
          <w:i/>
          <w:color w:val="000000" w:themeColor="text1"/>
          <w:lang w:eastAsia="en-GB"/>
        </w:rPr>
        <w:t>reveal</w:t>
      </w:r>
      <w:proofErr w:type="gramEnd"/>
      <w:r w:rsidRPr="00EE601A">
        <w:rPr>
          <w:rFonts w:ascii="Times New Roman" w:hAnsi="Times New Roman" w:cs="Times New Roman"/>
          <w:i/>
          <w:color w:val="000000" w:themeColor="text1"/>
          <w:lang w:eastAsia="en-GB"/>
        </w:rPr>
        <w:t xml:space="preserve"> that M3 performs well in the time period between 2012 and 2016. Do the authors have any explanations for this interesting finding?</w:t>
      </w:r>
    </w:p>
    <w:p w14:paraId="0E61AF86" w14:textId="55F3BBA6" w:rsidR="00E35C5D" w:rsidRPr="00EE601A" w:rsidRDefault="00E35C5D" w:rsidP="008C5FF5">
      <w:pPr>
        <w:shd w:val="clear" w:color="auto" w:fill="FFFFFF"/>
        <w:jc w:val="both"/>
        <w:rPr>
          <w:rFonts w:ascii="Times New Roman" w:hAnsi="Times New Roman" w:cs="Times New Roman"/>
          <w:color w:val="000000" w:themeColor="text1"/>
          <w:lang w:eastAsia="en-GB"/>
        </w:rPr>
      </w:pPr>
    </w:p>
    <w:p w14:paraId="1766F931" w14:textId="00936024" w:rsidR="00AD109F" w:rsidRPr="00EE601A" w:rsidRDefault="00AD109F" w:rsidP="008C5FF5">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We thank the referee for this comment.</w:t>
      </w:r>
    </w:p>
    <w:p w14:paraId="30DBF94E" w14:textId="01F7EFF8" w:rsidR="00C276B2" w:rsidRPr="00EE601A" w:rsidRDefault="00C276B2" w:rsidP="008C5FF5">
      <w:pPr>
        <w:shd w:val="clear" w:color="auto" w:fill="FFFFFF"/>
        <w:jc w:val="both"/>
        <w:rPr>
          <w:rFonts w:ascii="Times New Roman" w:hAnsi="Times New Roman" w:cs="Times New Roman"/>
          <w:color w:val="000000" w:themeColor="text1"/>
          <w:lang w:eastAsia="en-GB"/>
        </w:rPr>
      </w:pPr>
    </w:p>
    <w:p w14:paraId="1FBDB8C7" w14:textId="6DA2748E" w:rsidR="00C276B2" w:rsidRPr="00EE601A" w:rsidRDefault="00C276B2" w:rsidP="008C5FF5">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 xml:space="preserve">As briefly noted in the conclusion, </w:t>
      </w:r>
      <w:bookmarkStart w:id="3" w:name="_Hlk31902806"/>
      <w:r w:rsidRPr="00EE601A">
        <w:rPr>
          <w:rFonts w:ascii="Times New Roman" w:hAnsi="Times New Roman" w:cs="Times New Roman"/>
          <w:color w:val="000000" w:themeColor="text1"/>
          <w:lang w:eastAsia="en-GB"/>
        </w:rPr>
        <w:t xml:space="preserve">we believe that M3 performs well in the </w:t>
      </w:r>
      <w:r w:rsidR="00EB0BA4" w:rsidRPr="00EE601A">
        <w:rPr>
          <w:rFonts w:ascii="Times New Roman" w:hAnsi="Times New Roman" w:cs="Times New Roman"/>
          <w:color w:val="000000" w:themeColor="text1"/>
          <w:lang w:eastAsia="en-GB"/>
        </w:rPr>
        <w:t xml:space="preserve">second half of the sample </w:t>
      </w:r>
      <w:r w:rsidRPr="00EE601A">
        <w:rPr>
          <w:rFonts w:ascii="Times New Roman" w:hAnsi="Times New Roman" w:cs="Times New Roman"/>
          <w:color w:val="000000" w:themeColor="text1"/>
          <w:lang w:eastAsia="en-GB"/>
        </w:rPr>
        <w:t xml:space="preserve">period because </w:t>
      </w:r>
      <w:r w:rsidR="005D7604" w:rsidRPr="00EE601A">
        <w:rPr>
          <w:rFonts w:ascii="Times New Roman" w:hAnsi="Times New Roman" w:cs="Times New Roman"/>
          <w:color w:val="000000" w:themeColor="text1"/>
          <w:lang w:eastAsia="en-GB"/>
        </w:rPr>
        <w:t xml:space="preserve">ESG has become increasingly relevant to the pricing of Australian stocks. Thus, blending ESG with quality and momentum indicators have strong potential to add value </w:t>
      </w:r>
      <w:r w:rsidR="0027640F" w:rsidRPr="00EE601A">
        <w:rPr>
          <w:rFonts w:ascii="Times New Roman" w:hAnsi="Times New Roman" w:cs="Times New Roman"/>
          <w:color w:val="000000" w:themeColor="text1"/>
          <w:lang w:eastAsia="en-GB"/>
        </w:rPr>
        <w:t xml:space="preserve">in the </w:t>
      </w:r>
      <w:proofErr w:type="gramStart"/>
      <w:r w:rsidR="0027640F" w:rsidRPr="00EE601A">
        <w:rPr>
          <w:rFonts w:ascii="Times New Roman" w:hAnsi="Times New Roman" w:cs="Times New Roman"/>
          <w:color w:val="000000" w:themeColor="text1"/>
          <w:lang w:eastAsia="en-GB"/>
        </w:rPr>
        <w:t>long-run</w:t>
      </w:r>
      <w:proofErr w:type="gramEnd"/>
      <w:r w:rsidR="0027640F" w:rsidRPr="00EE601A">
        <w:rPr>
          <w:rFonts w:ascii="Times New Roman" w:hAnsi="Times New Roman" w:cs="Times New Roman"/>
          <w:color w:val="000000" w:themeColor="text1"/>
          <w:lang w:eastAsia="en-GB"/>
        </w:rPr>
        <w:t xml:space="preserve"> </w:t>
      </w:r>
      <w:r w:rsidR="005D7604" w:rsidRPr="00EE601A">
        <w:rPr>
          <w:rFonts w:ascii="Times New Roman" w:hAnsi="Times New Roman" w:cs="Times New Roman"/>
          <w:color w:val="000000" w:themeColor="text1"/>
          <w:lang w:eastAsia="en-GB"/>
        </w:rPr>
        <w:t xml:space="preserve">compared to non-integrated factors. </w:t>
      </w:r>
      <w:r w:rsidR="001917D4" w:rsidRPr="00EE601A">
        <w:rPr>
          <w:rFonts w:ascii="Times New Roman" w:hAnsi="Times New Roman" w:cs="Times New Roman"/>
          <w:color w:val="000000" w:themeColor="text1"/>
          <w:lang w:eastAsia="en-GB"/>
        </w:rPr>
        <w:t>This is most prominent for the momentum strategy, due</w:t>
      </w:r>
      <w:r w:rsidR="00EB0BA4" w:rsidRPr="00EE601A">
        <w:rPr>
          <w:rFonts w:ascii="Times New Roman" w:hAnsi="Times New Roman" w:cs="Times New Roman"/>
          <w:color w:val="000000" w:themeColor="text1"/>
          <w:lang w:eastAsia="en-GB"/>
        </w:rPr>
        <w:t xml:space="preserve"> partly</w:t>
      </w:r>
      <w:r w:rsidR="001917D4" w:rsidRPr="00EE601A">
        <w:rPr>
          <w:rFonts w:ascii="Times New Roman" w:hAnsi="Times New Roman" w:cs="Times New Roman"/>
          <w:color w:val="000000" w:themeColor="text1"/>
          <w:lang w:eastAsia="en-GB"/>
        </w:rPr>
        <w:t xml:space="preserve"> to the muted performance of the momentum factor post-GFC.</w:t>
      </w:r>
      <w:bookmarkEnd w:id="3"/>
    </w:p>
    <w:p w14:paraId="504203FE" w14:textId="0F9FFBCC" w:rsidR="00085170" w:rsidRPr="00EE601A" w:rsidRDefault="00085170" w:rsidP="008C5FF5">
      <w:pPr>
        <w:shd w:val="clear" w:color="auto" w:fill="FFFFFF"/>
        <w:jc w:val="both"/>
        <w:rPr>
          <w:rFonts w:ascii="Times New Roman" w:hAnsi="Times New Roman" w:cs="Times New Roman"/>
          <w:color w:val="000000" w:themeColor="text1"/>
          <w:lang w:eastAsia="en-GB"/>
        </w:rPr>
      </w:pPr>
    </w:p>
    <w:p w14:paraId="078B7065" w14:textId="6F92BDCD" w:rsidR="00085170" w:rsidRPr="00EE601A" w:rsidRDefault="00247A7B" w:rsidP="008C5FF5">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We</w:t>
      </w:r>
      <w:r w:rsidR="00085170" w:rsidRPr="00EE601A">
        <w:rPr>
          <w:rFonts w:ascii="Times New Roman" w:hAnsi="Times New Roman" w:cs="Times New Roman"/>
          <w:color w:val="000000" w:themeColor="text1"/>
          <w:lang w:eastAsia="en-GB"/>
        </w:rPr>
        <w:t xml:space="preserve"> have amended the text in the last paragraph of section 4.1 to reflect the above</w:t>
      </w:r>
      <w:r w:rsidRPr="00EE601A">
        <w:rPr>
          <w:rFonts w:ascii="Times New Roman" w:hAnsi="Times New Roman" w:cs="Times New Roman"/>
          <w:color w:val="000000" w:themeColor="text1"/>
          <w:lang w:eastAsia="en-GB"/>
        </w:rPr>
        <w:t xml:space="preserve"> discussion</w:t>
      </w:r>
      <w:r w:rsidR="00085170" w:rsidRPr="00EE601A">
        <w:rPr>
          <w:rFonts w:ascii="Times New Roman" w:hAnsi="Times New Roman" w:cs="Times New Roman"/>
          <w:color w:val="000000" w:themeColor="text1"/>
          <w:lang w:eastAsia="en-GB"/>
        </w:rPr>
        <w:t>.</w:t>
      </w:r>
    </w:p>
    <w:p w14:paraId="68080A9F" w14:textId="379CB972" w:rsidR="00332F51" w:rsidRPr="00EE601A" w:rsidRDefault="00332F51" w:rsidP="008C5FF5">
      <w:pPr>
        <w:shd w:val="clear" w:color="auto" w:fill="FFFFFF"/>
        <w:jc w:val="both"/>
        <w:rPr>
          <w:rFonts w:ascii="Times New Roman" w:hAnsi="Times New Roman" w:cs="Times New Roman"/>
          <w:color w:val="000000" w:themeColor="text1"/>
          <w:lang w:eastAsia="en-GB"/>
        </w:rPr>
      </w:pPr>
    </w:p>
    <w:p w14:paraId="58644995" w14:textId="77777777" w:rsidR="00085170" w:rsidRPr="00EE601A" w:rsidRDefault="00085170" w:rsidP="008C5FF5">
      <w:pPr>
        <w:shd w:val="clear" w:color="auto" w:fill="FFFFFF"/>
        <w:jc w:val="both"/>
        <w:rPr>
          <w:rFonts w:ascii="Times New Roman" w:hAnsi="Times New Roman" w:cs="Times New Roman"/>
          <w:color w:val="000000" w:themeColor="text1"/>
          <w:lang w:eastAsia="en-GB"/>
        </w:rPr>
      </w:pPr>
    </w:p>
    <w:p w14:paraId="10B052B7" w14:textId="63870018" w:rsidR="00787EC5" w:rsidRPr="00EE601A" w:rsidRDefault="00787EC5" w:rsidP="008C5FF5">
      <w:pPr>
        <w:shd w:val="clear" w:color="auto" w:fill="FFFFFF"/>
        <w:jc w:val="both"/>
        <w:rPr>
          <w:rFonts w:ascii="Times New Roman" w:hAnsi="Times New Roman" w:cs="Times New Roman"/>
          <w:b/>
          <w:color w:val="000000" w:themeColor="text1"/>
          <w:lang w:eastAsia="en-GB"/>
        </w:rPr>
      </w:pPr>
      <w:r w:rsidRPr="00EE601A">
        <w:rPr>
          <w:rFonts w:ascii="Times New Roman" w:hAnsi="Times New Roman" w:cs="Times New Roman"/>
          <w:b/>
          <w:color w:val="000000" w:themeColor="text1"/>
          <w:lang w:eastAsia="en-GB"/>
        </w:rPr>
        <w:t>Comment m:</w:t>
      </w:r>
    </w:p>
    <w:p w14:paraId="351A1AAD" w14:textId="77777777" w:rsidR="00787EC5" w:rsidRPr="00EE601A" w:rsidRDefault="00787EC5" w:rsidP="008C5FF5">
      <w:pPr>
        <w:shd w:val="clear" w:color="auto" w:fill="FFFFFF"/>
        <w:jc w:val="both"/>
        <w:rPr>
          <w:rFonts w:ascii="Times New Roman" w:hAnsi="Times New Roman" w:cs="Times New Roman"/>
          <w:color w:val="000000" w:themeColor="text1"/>
          <w:lang w:eastAsia="en-GB"/>
        </w:rPr>
      </w:pPr>
    </w:p>
    <w:p w14:paraId="59A27165" w14:textId="7C2F6A59" w:rsidR="00944961" w:rsidRPr="00EE601A" w:rsidRDefault="00944961" w:rsidP="008C5FF5">
      <w:pPr>
        <w:shd w:val="clear" w:color="auto" w:fill="FFFFFF"/>
        <w:jc w:val="both"/>
        <w:rPr>
          <w:rFonts w:ascii="Times New Roman" w:hAnsi="Times New Roman" w:cs="Times New Roman"/>
          <w:i/>
          <w:color w:val="000000" w:themeColor="text1"/>
          <w:lang w:eastAsia="en-GB"/>
        </w:rPr>
      </w:pPr>
      <w:r w:rsidRPr="00EE601A">
        <w:rPr>
          <w:rFonts w:ascii="Times New Roman" w:hAnsi="Times New Roman" w:cs="Times New Roman"/>
          <w:i/>
          <w:color w:val="000000" w:themeColor="text1"/>
          <w:lang w:eastAsia="en-GB"/>
        </w:rPr>
        <w:t>Table 3 does not report results for strategy M2. Please add results or a short note with an explanation for the non</w:t>
      </w:r>
      <w:r w:rsidR="00BD4190" w:rsidRPr="00EE601A">
        <w:rPr>
          <w:rFonts w:ascii="Times New Roman" w:hAnsi="Times New Roman" w:cs="Times New Roman"/>
          <w:i/>
          <w:color w:val="000000" w:themeColor="text1"/>
          <w:lang w:eastAsia="en-GB"/>
        </w:rPr>
        <w:t>-c</w:t>
      </w:r>
      <w:r w:rsidRPr="00EE601A">
        <w:rPr>
          <w:rFonts w:ascii="Times New Roman" w:hAnsi="Times New Roman" w:cs="Times New Roman"/>
          <w:i/>
          <w:color w:val="000000" w:themeColor="text1"/>
          <w:lang w:eastAsia="en-GB"/>
        </w:rPr>
        <w:t>onsideration of M2.</w:t>
      </w:r>
    </w:p>
    <w:p w14:paraId="457E3876" w14:textId="77777777" w:rsidR="00787EC5" w:rsidRPr="00EE601A" w:rsidRDefault="00787EC5" w:rsidP="008C5FF5">
      <w:pPr>
        <w:shd w:val="clear" w:color="auto" w:fill="FFFFFF"/>
        <w:jc w:val="both"/>
        <w:rPr>
          <w:rFonts w:ascii="Times New Roman" w:hAnsi="Times New Roman" w:cs="Times New Roman"/>
          <w:color w:val="000000" w:themeColor="text1"/>
          <w:lang w:eastAsia="en-GB"/>
        </w:rPr>
      </w:pPr>
    </w:p>
    <w:p w14:paraId="29B1AB41" w14:textId="77777777" w:rsidR="00AB5F2D" w:rsidRPr="00EE601A" w:rsidRDefault="00444566" w:rsidP="008C5FF5">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 xml:space="preserve">The comment is well-taken. </w:t>
      </w:r>
    </w:p>
    <w:p w14:paraId="48F15805" w14:textId="77777777" w:rsidR="00AB5F2D" w:rsidRPr="00EE601A" w:rsidRDefault="00AB5F2D" w:rsidP="008C5FF5">
      <w:pPr>
        <w:shd w:val="clear" w:color="auto" w:fill="FFFFFF"/>
        <w:jc w:val="both"/>
        <w:rPr>
          <w:rFonts w:ascii="Times New Roman" w:hAnsi="Times New Roman" w:cs="Times New Roman"/>
          <w:color w:val="000000" w:themeColor="text1"/>
          <w:lang w:eastAsia="en-GB"/>
        </w:rPr>
      </w:pPr>
    </w:p>
    <w:p w14:paraId="589B5EA7" w14:textId="7CDE387C" w:rsidR="00AD109F" w:rsidRPr="00EE601A" w:rsidRDefault="00444566" w:rsidP="008C5FF5">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M2 is not included in the table</w:t>
      </w:r>
      <w:r w:rsidR="00E35C5D" w:rsidRPr="00EE601A">
        <w:rPr>
          <w:rFonts w:ascii="Times New Roman" w:hAnsi="Times New Roman" w:cs="Times New Roman"/>
          <w:color w:val="000000" w:themeColor="text1"/>
          <w:lang w:eastAsia="en-GB"/>
        </w:rPr>
        <w:t xml:space="preserve"> mainly</w:t>
      </w:r>
      <w:r w:rsidRPr="00EE601A">
        <w:rPr>
          <w:rFonts w:ascii="Times New Roman" w:hAnsi="Times New Roman" w:cs="Times New Roman"/>
          <w:color w:val="000000" w:themeColor="text1"/>
          <w:lang w:eastAsia="en-GB"/>
        </w:rPr>
        <w:t xml:space="preserve"> due to space limitations.</w:t>
      </w:r>
      <w:r w:rsidR="00E35C5D" w:rsidRPr="00EE601A">
        <w:rPr>
          <w:rFonts w:ascii="Times New Roman" w:hAnsi="Times New Roman" w:cs="Times New Roman"/>
          <w:color w:val="000000" w:themeColor="text1"/>
          <w:lang w:eastAsia="en-GB"/>
        </w:rPr>
        <w:t xml:space="preserve"> </w:t>
      </w:r>
      <w:r w:rsidR="00AB5F2D" w:rsidRPr="00EE601A">
        <w:rPr>
          <w:rFonts w:ascii="Times New Roman" w:hAnsi="Times New Roman" w:cs="Times New Roman"/>
          <w:color w:val="000000" w:themeColor="text1"/>
          <w:lang w:eastAsia="en-GB"/>
        </w:rPr>
        <w:t>Meanwhile, we choose to focus on M1 and M3 because</w:t>
      </w:r>
      <w:r w:rsidR="008D1166" w:rsidRPr="00EE601A">
        <w:rPr>
          <w:rFonts w:ascii="Times New Roman" w:hAnsi="Times New Roman" w:cs="Times New Roman"/>
          <w:color w:val="000000" w:themeColor="text1"/>
          <w:lang w:eastAsia="en-GB"/>
        </w:rPr>
        <w:t xml:space="preserve"> the M2 strategy takes dynamic net long</w:t>
      </w:r>
      <w:r w:rsidR="00E72C13" w:rsidRPr="00EE601A">
        <w:rPr>
          <w:rFonts w:ascii="Times New Roman" w:hAnsi="Times New Roman" w:cs="Times New Roman"/>
          <w:color w:val="000000" w:themeColor="text1"/>
          <w:lang w:eastAsia="en-GB"/>
        </w:rPr>
        <w:t xml:space="preserve"> or net </w:t>
      </w:r>
      <w:r w:rsidR="008D1166" w:rsidRPr="00EE601A">
        <w:rPr>
          <w:rFonts w:ascii="Times New Roman" w:hAnsi="Times New Roman" w:cs="Times New Roman"/>
          <w:color w:val="000000" w:themeColor="text1"/>
          <w:lang w:eastAsia="en-GB"/>
        </w:rPr>
        <w:t xml:space="preserve">short positions as opposed to “zero-investment” long-short positions. While it is considerably riskier, the </w:t>
      </w:r>
      <w:r w:rsidR="00E35C5D" w:rsidRPr="00EE601A">
        <w:rPr>
          <w:rFonts w:ascii="Times New Roman" w:hAnsi="Times New Roman" w:cs="Times New Roman"/>
          <w:color w:val="000000" w:themeColor="text1"/>
          <w:lang w:eastAsia="en-GB"/>
        </w:rPr>
        <w:t>M2 does not appear to outperform M</w:t>
      </w:r>
      <w:r w:rsidR="008D1166" w:rsidRPr="00EE601A">
        <w:rPr>
          <w:rFonts w:ascii="Times New Roman" w:hAnsi="Times New Roman" w:cs="Times New Roman"/>
          <w:color w:val="000000" w:themeColor="text1"/>
          <w:lang w:eastAsia="en-GB"/>
        </w:rPr>
        <w:t>1</w:t>
      </w:r>
      <w:r w:rsidR="00E35C5D" w:rsidRPr="00EE601A">
        <w:rPr>
          <w:rFonts w:ascii="Times New Roman" w:hAnsi="Times New Roman" w:cs="Times New Roman"/>
          <w:color w:val="000000" w:themeColor="text1"/>
          <w:lang w:eastAsia="en-GB"/>
        </w:rPr>
        <w:t xml:space="preserve"> and M</w:t>
      </w:r>
      <w:r w:rsidR="008D1166" w:rsidRPr="00EE601A">
        <w:rPr>
          <w:rFonts w:ascii="Times New Roman" w:hAnsi="Times New Roman" w:cs="Times New Roman"/>
          <w:color w:val="000000" w:themeColor="text1"/>
          <w:lang w:eastAsia="en-GB"/>
        </w:rPr>
        <w:t xml:space="preserve">3 strategies. </w:t>
      </w:r>
    </w:p>
    <w:p w14:paraId="03C9C9C2" w14:textId="77777777" w:rsidR="00AD109F" w:rsidRPr="00EE601A" w:rsidRDefault="00AD109F" w:rsidP="008C5FF5">
      <w:pPr>
        <w:shd w:val="clear" w:color="auto" w:fill="FFFFFF"/>
        <w:jc w:val="both"/>
        <w:rPr>
          <w:rFonts w:ascii="Times New Roman" w:hAnsi="Times New Roman" w:cs="Times New Roman"/>
          <w:color w:val="000000" w:themeColor="text1"/>
          <w:lang w:eastAsia="en-GB"/>
        </w:rPr>
      </w:pPr>
    </w:p>
    <w:p w14:paraId="281E0731" w14:textId="174357B8" w:rsidR="008D1166" w:rsidRPr="00EE601A" w:rsidRDefault="008D1166" w:rsidP="008C5FF5">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A</w:t>
      </w:r>
      <w:r w:rsidR="00B24A32" w:rsidRPr="00EE601A">
        <w:rPr>
          <w:rFonts w:ascii="Times New Roman" w:hAnsi="Times New Roman" w:cs="Times New Roman"/>
          <w:color w:val="000000" w:themeColor="text1"/>
          <w:lang w:eastAsia="en-GB"/>
        </w:rPr>
        <w:t xml:space="preserve"> new</w:t>
      </w:r>
      <w:r w:rsidRPr="00EE601A">
        <w:rPr>
          <w:rFonts w:ascii="Times New Roman" w:hAnsi="Times New Roman" w:cs="Times New Roman"/>
          <w:color w:val="000000" w:themeColor="text1"/>
          <w:lang w:eastAsia="en-GB"/>
        </w:rPr>
        <w:t xml:space="preserve"> footnote (#</w:t>
      </w:r>
      <w:r w:rsidR="00CC1BA3" w:rsidRPr="00EE601A">
        <w:rPr>
          <w:rFonts w:ascii="Times New Roman" w:hAnsi="Times New Roman" w:cs="Times New Roman"/>
          <w:color w:val="000000" w:themeColor="text1"/>
          <w:lang w:eastAsia="en-GB"/>
        </w:rPr>
        <w:t>14</w:t>
      </w:r>
      <w:r w:rsidRPr="00EE601A">
        <w:rPr>
          <w:rFonts w:ascii="Times New Roman" w:hAnsi="Times New Roman" w:cs="Times New Roman"/>
          <w:color w:val="000000" w:themeColor="text1"/>
          <w:lang w:eastAsia="en-GB"/>
        </w:rPr>
        <w:t>) has been added on page (x</w:t>
      </w:r>
      <w:r w:rsidR="00CC1BA3" w:rsidRPr="00EE601A">
        <w:rPr>
          <w:rFonts w:ascii="Times New Roman" w:hAnsi="Times New Roman" w:cs="Times New Roman"/>
          <w:color w:val="000000" w:themeColor="text1"/>
          <w:lang w:eastAsia="en-GB"/>
        </w:rPr>
        <w:t>16</w:t>
      </w:r>
      <w:r w:rsidRPr="00EE601A">
        <w:rPr>
          <w:rFonts w:ascii="Times New Roman" w:hAnsi="Times New Roman" w:cs="Times New Roman"/>
          <w:color w:val="000000" w:themeColor="text1"/>
          <w:lang w:eastAsia="en-GB"/>
        </w:rPr>
        <w:t>)</w:t>
      </w:r>
      <w:r w:rsidR="00B24A32" w:rsidRPr="00EE601A">
        <w:rPr>
          <w:rFonts w:ascii="Times New Roman" w:hAnsi="Times New Roman" w:cs="Times New Roman"/>
          <w:color w:val="000000" w:themeColor="text1"/>
          <w:lang w:eastAsia="en-GB"/>
        </w:rPr>
        <w:t xml:space="preserve"> paragraph (y</w:t>
      </w:r>
      <w:r w:rsidR="00CC1BA3" w:rsidRPr="00EE601A">
        <w:rPr>
          <w:rFonts w:ascii="Times New Roman" w:hAnsi="Times New Roman" w:cs="Times New Roman"/>
          <w:color w:val="000000" w:themeColor="text1"/>
          <w:lang w:eastAsia="en-GB"/>
        </w:rPr>
        <w:t>3</w:t>
      </w:r>
      <w:r w:rsidR="00B24A32" w:rsidRPr="00EE601A">
        <w:rPr>
          <w:rFonts w:ascii="Times New Roman" w:hAnsi="Times New Roman" w:cs="Times New Roman"/>
          <w:color w:val="000000" w:themeColor="text1"/>
          <w:lang w:eastAsia="en-GB"/>
        </w:rPr>
        <w:t>)</w:t>
      </w:r>
      <w:r w:rsidRPr="00EE601A">
        <w:rPr>
          <w:rFonts w:ascii="Times New Roman" w:hAnsi="Times New Roman" w:cs="Times New Roman"/>
          <w:color w:val="000000" w:themeColor="text1"/>
          <w:lang w:eastAsia="en-GB"/>
        </w:rPr>
        <w:t xml:space="preserve"> to explain why M2 results are not present in Table 3.</w:t>
      </w:r>
    </w:p>
    <w:p w14:paraId="65A58335" w14:textId="3C8BA2C4" w:rsidR="004B1517" w:rsidRPr="00EE601A" w:rsidRDefault="004B1517" w:rsidP="008C5FF5">
      <w:pPr>
        <w:shd w:val="clear" w:color="auto" w:fill="FFFFFF"/>
        <w:jc w:val="both"/>
        <w:rPr>
          <w:rFonts w:ascii="Times New Roman" w:hAnsi="Times New Roman" w:cs="Times New Roman"/>
          <w:color w:val="000000" w:themeColor="text1"/>
          <w:lang w:eastAsia="en-GB"/>
        </w:rPr>
      </w:pPr>
    </w:p>
    <w:p w14:paraId="53F01BA8" w14:textId="178C62A3" w:rsidR="008D1166" w:rsidRPr="00EE601A" w:rsidRDefault="008D1166" w:rsidP="008C5FF5">
      <w:pPr>
        <w:shd w:val="clear" w:color="auto" w:fill="FFFFFF"/>
        <w:jc w:val="both"/>
        <w:rPr>
          <w:rFonts w:ascii="Times New Roman" w:hAnsi="Times New Roman" w:cs="Times New Roman"/>
          <w:color w:val="000000" w:themeColor="text1"/>
          <w:lang w:eastAsia="en-GB"/>
        </w:rPr>
      </w:pPr>
    </w:p>
    <w:p w14:paraId="75FB459E" w14:textId="0222AB71" w:rsidR="00BD4190" w:rsidRPr="00EE601A" w:rsidRDefault="00BD4190" w:rsidP="00332F51">
      <w:pPr>
        <w:shd w:val="clear" w:color="auto" w:fill="FFFFFF"/>
        <w:jc w:val="both"/>
        <w:rPr>
          <w:rFonts w:ascii="Times New Roman" w:hAnsi="Times New Roman" w:cs="Times New Roman"/>
          <w:b/>
          <w:color w:val="000000" w:themeColor="text1"/>
          <w:lang w:eastAsia="en-GB"/>
        </w:rPr>
      </w:pPr>
      <w:r w:rsidRPr="00EE601A">
        <w:rPr>
          <w:rFonts w:ascii="Times New Roman" w:hAnsi="Times New Roman" w:cs="Times New Roman"/>
          <w:b/>
          <w:color w:val="000000" w:themeColor="text1"/>
          <w:lang w:eastAsia="en-GB"/>
        </w:rPr>
        <w:t xml:space="preserve">Comment </w:t>
      </w:r>
      <w:proofErr w:type="spellStart"/>
      <w:r w:rsidRPr="00EE601A">
        <w:rPr>
          <w:rFonts w:ascii="Times New Roman" w:hAnsi="Times New Roman" w:cs="Times New Roman"/>
          <w:b/>
          <w:color w:val="000000" w:themeColor="text1"/>
          <w:lang w:eastAsia="en-GB"/>
        </w:rPr>
        <w:t>n</w:t>
      </w:r>
      <w:proofErr w:type="spellEnd"/>
      <w:r w:rsidRPr="00EE601A">
        <w:rPr>
          <w:rFonts w:ascii="Times New Roman" w:hAnsi="Times New Roman" w:cs="Times New Roman"/>
          <w:b/>
          <w:color w:val="000000" w:themeColor="text1"/>
          <w:lang w:eastAsia="en-GB"/>
        </w:rPr>
        <w:t>:</w:t>
      </w:r>
    </w:p>
    <w:p w14:paraId="34EF6F26" w14:textId="77777777" w:rsidR="00BD4190" w:rsidRPr="00EE601A" w:rsidRDefault="00BD4190" w:rsidP="00332F51">
      <w:pPr>
        <w:shd w:val="clear" w:color="auto" w:fill="FFFFFF"/>
        <w:jc w:val="both"/>
        <w:rPr>
          <w:rFonts w:ascii="Times New Roman" w:hAnsi="Times New Roman" w:cs="Times New Roman"/>
          <w:color w:val="000000" w:themeColor="text1"/>
          <w:lang w:eastAsia="en-GB"/>
        </w:rPr>
      </w:pPr>
    </w:p>
    <w:p w14:paraId="47E51B23" w14:textId="0717BE62" w:rsidR="00944961" w:rsidRPr="00EE601A" w:rsidRDefault="00944961" w:rsidP="00332F51">
      <w:pPr>
        <w:shd w:val="clear" w:color="auto" w:fill="FFFFFF"/>
        <w:jc w:val="both"/>
        <w:rPr>
          <w:rFonts w:ascii="Times New Roman" w:hAnsi="Times New Roman" w:cs="Times New Roman"/>
          <w:i/>
          <w:color w:val="000000" w:themeColor="text1"/>
          <w:lang w:eastAsia="en-GB"/>
        </w:rPr>
      </w:pPr>
      <w:r w:rsidRPr="00EE601A">
        <w:rPr>
          <w:rFonts w:ascii="Times New Roman" w:hAnsi="Times New Roman" w:cs="Times New Roman"/>
          <w:i/>
          <w:color w:val="000000" w:themeColor="text1"/>
          <w:lang w:eastAsia="en-GB"/>
        </w:rPr>
        <w:t>The statements in footnote 14 and 15 are very important and should be shifted to the main text.</w:t>
      </w:r>
    </w:p>
    <w:p w14:paraId="6087E274" w14:textId="77777777" w:rsidR="00BD4190" w:rsidRPr="00EE601A" w:rsidRDefault="00BD4190" w:rsidP="00332F51">
      <w:pPr>
        <w:shd w:val="clear" w:color="auto" w:fill="FFFFFF"/>
        <w:jc w:val="both"/>
        <w:rPr>
          <w:rFonts w:ascii="Times New Roman" w:hAnsi="Times New Roman" w:cs="Times New Roman"/>
          <w:i/>
          <w:color w:val="000000" w:themeColor="text1"/>
          <w:lang w:eastAsia="en-GB"/>
        </w:rPr>
      </w:pPr>
    </w:p>
    <w:p w14:paraId="1F0159CD" w14:textId="0E8B7E80" w:rsidR="00BD4190" w:rsidRPr="00EE601A" w:rsidRDefault="005D290C" w:rsidP="00332F51">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 xml:space="preserve">Following the advice of the referee, </w:t>
      </w:r>
      <w:r w:rsidR="00BD4190" w:rsidRPr="00EE601A">
        <w:rPr>
          <w:rFonts w:ascii="Times New Roman" w:hAnsi="Times New Roman" w:cs="Times New Roman"/>
          <w:color w:val="000000" w:themeColor="text1"/>
          <w:lang w:eastAsia="en-GB"/>
        </w:rPr>
        <w:t>Footnote</w:t>
      </w:r>
      <w:r w:rsidRPr="00EE601A">
        <w:rPr>
          <w:rFonts w:ascii="Times New Roman" w:hAnsi="Times New Roman" w:cs="Times New Roman"/>
          <w:color w:val="000000" w:themeColor="text1"/>
          <w:lang w:eastAsia="en-GB"/>
        </w:rPr>
        <w:t>s</w:t>
      </w:r>
      <w:r w:rsidR="00BD4190" w:rsidRPr="00EE601A">
        <w:rPr>
          <w:rFonts w:ascii="Times New Roman" w:hAnsi="Times New Roman" w:cs="Times New Roman"/>
          <w:color w:val="000000" w:themeColor="text1"/>
          <w:lang w:eastAsia="en-GB"/>
        </w:rPr>
        <w:t xml:space="preserve"> 14 and 15</w:t>
      </w:r>
      <w:r w:rsidR="00C42003" w:rsidRPr="00EE601A">
        <w:rPr>
          <w:rFonts w:ascii="Times New Roman" w:hAnsi="Times New Roman" w:cs="Times New Roman"/>
          <w:color w:val="000000" w:themeColor="text1"/>
          <w:lang w:eastAsia="en-GB"/>
        </w:rPr>
        <w:t xml:space="preserve"> in the previous version of the manuscript</w:t>
      </w:r>
      <w:r w:rsidR="00BD4190" w:rsidRPr="00EE601A">
        <w:rPr>
          <w:rFonts w:ascii="Times New Roman" w:hAnsi="Times New Roman" w:cs="Times New Roman"/>
          <w:color w:val="000000" w:themeColor="text1"/>
          <w:lang w:eastAsia="en-GB"/>
        </w:rPr>
        <w:t xml:space="preserve"> have been shifted to the main text. </w:t>
      </w:r>
    </w:p>
    <w:p w14:paraId="2E060654" w14:textId="25A47BC3" w:rsidR="007927D4" w:rsidRPr="00EE601A" w:rsidRDefault="007927D4">
      <w:pPr>
        <w:rPr>
          <w:rFonts w:ascii="Times New Roman" w:hAnsi="Times New Roman" w:cs="Times New Roman"/>
          <w:b/>
          <w:color w:val="000000" w:themeColor="text1"/>
          <w:lang w:eastAsia="en-GB"/>
        </w:rPr>
      </w:pPr>
    </w:p>
    <w:p w14:paraId="7C33421A" w14:textId="33786D4E" w:rsidR="00BD4190" w:rsidRPr="00EE601A" w:rsidRDefault="00BD4190" w:rsidP="00332F51">
      <w:pPr>
        <w:shd w:val="clear" w:color="auto" w:fill="FFFFFF"/>
        <w:jc w:val="both"/>
        <w:rPr>
          <w:rFonts w:ascii="Times New Roman" w:hAnsi="Times New Roman" w:cs="Times New Roman"/>
          <w:b/>
          <w:color w:val="000000" w:themeColor="text1"/>
          <w:lang w:eastAsia="en-GB"/>
        </w:rPr>
      </w:pPr>
      <w:r w:rsidRPr="00EE601A">
        <w:rPr>
          <w:rFonts w:ascii="Times New Roman" w:hAnsi="Times New Roman" w:cs="Times New Roman"/>
          <w:b/>
          <w:color w:val="000000" w:themeColor="text1"/>
          <w:lang w:eastAsia="en-GB"/>
        </w:rPr>
        <w:lastRenderedPageBreak/>
        <w:t xml:space="preserve">Comment </w:t>
      </w:r>
      <w:proofErr w:type="spellStart"/>
      <w:r w:rsidRPr="00EE601A">
        <w:rPr>
          <w:rFonts w:ascii="Times New Roman" w:hAnsi="Times New Roman" w:cs="Times New Roman"/>
          <w:b/>
          <w:color w:val="000000" w:themeColor="text1"/>
          <w:lang w:eastAsia="en-GB"/>
        </w:rPr>
        <w:t>o</w:t>
      </w:r>
      <w:proofErr w:type="spellEnd"/>
      <w:r w:rsidRPr="00EE601A">
        <w:rPr>
          <w:rFonts w:ascii="Times New Roman" w:hAnsi="Times New Roman" w:cs="Times New Roman"/>
          <w:b/>
          <w:color w:val="000000" w:themeColor="text1"/>
          <w:lang w:eastAsia="en-GB"/>
        </w:rPr>
        <w:t>:</w:t>
      </w:r>
    </w:p>
    <w:p w14:paraId="658CE75F" w14:textId="77777777" w:rsidR="00BD4190" w:rsidRPr="00EE601A" w:rsidRDefault="00BD4190" w:rsidP="00332F51">
      <w:pPr>
        <w:shd w:val="clear" w:color="auto" w:fill="FFFFFF"/>
        <w:jc w:val="both"/>
        <w:rPr>
          <w:rFonts w:ascii="Times New Roman" w:hAnsi="Times New Roman" w:cs="Times New Roman"/>
          <w:color w:val="000000" w:themeColor="text1"/>
          <w:lang w:eastAsia="en-GB"/>
        </w:rPr>
      </w:pPr>
    </w:p>
    <w:p w14:paraId="3B4EF9B0" w14:textId="3802FC11" w:rsidR="00944961" w:rsidRPr="00EE601A" w:rsidRDefault="00944961" w:rsidP="00332F51">
      <w:pPr>
        <w:shd w:val="clear" w:color="auto" w:fill="FFFFFF"/>
        <w:jc w:val="both"/>
        <w:rPr>
          <w:rFonts w:ascii="Times New Roman" w:hAnsi="Times New Roman" w:cs="Times New Roman"/>
          <w:i/>
          <w:color w:val="000000" w:themeColor="text1"/>
          <w:lang w:eastAsia="en-GB"/>
        </w:rPr>
      </w:pPr>
      <w:r w:rsidRPr="00EE601A">
        <w:rPr>
          <w:rFonts w:ascii="Times New Roman" w:hAnsi="Times New Roman" w:cs="Times New Roman"/>
          <w:i/>
          <w:color w:val="000000" w:themeColor="text1"/>
          <w:lang w:eastAsia="en-GB"/>
        </w:rPr>
        <w:t>In Table 4, the results for the factor quality are very similar across all four strategies. Thus, why do the “findings confirm a strong empirical link between quality and ESG ratings, whilst indicating the potential of ESG integration in portfolio risk reduction.” (page 18)?</w:t>
      </w:r>
    </w:p>
    <w:p w14:paraId="1F7939E1" w14:textId="77777777" w:rsidR="00F82F08" w:rsidRPr="00EE601A" w:rsidRDefault="00F82F08" w:rsidP="00332F51">
      <w:pPr>
        <w:shd w:val="clear" w:color="auto" w:fill="FFFFFF"/>
        <w:jc w:val="both"/>
        <w:rPr>
          <w:rFonts w:ascii="Times New Roman" w:hAnsi="Times New Roman" w:cs="Times New Roman"/>
          <w:color w:val="000000" w:themeColor="text1"/>
          <w:lang w:eastAsia="en-GB"/>
        </w:rPr>
      </w:pPr>
    </w:p>
    <w:p w14:paraId="6BBEB369" w14:textId="3BCEBCAE" w:rsidR="005E249D" w:rsidRPr="00EE601A" w:rsidRDefault="00476274" w:rsidP="00332F51">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The comment is well-taken. We thank the referee for pointing out this confusion.</w:t>
      </w:r>
    </w:p>
    <w:p w14:paraId="581B34E8" w14:textId="77777777" w:rsidR="00476274" w:rsidRPr="00EE601A" w:rsidRDefault="00476274" w:rsidP="00332F51">
      <w:pPr>
        <w:shd w:val="clear" w:color="auto" w:fill="FFFFFF"/>
        <w:jc w:val="both"/>
        <w:rPr>
          <w:rFonts w:ascii="Times New Roman" w:hAnsi="Times New Roman" w:cs="Times New Roman"/>
          <w:color w:val="000000" w:themeColor="text1"/>
          <w:lang w:eastAsia="en-GB"/>
        </w:rPr>
      </w:pPr>
    </w:p>
    <w:p w14:paraId="679DD75E" w14:textId="4017647F" w:rsidR="00766D59" w:rsidRPr="00EE601A" w:rsidRDefault="00766D59" w:rsidP="00766D59">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We understand the referee’s concern about the statement on the empirical link between ESG ratings and quality. Since we do not provide a direct test, a more appropriate statement would be “</w:t>
      </w:r>
      <w:bookmarkStart w:id="4" w:name="_Hlk31906315"/>
      <w:r w:rsidRPr="00EE601A">
        <w:rPr>
          <w:rFonts w:ascii="Times New Roman" w:hAnsi="Times New Roman" w:cs="Times New Roman"/>
          <w:color w:val="000000" w:themeColor="text1"/>
          <w:lang w:eastAsia="en-GB"/>
        </w:rPr>
        <w:t>our findings suggest that ESG integration does not significantly reduce the alpha of the quality factor, nor does it alter the loadings on MKT, SMB and HML factors</w:t>
      </w:r>
      <w:bookmarkEnd w:id="4"/>
      <w:r w:rsidRPr="00EE601A">
        <w:rPr>
          <w:rFonts w:ascii="Times New Roman" w:hAnsi="Times New Roman" w:cs="Times New Roman"/>
          <w:color w:val="000000" w:themeColor="text1"/>
          <w:lang w:eastAsia="en-GB"/>
        </w:rPr>
        <w:t>.”</w:t>
      </w:r>
    </w:p>
    <w:p w14:paraId="3BBC5F2F" w14:textId="77777777" w:rsidR="00766D59" w:rsidRPr="00EE601A" w:rsidRDefault="00766D59" w:rsidP="00766D59">
      <w:pPr>
        <w:shd w:val="clear" w:color="auto" w:fill="FFFFFF"/>
        <w:jc w:val="both"/>
        <w:rPr>
          <w:rFonts w:ascii="Times New Roman" w:hAnsi="Times New Roman" w:cs="Times New Roman"/>
          <w:color w:val="000000" w:themeColor="text1"/>
          <w:lang w:eastAsia="en-GB"/>
        </w:rPr>
      </w:pPr>
    </w:p>
    <w:p w14:paraId="36B087C9" w14:textId="7B0FBF2A" w:rsidR="004B1517" w:rsidRPr="00EE601A" w:rsidRDefault="00766D59" w:rsidP="00332F51">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 xml:space="preserve">Our rationale for the original statement is as follows. ESG integrated quality reports similar results compared to non-ESG integrated quality, while ESG integrated momentum report strong </w:t>
      </w:r>
      <w:r w:rsidR="009C652B" w:rsidRPr="00EE601A">
        <w:rPr>
          <w:rFonts w:ascii="Times New Roman" w:hAnsi="Times New Roman" w:cs="Times New Roman"/>
          <w:color w:val="000000" w:themeColor="text1"/>
          <w:lang w:eastAsia="en-GB"/>
        </w:rPr>
        <w:t>alpha and considerably different loadings on SMB and HML compared to the non-integrated momentum. The result would imply that ESG ratings are more closely related to quality than they are to momentum. As for the second part of the statement, “</w:t>
      </w:r>
      <w:r w:rsidR="00476274" w:rsidRPr="00EE601A">
        <w:rPr>
          <w:rFonts w:ascii="Times New Roman" w:hAnsi="Times New Roman" w:cs="Times New Roman"/>
          <w:color w:val="000000" w:themeColor="text1"/>
          <w:lang w:eastAsia="en-GB"/>
        </w:rPr>
        <w:t>The potential of ESG integration in portfolio risk reduction</w:t>
      </w:r>
      <w:r w:rsidR="009C652B" w:rsidRPr="00EE601A">
        <w:rPr>
          <w:rFonts w:ascii="Times New Roman" w:hAnsi="Times New Roman" w:cs="Times New Roman"/>
          <w:color w:val="000000" w:themeColor="text1"/>
          <w:lang w:eastAsia="en-GB"/>
        </w:rPr>
        <w:t>”</w:t>
      </w:r>
      <w:r w:rsidR="00476274" w:rsidRPr="00EE601A">
        <w:rPr>
          <w:rFonts w:ascii="Times New Roman" w:hAnsi="Times New Roman" w:cs="Times New Roman"/>
          <w:color w:val="000000" w:themeColor="text1"/>
          <w:lang w:eastAsia="en-GB"/>
        </w:rPr>
        <w:t xml:space="preserve"> is mainly referring to the performance of ESG integrated factors during adverse market conditions</w:t>
      </w:r>
      <w:r w:rsidR="009C652B" w:rsidRPr="00EE601A">
        <w:rPr>
          <w:rFonts w:ascii="Times New Roman" w:hAnsi="Times New Roman" w:cs="Times New Roman"/>
          <w:color w:val="000000" w:themeColor="text1"/>
          <w:lang w:eastAsia="en-GB"/>
        </w:rPr>
        <w:t xml:space="preserve">. In </w:t>
      </w:r>
      <w:r w:rsidR="00F82F08" w:rsidRPr="00EE601A">
        <w:rPr>
          <w:rFonts w:ascii="Times New Roman" w:hAnsi="Times New Roman" w:cs="Times New Roman"/>
          <w:color w:val="000000" w:themeColor="text1"/>
          <w:lang w:eastAsia="en-GB"/>
        </w:rPr>
        <w:t>Table 3</w:t>
      </w:r>
      <w:r w:rsidR="009C652B" w:rsidRPr="00EE601A">
        <w:rPr>
          <w:rFonts w:ascii="Times New Roman" w:hAnsi="Times New Roman" w:cs="Times New Roman"/>
          <w:color w:val="000000" w:themeColor="text1"/>
          <w:lang w:eastAsia="en-GB"/>
        </w:rPr>
        <w:t>,</w:t>
      </w:r>
      <w:r w:rsidR="00F82F08" w:rsidRPr="00EE601A">
        <w:rPr>
          <w:rFonts w:ascii="Times New Roman" w:hAnsi="Times New Roman" w:cs="Times New Roman"/>
          <w:color w:val="000000" w:themeColor="text1"/>
          <w:lang w:eastAsia="en-GB"/>
        </w:rPr>
        <w:t xml:space="preserve"> ESG integrated quality and momentum (M3) factors strongly outperform the non-integrated strategies during low growth, higher inflation and high credit risk periods.</w:t>
      </w:r>
      <w:r w:rsidR="009C652B" w:rsidRPr="00EE601A">
        <w:rPr>
          <w:rFonts w:ascii="Times New Roman" w:hAnsi="Times New Roman" w:cs="Times New Roman"/>
          <w:color w:val="000000" w:themeColor="text1"/>
          <w:lang w:eastAsia="en-GB"/>
        </w:rPr>
        <w:t xml:space="preserve"> However, for precision and better clarity, we have replaced the original statement to the above</w:t>
      </w:r>
      <w:r w:rsidR="00E24CF7" w:rsidRPr="00EE601A">
        <w:rPr>
          <w:rFonts w:ascii="Times New Roman" w:hAnsi="Times New Roman" w:cs="Times New Roman"/>
          <w:color w:val="000000" w:themeColor="text1"/>
          <w:lang w:eastAsia="en-GB"/>
        </w:rPr>
        <w:t xml:space="preserve"> on page 18 paragraph 3</w:t>
      </w:r>
      <w:r w:rsidR="009C652B" w:rsidRPr="00EE601A">
        <w:rPr>
          <w:rFonts w:ascii="Times New Roman" w:hAnsi="Times New Roman" w:cs="Times New Roman"/>
          <w:color w:val="000000" w:themeColor="text1"/>
          <w:lang w:eastAsia="en-GB"/>
        </w:rPr>
        <w:t>.</w:t>
      </w:r>
    </w:p>
    <w:p w14:paraId="438E0D11" w14:textId="538DF5FF" w:rsidR="00476274" w:rsidRPr="00EE601A" w:rsidRDefault="00476274" w:rsidP="00332F51">
      <w:pPr>
        <w:shd w:val="clear" w:color="auto" w:fill="FFFFFF"/>
        <w:jc w:val="both"/>
        <w:rPr>
          <w:rFonts w:ascii="Times New Roman" w:hAnsi="Times New Roman" w:cs="Times New Roman"/>
          <w:color w:val="000000" w:themeColor="text1"/>
          <w:lang w:eastAsia="en-GB"/>
        </w:rPr>
      </w:pPr>
    </w:p>
    <w:p w14:paraId="082322F0" w14:textId="77777777" w:rsidR="00DD7368" w:rsidRPr="00EE601A" w:rsidRDefault="00DD7368" w:rsidP="00332F51">
      <w:pPr>
        <w:shd w:val="clear" w:color="auto" w:fill="FFFFFF"/>
        <w:jc w:val="both"/>
        <w:rPr>
          <w:rFonts w:ascii="Times New Roman" w:hAnsi="Times New Roman" w:cs="Times New Roman"/>
          <w:color w:val="000000" w:themeColor="text1"/>
          <w:lang w:eastAsia="en-GB"/>
        </w:rPr>
      </w:pPr>
    </w:p>
    <w:p w14:paraId="2631D7A7" w14:textId="469577B4" w:rsidR="005E249D" w:rsidRPr="00EE601A" w:rsidRDefault="005E249D" w:rsidP="00332F51">
      <w:pPr>
        <w:shd w:val="clear" w:color="auto" w:fill="FFFFFF"/>
        <w:jc w:val="both"/>
        <w:rPr>
          <w:rFonts w:ascii="Times New Roman" w:hAnsi="Times New Roman" w:cs="Times New Roman"/>
          <w:b/>
          <w:color w:val="000000" w:themeColor="text1"/>
          <w:lang w:eastAsia="en-GB"/>
        </w:rPr>
      </w:pPr>
      <w:r w:rsidRPr="00EE601A">
        <w:rPr>
          <w:rFonts w:ascii="Times New Roman" w:hAnsi="Times New Roman" w:cs="Times New Roman"/>
          <w:b/>
          <w:color w:val="000000" w:themeColor="text1"/>
          <w:lang w:eastAsia="en-GB"/>
        </w:rPr>
        <w:t>Comment p:</w:t>
      </w:r>
    </w:p>
    <w:p w14:paraId="6F90598B" w14:textId="77777777" w:rsidR="005E249D" w:rsidRPr="00EE601A" w:rsidRDefault="005E249D" w:rsidP="00332F51">
      <w:pPr>
        <w:shd w:val="clear" w:color="auto" w:fill="FFFFFF"/>
        <w:jc w:val="both"/>
        <w:rPr>
          <w:rFonts w:ascii="Times New Roman" w:hAnsi="Times New Roman" w:cs="Times New Roman"/>
          <w:color w:val="000000" w:themeColor="text1"/>
          <w:lang w:eastAsia="en-GB"/>
        </w:rPr>
      </w:pPr>
    </w:p>
    <w:p w14:paraId="5FCDA4F6" w14:textId="6F1E1173" w:rsidR="00944961" w:rsidRPr="00EE601A" w:rsidRDefault="00944961" w:rsidP="00332F51">
      <w:pPr>
        <w:shd w:val="clear" w:color="auto" w:fill="FFFFFF"/>
        <w:jc w:val="both"/>
        <w:rPr>
          <w:rFonts w:ascii="Times New Roman" w:hAnsi="Times New Roman" w:cs="Times New Roman"/>
          <w:i/>
          <w:color w:val="000000" w:themeColor="text1"/>
          <w:lang w:eastAsia="en-GB"/>
        </w:rPr>
      </w:pPr>
      <w:r w:rsidRPr="00EE601A">
        <w:rPr>
          <w:rFonts w:ascii="Times New Roman" w:hAnsi="Times New Roman" w:cs="Times New Roman"/>
          <w:i/>
          <w:color w:val="000000" w:themeColor="text1"/>
          <w:lang w:eastAsia="en-GB"/>
        </w:rPr>
        <w:t>Panel D in Table 5 does not contain information on the past 12-month return (in contrast to Panel A to C).</w:t>
      </w:r>
    </w:p>
    <w:p w14:paraId="0FC81193" w14:textId="77777777" w:rsidR="005E249D" w:rsidRPr="00EE601A" w:rsidRDefault="005E249D" w:rsidP="00332F51">
      <w:pPr>
        <w:shd w:val="clear" w:color="auto" w:fill="FFFFFF"/>
        <w:jc w:val="both"/>
        <w:rPr>
          <w:rFonts w:ascii="Times New Roman" w:hAnsi="Times New Roman" w:cs="Times New Roman"/>
          <w:color w:val="000000" w:themeColor="text1"/>
          <w:lang w:eastAsia="en-GB"/>
        </w:rPr>
      </w:pPr>
    </w:p>
    <w:p w14:paraId="59628B09" w14:textId="1B453BD3" w:rsidR="00332F51" w:rsidRPr="00EE601A" w:rsidRDefault="00332F51" w:rsidP="00332F51">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 xml:space="preserve">We thank the referee for pointing this out. </w:t>
      </w:r>
      <w:r w:rsidR="00FC126A" w:rsidRPr="00EE601A">
        <w:rPr>
          <w:rFonts w:ascii="Times New Roman" w:hAnsi="Times New Roman" w:cs="Times New Roman"/>
          <w:color w:val="000000" w:themeColor="text1"/>
          <w:lang w:eastAsia="en-GB"/>
        </w:rPr>
        <w:t>In fact</w:t>
      </w:r>
      <w:r w:rsidRPr="00EE601A">
        <w:rPr>
          <w:rFonts w:ascii="Times New Roman" w:hAnsi="Times New Roman" w:cs="Times New Roman"/>
          <w:color w:val="000000" w:themeColor="text1"/>
          <w:lang w:eastAsia="en-GB"/>
        </w:rPr>
        <w:t xml:space="preserve">, this is </w:t>
      </w:r>
      <w:r w:rsidR="00DD1FDC" w:rsidRPr="00EE601A">
        <w:rPr>
          <w:rFonts w:ascii="Times New Roman" w:hAnsi="Times New Roman" w:cs="Times New Roman"/>
          <w:color w:val="000000" w:themeColor="text1"/>
          <w:lang w:eastAsia="en-GB"/>
        </w:rPr>
        <w:t>intended by the authors</w:t>
      </w:r>
      <w:r w:rsidRPr="00EE601A">
        <w:rPr>
          <w:rFonts w:ascii="Times New Roman" w:hAnsi="Times New Roman" w:cs="Times New Roman"/>
          <w:color w:val="000000" w:themeColor="text1"/>
          <w:lang w:eastAsia="en-GB"/>
        </w:rPr>
        <w:t>.</w:t>
      </w:r>
      <w:r w:rsidR="005E249D" w:rsidRPr="00EE601A">
        <w:rPr>
          <w:rFonts w:ascii="Times New Roman" w:hAnsi="Times New Roman" w:cs="Times New Roman"/>
          <w:color w:val="000000" w:themeColor="text1"/>
          <w:lang w:eastAsia="en-GB"/>
        </w:rPr>
        <w:t xml:space="preserve"> </w:t>
      </w:r>
    </w:p>
    <w:p w14:paraId="2E11B61F" w14:textId="77777777" w:rsidR="00332F51" w:rsidRPr="00EE601A" w:rsidRDefault="00332F51" w:rsidP="00332F51">
      <w:pPr>
        <w:shd w:val="clear" w:color="auto" w:fill="FFFFFF"/>
        <w:jc w:val="both"/>
        <w:rPr>
          <w:rFonts w:ascii="Times New Roman" w:hAnsi="Times New Roman" w:cs="Times New Roman"/>
          <w:color w:val="000000" w:themeColor="text1"/>
          <w:lang w:eastAsia="en-GB"/>
        </w:rPr>
      </w:pPr>
    </w:p>
    <w:p w14:paraId="1AF3A6BE" w14:textId="63A87825" w:rsidR="00A83079" w:rsidRPr="00EE601A" w:rsidRDefault="00A83079" w:rsidP="00A83079">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Pane A of Table 5 includes all metrics because we believe it is informative for readers to compare the results between ESG tilt strategies which ignore fundamental characteristics versus ESG integrated factor strategies constructed by fundamental factor signals.</w:t>
      </w:r>
    </w:p>
    <w:p w14:paraId="5116055F" w14:textId="77777777" w:rsidR="00A83079" w:rsidRPr="00EE601A" w:rsidRDefault="00A83079" w:rsidP="00A83079">
      <w:pPr>
        <w:shd w:val="clear" w:color="auto" w:fill="FFFFFF"/>
        <w:jc w:val="both"/>
        <w:rPr>
          <w:rFonts w:ascii="Times New Roman" w:hAnsi="Times New Roman" w:cs="Times New Roman"/>
          <w:color w:val="000000" w:themeColor="text1"/>
          <w:lang w:eastAsia="en-GB"/>
        </w:rPr>
      </w:pPr>
    </w:p>
    <w:p w14:paraId="7D9E3235" w14:textId="4BF8DDDB" w:rsidR="008E7712" w:rsidRPr="00EE601A" w:rsidRDefault="00332F51" w:rsidP="00332F51">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 xml:space="preserve">As noticed by the referee, only Returns, ESG and </w:t>
      </w:r>
      <w:proofErr w:type="gramStart"/>
      <w:r w:rsidRPr="00EE601A">
        <w:rPr>
          <w:rFonts w:ascii="Times New Roman" w:hAnsi="Times New Roman" w:cs="Times New Roman"/>
          <w:color w:val="000000" w:themeColor="text1"/>
          <w:lang w:eastAsia="en-GB"/>
        </w:rPr>
        <w:t>log(</w:t>
      </w:r>
      <w:proofErr w:type="gramEnd"/>
      <w:r w:rsidRPr="00EE601A">
        <w:rPr>
          <w:rFonts w:ascii="Times New Roman" w:hAnsi="Times New Roman" w:cs="Times New Roman"/>
          <w:color w:val="000000" w:themeColor="text1"/>
          <w:lang w:eastAsia="en-GB"/>
        </w:rPr>
        <w:t>Market-cap) are reported across all Panels, because they are relevant for all factors or strategies in terms of performance, ESG integration and portfolio weighting, respectively. For Panels B through to D, our intention is to assess the impact of ESG integration on each respective factor. i.e. ROE for quality, Past 12M return for momentum and log(market-cap) for size.</w:t>
      </w:r>
      <w:r w:rsidR="00A83079" w:rsidRPr="00EE601A">
        <w:rPr>
          <w:rFonts w:ascii="Times New Roman" w:hAnsi="Times New Roman" w:cs="Times New Roman"/>
          <w:color w:val="000000" w:themeColor="text1"/>
          <w:lang w:eastAsia="en-GB"/>
        </w:rPr>
        <w:t xml:space="preserve"> Therefore, only the respective sorting variable is reported.</w:t>
      </w:r>
    </w:p>
    <w:p w14:paraId="457FE1C5" w14:textId="77777777" w:rsidR="008E7712" w:rsidRPr="00EE601A" w:rsidRDefault="008E7712" w:rsidP="00332F51">
      <w:pPr>
        <w:shd w:val="clear" w:color="auto" w:fill="FFFFFF"/>
        <w:jc w:val="both"/>
        <w:rPr>
          <w:rFonts w:ascii="Times New Roman" w:hAnsi="Times New Roman" w:cs="Times New Roman"/>
          <w:color w:val="000000" w:themeColor="text1"/>
          <w:lang w:eastAsia="en-GB"/>
        </w:rPr>
      </w:pPr>
    </w:p>
    <w:p w14:paraId="55FED631" w14:textId="10799472" w:rsidR="004B1517" w:rsidRPr="00EE601A" w:rsidRDefault="004B1517" w:rsidP="00332F51">
      <w:pPr>
        <w:shd w:val="clear" w:color="auto" w:fill="FFFFFF"/>
        <w:jc w:val="both"/>
        <w:rPr>
          <w:rFonts w:ascii="Times New Roman" w:hAnsi="Times New Roman" w:cs="Times New Roman"/>
          <w:color w:val="000000" w:themeColor="text1"/>
          <w:lang w:eastAsia="en-GB"/>
        </w:rPr>
      </w:pPr>
    </w:p>
    <w:p w14:paraId="4BEE7A0E" w14:textId="77777777" w:rsidR="00B51C98" w:rsidRPr="00EE601A" w:rsidRDefault="00C76A5D" w:rsidP="00332F51">
      <w:pPr>
        <w:shd w:val="clear" w:color="auto" w:fill="FFFFFF"/>
        <w:jc w:val="both"/>
        <w:rPr>
          <w:rFonts w:ascii="Times New Roman" w:hAnsi="Times New Roman" w:cs="Times New Roman"/>
          <w:b/>
          <w:color w:val="000000" w:themeColor="text1"/>
          <w:lang w:eastAsia="en-GB"/>
        </w:rPr>
      </w:pPr>
      <w:r w:rsidRPr="00EE601A">
        <w:rPr>
          <w:rFonts w:ascii="Times New Roman" w:hAnsi="Times New Roman" w:cs="Times New Roman"/>
          <w:b/>
          <w:color w:val="000000" w:themeColor="text1"/>
          <w:lang w:eastAsia="en-GB"/>
        </w:rPr>
        <w:t>Comment q:</w:t>
      </w:r>
    </w:p>
    <w:p w14:paraId="6F3E4AE7" w14:textId="751F46DD" w:rsidR="00944961" w:rsidRPr="00EE601A" w:rsidRDefault="005E249D" w:rsidP="00332F51">
      <w:pPr>
        <w:shd w:val="clear" w:color="auto" w:fill="FFFFFF"/>
        <w:jc w:val="both"/>
        <w:rPr>
          <w:rFonts w:ascii="Times New Roman" w:hAnsi="Times New Roman" w:cs="Times New Roman"/>
          <w:b/>
          <w:color w:val="000000" w:themeColor="text1"/>
          <w:lang w:eastAsia="en-GB"/>
        </w:rPr>
      </w:pPr>
      <w:r w:rsidRPr="00EE601A">
        <w:rPr>
          <w:rFonts w:ascii="Times New Roman" w:hAnsi="Times New Roman" w:cs="Times New Roman"/>
          <w:color w:val="000000" w:themeColor="text1"/>
          <w:lang w:eastAsia="en-GB"/>
        </w:rPr>
        <w:br/>
      </w:r>
      <w:r w:rsidR="00944961" w:rsidRPr="00EE601A">
        <w:rPr>
          <w:rFonts w:ascii="Times New Roman" w:hAnsi="Times New Roman" w:cs="Times New Roman"/>
          <w:i/>
          <w:color w:val="000000" w:themeColor="text1"/>
          <w:lang w:eastAsia="en-GB"/>
        </w:rPr>
        <w:t>The explanation for the portfolio construction according to the BOS strategy in Section 4.7 can be improved. I recommend to simply use the same explanation as already used in the caption of Table 7.</w:t>
      </w:r>
    </w:p>
    <w:p w14:paraId="1903C390" w14:textId="77777777" w:rsidR="00C76A5D" w:rsidRPr="00EE601A" w:rsidRDefault="00C76A5D" w:rsidP="00332F51">
      <w:pPr>
        <w:shd w:val="clear" w:color="auto" w:fill="FFFFFF"/>
        <w:jc w:val="both"/>
        <w:rPr>
          <w:rFonts w:ascii="Times New Roman" w:hAnsi="Times New Roman" w:cs="Times New Roman"/>
          <w:color w:val="000000" w:themeColor="text1"/>
          <w:lang w:eastAsia="en-GB"/>
        </w:rPr>
      </w:pPr>
    </w:p>
    <w:p w14:paraId="7CFD4799" w14:textId="420306A0" w:rsidR="00713787" w:rsidRPr="00EE601A" w:rsidRDefault="0026226F" w:rsidP="00332F51">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lastRenderedPageBreak/>
        <w:t>Following the suggestion of the referee, w</w:t>
      </w:r>
      <w:r w:rsidR="00713787" w:rsidRPr="00EE601A">
        <w:rPr>
          <w:rFonts w:ascii="Times New Roman" w:hAnsi="Times New Roman" w:cs="Times New Roman"/>
          <w:color w:val="000000" w:themeColor="text1"/>
          <w:lang w:eastAsia="en-GB"/>
        </w:rPr>
        <w:t>e</w:t>
      </w:r>
      <w:r w:rsidRPr="00EE601A">
        <w:rPr>
          <w:rFonts w:ascii="Times New Roman" w:hAnsi="Times New Roman" w:cs="Times New Roman"/>
          <w:color w:val="000000" w:themeColor="text1"/>
          <w:lang w:eastAsia="en-GB"/>
        </w:rPr>
        <w:t xml:space="preserve"> have</w:t>
      </w:r>
      <w:r w:rsidR="00713787" w:rsidRPr="00EE601A">
        <w:rPr>
          <w:rFonts w:ascii="Times New Roman" w:hAnsi="Times New Roman" w:cs="Times New Roman"/>
          <w:color w:val="000000" w:themeColor="text1"/>
          <w:lang w:eastAsia="en-GB"/>
        </w:rPr>
        <w:t xml:space="preserve"> include</w:t>
      </w:r>
      <w:r w:rsidRPr="00EE601A">
        <w:rPr>
          <w:rFonts w:ascii="Times New Roman" w:hAnsi="Times New Roman" w:cs="Times New Roman"/>
          <w:color w:val="000000" w:themeColor="text1"/>
          <w:lang w:eastAsia="en-GB"/>
        </w:rPr>
        <w:t>d</w:t>
      </w:r>
      <w:r w:rsidR="00713787" w:rsidRPr="00EE601A">
        <w:rPr>
          <w:rFonts w:ascii="Times New Roman" w:hAnsi="Times New Roman" w:cs="Times New Roman"/>
          <w:color w:val="000000" w:themeColor="text1"/>
          <w:lang w:eastAsia="en-GB"/>
        </w:rPr>
        <w:t xml:space="preserve"> the description</w:t>
      </w:r>
      <w:r w:rsidR="00737281" w:rsidRPr="00EE601A">
        <w:rPr>
          <w:rFonts w:ascii="Times New Roman" w:hAnsi="Times New Roman" w:cs="Times New Roman"/>
          <w:color w:val="000000" w:themeColor="text1"/>
          <w:lang w:eastAsia="en-GB"/>
        </w:rPr>
        <w:t xml:space="preserve"> of BOS strategy</w:t>
      </w:r>
      <w:r w:rsidR="00713787" w:rsidRPr="00EE601A">
        <w:rPr>
          <w:rFonts w:ascii="Times New Roman" w:hAnsi="Times New Roman" w:cs="Times New Roman"/>
          <w:color w:val="000000" w:themeColor="text1"/>
          <w:lang w:eastAsia="en-GB"/>
        </w:rPr>
        <w:t xml:space="preserve"> in Table 7</w:t>
      </w:r>
      <w:r w:rsidR="00737281" w:rsidRPr="00EE601A">
        <w:rPr>
          <w:rFonts w:ascii="Times New Roman" w:hAnsi="Times New Roman" w:cs="Times New Roman"/>
          <w:color w:val="000000" w:themeColor="text1"/>
          <w:lang w:eastAsia="en-GB"/>
        </w:rPr>
        <w:t xml:space="preserve"> </w:t>
      </w:r>
      <w:r w:rsidR="00713787" w:rsidRPr="00EE601A">
        <w:rPr>
          <w:rFonts w:ascii="Times New Roman" w:hAnsi="Times New Roman" w:cs="Times New Roman"/>
          <w:color w:val="000000" w:themeColor="text1"/>
          <w:lang w:eastAsia="en-GB"/>
        </w:rPr>
        <w:t>into Section 4.7</w:t>
      </w:r>
      <w:r w:rsidR="008B4D2A" w:rsidRPr="00EE601A">
        <w:rPr>
          <w:rFonts w:ascii="Times New Roman" w:hAnsi="Times New Roman" w:cs="Times New Roman"/>
          <w:color w:val="000000" w:themeColor="text1"/>
          <w:lang w:eastAsia="en-GB"/>
        </w:rPr>
        <w:t xml:space="preserve"> on page (x</w:t>
      </w:r>
      <w:r w:rsidR="00737281" w:rsidRPr="00EE601A">
        <w:rPr>
          <w:rFonts w:ascii="Times New Roman" w:hAnsi="Times New Roman" w:cs="Times New Roman"/>
          <w:color w:val="000000" w:themeColor="text1"/>
          <w:lang w:eastAsia="en-GB"/>
        </w:rPr>
        <w:t>26</w:t>
      </w:r>
      <w:r w:rsidR="008B4D2A" w:rsidRPr="00EE601A">
        <w:rPr>
          <w:rFonts w:ascii="Times New Roman" w:hAnsi="Times New Roman" w:cs="Times New Roman"/>
          <w:color w:val="000000" w:themeColor="text1"/>
          <w:lang w:eastAsia="en-GB"/>
        </w:rPr>
        <w:t>) paragraph (y</w:t>
      </w:r>
      <w:r w:rsidR="00737281" w:rsidRPr="00EE601A">
        <w:rPr>
          <w:rFonts w:ascii="Times New Roman" w:hAnsi="Times New Roman" w:cs="Times New Roman"/>
          <w:color w:val="000000" w:themeColor="text1"/>
          <w:lang w:eastAsia="en-GB"/>
        </w:rPr>
        <w:t>3</w:t>
      </w:r>
      <w:r w:rsidR="008B4D2A" w:rsidRPr="00EE601A">
        <w:rPr>
          <w:rFonts w:ascii="Times New Roman" w:hAnsi="Times New Roman" w:cs="Times New Roman"/>
          <w:color w:val="000000" w:themeColor="text1"/>
          <w:lang w:eastAsia="en-GB"/>
        </w:rPr>
        <w:t>).</w:t>
      </w:r>
    </w:p>
    <w:p w14:paraId="40722130" w14:textId="5CC3A228" w:rsidR="00C76A5D" w:rsidRPr="00EE601A" w:rsidRDefault="00C76A5D" w:rsidP="00332F51">
      <w:pPr>
        <w:shd w:val="clear" w:color="auto" w:fill="FFFFFF"/>
        <w:jc w:val="both"/>
        <w:rPr>
          <w:rFonts w:ascii="Times New Roman" w:hAnsi="Times New Roman" w:cs="Times New Roman"/>
          <w:color w:val="000000" w:themeColor="text1"/>
          <w:lang w:eastAsia="en-GB"/>
        </w:rPr>
      </w:pPr>
    </w:p>
    <w:p w14:paraId="5830C806" w14:textId="77777777" w:rsidR="00B51C98" w:rsidRPr="00EE601A" w:rsidRDefault="00B51C98" w:rsidP="00332F51">
      <w:pPr>
        <w:shd w:val="clear" w:color="auto" w:fill="FFFFFF"/>
        <w:jc w:val="both"/>
        <w:rPr>
          <w:rFonts w:ascii="Times New Roman" w:hAnsi="Times New Roman" w:cs="Times New Roman"/>
          <w:color w:val="000000" w:themeColor="text1"/>
          <w:lang w:eastAsia="en-GB"/>
        </w:rPr>
      </w:pPr>
    </w:p>
    <w:p w14:paraId="20AAE8C9" w14:textId="382D98D0" w:rsidR="00713787" w:rsidRPr="00EE601A" w:rsidRDefault="00713787" w:rsidP="00332F51">
      <w:pPr>
        <w:shd w:val="clear" w:color="auto" w:fill="FFFFFF"/>
        <w:jc w:val="both"/>
        <w:rPr>
          <w:rFonts w:ascii="Times New Roman" w:hAnsi="Times New Roman" w:cs="Times New Roman"/>
          <w:b/>
          <w:color w:val="000000" w:themeColor="text1"/>
          <w:lang w:eastAsia="en-GB"/>
        </w:rPr>
      </w:pPr>
      <w:r w:rsidRPr="00EE601A">
        <w:rPr>
          <w:rFonts w:ascii="Times New Roman" w:hAnsi="Times New Roman" w:cs="Times New Roman"/>
          <w:b/>
          <w:color w:val="000000" w:themeColor="text1"/>
          <w:lang w:eastAsia="en-GB"/>
        </w:rPr>
        <w:t>Comment r:</w:t>
      </w:r>
    </w:p>
    <w:p w14:paraId="339EC215" w14:textId="77777777" w:rsidR="00713787" w:rsidRPr="00EE601A" w:rsidRDefault="00713787" w:rsidP="00332F51">
      <w:pPr>
        <w:shd w:val="clear" w:color="auto" w:fill="FFFFFF"/>
        <w:jc w:val="both"/>
        <w:rPr>
          <w:rFonts w:ascii="Times New Roman" w:hAnsi="Times New Roman" w:cs="Times New Roman"/>
          <w:color w:val="000000" w:themeColor="text1"/>
          <w:lang w:eastAsia="en-GB"/>
        </w:rPr>
      </w:pPr>
    </w:p>
    <w:p w14:paraId="43CC8271" w14:textId="0A1DC86D" w:rsidR="00944961" w:rsidRPr="00EE601A" w:rsidRDefault="00944961" w:rsidP="00332F51">
      <w:pPr>
        <w:shd w:val="clear" w:color="auto" w:fill="FFFFFF"/>
        <w:jc w:val="both"/>
        <w:rPr>
          <w:rFonts w:ascii="Times New Roman" w:hAnsi="Times New Roman" w:cs="Times New Roman"/>
          <w:i/>
          <w:color w:val="000000" w:themeColor="text1"/>
          <w:lang w:eastAsia="en-GB"/>
        </w:rPr>
      </w:pPr>
      <w:r w:rsidRPr="00EE601A">
        <w:rPr>
          <w:rFonts w:ascii="Times New Roman" w:hAnsi="Times New Roman" w:cs="Times New Roman"/>
          <w:i/>
          <w:color w:val="000000" w:themeColor="text1"/>
          <w:lang w:eastAsia="en-GB"/>
        </w:rPr>
        <w:t xml:space="preserve">Please define all relevant abbreviations, although readers of financial journals should be familiar with them (e.g. GICS). ROE is defined on page </w:t>
      </w:r>
      <w:proofErr w:type="gramStart"/>
      <w:r w:rsidRPr="00EE601A">
        <w:rPr>
          <w:rFonts w:ascii="Times New Roman" w:hAnsi="Times New Roman" w:cs="Times New Roman"/>
          <w:i/>
          <w:color w:val="000000" w:themeColor="text1"/>
          <w:lang w:eastAsia="en-GB"/>
        </w:rPr>
        <w:t>9, but</w:t>
      </w:r>
      <w:proofErr w:type="gramEnd"/>
      <w:r w:rsidRPr="00EE601A">
        <w:rPr>
          <w:rFonts w:ascii="Times New Roman" w:hAnsi="Times New Roman" w:cs="Times New Roman"/>
          <w:i/>
          <w:color w:val="000000" w:themeColor="text1"/>
          <w:lang w:eastAsia="en-GB"/>
        </w:rPr>
        <w:t xml:space="preserve"> is already used on page 5. The abbreviation “S” is used twice, i.e. for “Social” and “Standard”.</w:t>
      </w:r>
    </w:p>
    <w:p w14:paraId="6C887A37" w14:textId="77777777" w:rsidR="00713787" w:rsidRPr="00EE601A" w:rsidRDefault="00713787" w:rsidP="00332F51">
      <w:pPr>
        <w:shd w:val="clear" w:color="auto" w:fill="FFFFFF"/>
        <w:jc w:val="both"/>
        <w:rPr>
          <w:rFonts w:ascii="Times New Roman" w:hAnsi="Times New Roman" w:cs="Times New Roman"/>
          <w:color w:val="000000" w:themeColor="text1"/>
          <w:lang w:eastAsia="en-GB"/>
        </w:rPr>
      </w:pPr>
    </w:p>
    <w:p w14:paraId="4B673705" w14:textId="663ECD26" w:rsidR="00F10F51" w:rsidRPr="00EE601A" w:rsidRDefault="00F10F51" w:rsidP="00332F51">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We are grateful to the referee for pointing out these potential confusions.</w:t>
      </w:r>
    </w:p>
    <w:p w14:paraId="125126D0" w14:textId="3CB6E8C4" w:rsidR="00F10F51" w:rsidRPr="00EE601A" w:rsidRDefault="00F10F51" w:rsidP="00332F51">
      <w:pPr>
        <w:shd w:val="clear" w:color="auto" w:fill="FFFFFF"/>
        <w:jc w:val="both"/>
        <w:rPr>
          <w:rFonts w:ascii="Times New Roman" w:hAnsi="Times New Roman" w:cs="Times New Roman"/>
          <w:color w:val="000000" w:themeColor="text1"/>
          <w:lang w:eastAsia="en-GB"/>
        </w:rPr>
      </w:pPr>
    </w:p>
    <w:p w14:paraId="7B70E83B" w14:textId="1D9B1DA4" w:rsidR="00822868" w:rsidRPr="00EE601A" w:rsidRDefault="00F10F51" w:rsidP="00332F51">
      <w:pPr>
        <w:shd w:val="clear" w:color="auto" w:fill="FFFFFF"/>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To address these concerns, t</w:t>
      </w:r>
      <w:r w:rsidR="001025D9" w:rsidRPr="00EE601A">
        <w:rPr>
          <w:rFonts w:ascii="Times New Roman" w:hAnsi="Times New Roman" w:cs="Times New Roman"/>
          <w:color w:val="000000" w:themeColor="text1"/>
          <w:lang w:eastAsia="en-GB"/>
        </w:rPr>
        <w:t xml:space="preserve">he abbreviation for “Social” is amended to “Soc”. </w:t>
      </w:r>
      <w:r w:rsidR="004C346A" w:rsidRPr="00EE601A">
        <w:rPr>
          <w:rFonts w:ascii="Times New Roman" w:hAnsi="Times New Roman" w:cs="Times New Roman"/>
          <w:color w:val="000000" w:themeColor="text1"/>
          <w:lang w:eastAsia="en-GB"/>
        </w:rPr>
        <w:t>T</w:t>
      </w:r>
      <w:r w:rsidR="001025D9" w:rsidRPr="00EE601A">
        <w:rPr>
          <w:rFonts w:ascii="Times New Roman" w:hAnsi="Times New Roman" w:cs="Times New Roman"/>
          <w:color w:val="000000" w:themeColor="text1"/>
          <w:lang w:eastAsia="en-GB"/>
        </w:rPr>
        <w:t xml:space="preserve">o ensure consistency, “Environment” abbreviation is changed </w:t>
      </w:r>
      <w:r w:rsidR="004C346A" w:rsidRPr="00EE601A">
        <w:rPr>
          <w:rFonts w:ascii="Times New Roman" w:hAnsi="Times New Roman" w:cs="Times New Roman"/>
          <w:color w:val="000000" w:themeColor="text1"/>
          <w:lang w:eastAsia="en-GB"/>
        </w:rPr>
        <w:t xml:space="preserve">from “E” </w:t>
      </w:r>
      <w:r w:rsidR="001025D9" w:rsidRPr="00EE601A">
        <w:rPr>
          <w:rFonts w:ascii="Times New Roman" w:hAnsi="Times New Roman" w:cs="Times New Roman"/>
          <w:color w:val="000000" w:themeColor="text1"/>
          <w:lang w:eastAsia="en-GB"/>
        </w:rPr>
        <w:t xml:space="preserve">to “Env” and “Governance” is now defined as “Gov” instead of “G”. </w:t>
      </w:r>
      <w:r w:rsidRPr="00EE601A">
        <w:rPr>
          <w:rFonts w:ascii="Times New Roman" w:hAnsi="Times New Roman" w:cs="Times New Roman"/>
          <w:color w:val="000000" w:themeColor="text1"/>
          <w:lang w:eastAsia="en-GB"/>
        </w:rPr>
        <w:t xml:space="preserve">Thus, “S” </w:t>
      </w:r>
      <w:r w:rsidR="001025D9" w:rsidRPr="00EE601A">
        <w:rPr>
          <w:rFonts w:ascii="Times New Roman" w:hAnsi="Times New Roman" w:cs="Times New Roman"/>
          <w:color w:val="000000" w:themeColor="text1"/>
          <w:lang w:eastAsia="en-GB"/>
        </w:rPr>
        <w:t>remain</w:t>
      </w:r>
      <w:r w:rsidRPr="00EE601A">
        <w:rPr>
          <w:rFonts w:ascii="Times New Roman" w:hAnsi="Times New Roman" w:cs="Times New Roman"/>
          <w:color w:val="000000" w:themeColor="text1"/>
          <w:lang w:eastAsia="en-GB"/>
        </w:rPr>
        <w:t xml:space="preserve">s </w:t>
      </w:r>
      <w:r w:rsidR="004C346A" w:rsidRPr="00EE601A">
        <w:rPr>
          <w:rFonts w:ascii="Times New Roman" w:hAnsi="Times New Roman" w:cs="Times New Roman"/>
          <w:color w:val="000000" w:themeColor="text1"/>
          <w:lang w:eastAsia="en-GB"/>
        </w:rPr>
        <w:t>as</w:t>
      </w:r>
      <w:r w:rsidRPr="00EE601A">
        <w:rPr>
          <w:rFonts w:ascii="Times New Roman" w:hAnsi="Times New Roman" w:cs="Times New Roman"/>
          <w:color w:val="000000" w:themeColor="text1"/>
          <w:lang w:eastAsia="en-GB"/>
        </w:rPr>
        <w:t xml:space="preserve"> </w:t>
      </w:r>
      <w:r w:rsidR="004C346A" w:rsidRPr="00EE601A">
        <w:rPr>
          <w:rFonts w:ascii="Times New Roman" w:hAnsi="Times New Roman" w:cs="Times New Roman"/>
          <w:color w:val="000000" w:themeColor="text1"/>
          <w:lang w:eastAsia="en-GB"/>
        </w:rPr>
        <w:t>“</w:t>
      </w:r>
      <w:r w:rsidRPr="00EE601A">
        <w:rPr>
          <w:rFonts w:ascii="Times New Roman" w:hAnsi="Times New Roman" w:cs="Times New Roman"/>
          <w:color w:val="000000" w:themeColor="text1"/>
          <w:lang w:eastAsia="en-GB"/>
        </w:rPr>
        <w:t>standard</w:t>
      </w:r>
      <w:r w:rsidR="004C346A" w:rsidRPr="00EE601A">
        <w:rPr>
          <w:rFonts w:ascii="Times New Roman" w:hAnsi="Times New Roman" w:cs="Times New Roman"/>
          <w:color w:val="000000" w:themeColor="text1"/>
          <w:lang w:eastAsia="en-GB"/>
        </w:rPr>
        <w:t>”</w:t>
      </w:r>
      <w:r w:rsidR="001025D9" w:rsidRPr="00EE601A">
        <w:rPr>
          <w:rFonts w:ascii="Times New Roman" w:hAnsi="Times New Roman" w:cs="Times New Roman"/>
          <w:color w:val="000000" w:themeColor="text1"/>
          <w:lang w:eastAsia="en-GB"/>
        </w:rPr>
        <w:t xml:space="preserve"> in</w:t>
      </w:r>
      <w:r w:rsidR="004C346A" w:rsidRPr="00EE601A">
        <w:rPr>
          <w:rFonts w:ascii="Times New Roman" w:hAnsi="Times New Roman" w:cs="Times New Roman"/>
          <w:color w:val="000000" w:themeColor="text1"/>
          <w:lang w:eastAsia="en-GB"/>
        </w:rPr>
        <w:t xml:space="preserve"> the revised manuscript</w:t>
      </w:r>
      <w:r w:rsidR="001025D9" w:rsidRPr="00EE601A">
        <w:rPr>
          <w:rFonts w:ascii="Times New Roman" w:hAnsi="Times New Roman" w:cs="Times New Roman"/>
          <w:color w:val="000000" w:themeColor="text1"/>
          <w:lang w:eastAsia="en-GB"/>
        </w:rPr>
        <w:t>.</w:t>
      </w:r>
      <w:r w:rsidR="00373D5C" w:rsidRPr="00EE601A">
        <w:rPr>
          <w:rFonts w:ascii="Times New Roman" w:hAnsi="Times New Roman" w:cs="Times New Roman"/>
          <w:color w:val="000000" w:themeColor="text1"/>
          <w:lang w:eastAsia="en-GB"/>
        </w:rPr>
        <w:t xml:space="preserve"> </w:t>
      </w:r>
      <w:r w:rsidRPr="00EE601A">
        <w:rPr>
          <w:rFonts w:ascii="Times New Roman" w:hAnsi="Times New Roman" w:cs="Times New Roman"/>
          <w:color w:val="000000" w:themeColor="text1"/>
          <w:lang w:eastAsia="en-GB"/>
        </w:rPr>
        <w:t xml:space="preserve">Furthermore, </w:t>
      </w:r>
      <w:proofErr w:type="gramStart"/>
      <w:r w:rsidR="001025D9" w:rsidRPr="00EE601A">
        <w:rPr>
          <w:rFonts w:ascii="Times New Roman" w:hAnsi="Times New Roman" w:cs="Times New Roman"/>
          <w:color w:val="000000" w:themeColor="text1"/>
          <w:lang w:eastAsia="en-GB"/>
        </w:rPr>
        <w:t>Return</w:t>
      </w:r>
      <w:proofErr w:type="gramEnd"/>
      <w:r w:rsidR="001025D9" w:rsidRPr="00EE601A">
        <w:rPr>
          <w:rFonts w:ascii="Times New Roman" w:hAnsi="Times New Roman" w:cs="Times New Roman"/>
          <w:color w:val="000000" w:themeColor="text1"/>
          <w:lang w:eastAsia="en-GB"/>
        </w:rPr>
        <w:t xml:space="preserve"> on equity (ROE) is defined on page 3, paragraph</w:t>
      </w:r>
      <w:r w:rsidRPr="00EE601A">
        <w:rPr>
          <w:rFonts w:ascii="Times New Roman" w:hAnsi="Times New Roman" w:cs="Times New Roman"/>
          <w:color w:val="000000" w:themeColor="text1"/>
          <w:lang w:eastAsia="en-GB"/>
        </w:rPr>
        <w:t xml:space="preserve"> 3</w:t>
      </w:r>
      <w:r w:rsidR="001025D9" w:rsidRPr="00EE601A">
        <w:rPr>
          <w:rFonts w:ascii="Times New Roman" w:hAnsi="Times New Roman" w:cs="Times New Roman"/>
          <w:color w:val="000000" w:themeColor="text1"/>
          <w:lang w:eastAsia="en-GB"/>
        </w:rPr>
        <w:t>.</w:t>
      </w:r>
      <w:r w:rsidR="00373D5C" w:rsidRPr="00EE601A">
        <w:rPr>
          <w:rFonts w:ascii="Times New Roman" w:hAnsi="Times New Roman" w:cs="Times New Roman"/>
          <w:color w:val="000000" w:themeColor="text1"/>
          <w:lang w:eastAsia="en-GB"/>
        </w:rPr>
        <w:t xml:space="preserve">  </w:t>
      </w:r>
      <w:r w:rsidR="001025D9" w:rsidRPr="00EE601A">
        <w:rPr>
          <w:rFonts w:ascii="Times New Roman" w:hAnsi="Times New Roman" w:cs="Times New Roman"/>
          <w:color w:val="000000" w:themeColor="text1"/>
          <w:lang w:eastAsia="en-GB"/>
        </w:rPr>
        <w:t>Global Industry Classification Standard (GICS)</w:t>
      </w:r>
      <w:r w:rsidR="00004DFF" w:rsidRPr="00EE601A">
        <w:rPr>
          <w:rFonts w:ascii="Times New Roman" w:hAnsi="Times New Roman" w:cs="Times New Roman"/>
          <w:color w:val="000000" w:themeColor="text1"/>
          <w:lang w:eastAsia="en-GB"/>
        </w:rPr>
        <w:t xml:space="preserve">, Securities Industry Research Centre of Asia-Pacific (SIRCA) and Share Price &amp; Price Relatives (SPPR) </w:t>
      </w:r>
      <w:r w:rsidR="004C346A" w:rsidRPr="00EE601A">
        <w:rPr>
          <w:rFonts w:ascii="Times New Roman" w:hAnsi="Times New Roman" w:cs="Times New Roman"/>
          <w:color w:val="000000" w:themeColor="text1"/>
          <w:lang w:eastAsia="en-GB"/>
        </w:rPr>
        <w:t>are</w:t>
      </w:r>
      <w:r w:rsidR="001025D9" w:rsidRPr="00EE601A">
        <w:rPr>
          <w:rFonts w:ascii="Times New Roman" w:hAnsi="Times New Roman" w:cs="Times New Roman"/>
          <w:color w:val="000000" w:themeColor="text1"/>
          <w:lang w:eastAsia="en-GB"/>
        </w:rPr>
        <w:t xml:space="preserve"> defined on page 5, paragraph</w:t>
      </w:r>
      <w:r w:rsidR="00584214" w:rsidRPr="00EE601A">
        <w:rPr>
          <w:rFonts w:ascii="Times New Roman" w:hAnsi="Times New Roman" w:cs="Times New Roman"/>
          <w:color w:val="000000" w:themeColor="text1"/>
          <w:lang w:eastAsia="en-GB"/>
        </w:rPr>
        <w:t xml:space="preserve"> 3</w:t>
      </w:r>
      <w:r w:rsidR="001025D9" w:rsidRPr="00EE601A">
        <w:rPr>
          <w:rFonts w:ascii="Times New Roman" w:hAnsi="Times New Roman" w:cs="Times New Roman"/>
          <w:color w:val="000000" w:themeColor="text1"/>
          <w:lang w:eastAsia="en-GB"/>
        </w:rPr>
        <w:t>.</w:t>
      </w:r>
    </w:p>
    <w:p w14:paraId="41A5724D" w14:textId="09E59873" w:rsidR="004B1517" w:rsidRPr="00EE601A" w:rsidRDefault="004B1517" w:rsidP="00332F51">
      <w:pPr>
        <w:shd w:val="clear" w:color="auto" w:fill="FFFFFF"/>
        <w:jc w:val="both"/>
        <w:rPr>
          <w:rFonts w:ascii="Times New Roman" w:hAnsi="Times New Roman" w:cs="Times New Roman"/>
          <w:color w:val="000000" w:themeColor="text1"/>
          <w:lang w:eastAsia="en-GB"/>
        </w:rPr>
      </w:pPr>
    </w:p>
    <w:p w14:paraId="48162A53" w14:textId="77777777" w:rsidR="00C513C8" w:rsidRPr="00EE601A" w:rsidRDefault="00C513C8" w:rsidP="00332F51">
      <w:pPr>
        <w:shd w:val="clear" w:color="auto" w:fill="FFFFFF"/>
        <w:jc w:val="both"/>
        <w:rPr>
          <w:rFonts w:ascii="Times New Roman" w:hAnsi="Times New Roman" w:cs="Times New Roman"/>
          <w:color w:val="000000" w:themeColor="text1"/>
          <w:lang w:eastAsia="en-GB"/>
        </w:rPr>
      </w:pPr>
    </w:p>
    <w:p w14:paraId="1C125B0D" w14:textId="19F38812" w:rsidR="00373D5C" w:rsidRPr="00EE601A" w:rsidRDefault="00373D5C" w:rsidP="00332F51">
      <w:pPr>
        <w:shd w:val="clear" w:color="auto" w:fill="FFFFFF"/>
        <w:jc w:val="both"/>
        <w:rPr>
          <w:rFonts w:ascii="Times New Roman" w:hAnsi="Times New Roman" w:cs="Times New Roman"/>
          <w:b/>
          <w:color w:val="000000" w:themeColor="text1"/>
          <w:lang w:eastAsia="en-GB"/>
        </w:rPr>
      </w:pPr>
      <w:r w:rsidRPr="00EE601A">
        <w:rPr>
          <w:rFonts w:ascii="Times New Roman" w:hAnsi="Times New Roman" w:cs="Times New Roman"/>
          <w:b/>
          <w:color w:val="000000" w:themeColor="text1"/>
          <w:lang w:eastAsia="en-GB"/>
        </w:rPr>
        <w:t>Comment s:</w:t>
      </w:r>
    </w:p>
    <w:p w14:paraId="5ED14551" w14:textId="77777777" w:rsidR="00373D5C" w:rsidRPr="00EE601A" w:rsidRDefault="00373D5C" w:rsidP="00332F51">
      <w:pPr>
        <w:shd w:val="clear" w:color="auto" w:fill="FFFFFF"/>
        <w:jc w:val="both"/>
        <w:rPr>
          <w:rFonts w:ascii="Times New Roman" w:hAnsi="Times New Roman" w:cs="Times New Roman"/>
          <w:color w:val="000000" w:themeColor="text1"/>
          <w:lang w:eastAsia="en-GB"/>
        </w:rPr>
      </w:pPr>
    </w:p>
    <w:p w14:paraId="17B51314" w14:textId="25776741" w:rsidR="00944961" w:rsidRPr="00EE601A" w:rsidRDefault="00373D5C" w:rsidP="00332F51">
      <w:pPr>
        <w:shd w:val="clear" w:color="auto" w:fill="FFFFFF"/>
        <w:jc w:val="both"/>
        <w:rPr>
          <w:rFonts w:ascii="Times New Roman" w:hAnsi="Times New Roman" w:cs="Times New Roman"/>
          <w:i/>
          <w:color w:val="000000" w:themeColor="text1"/>
          <w:lang w:eastAsia="en-GB"/>
        </w:rPr>
      </w:pPr>
      <w:r w:rsidRPr="00EE601A">
        <w:rPr>
          <w:rFonts w:ascii="Times New Roman" w:hAnsi="Times New Roman" w:cs="Times New Roman"/>
          <w:i/>
          <w:color w:val="000000" w:themeColor="text1"/>
          <w:lang w:eastAsia="en-GB"/>
        </w:rPr>
        <w:t>The following sentence on</w:t>
      </w:r>
      <w:r w:rsidR="00944961" w:rsidRPr="00EE601A">
        <w:rPr>
          <w:rFonts w:ascii="Times New Roman" w:hAnsi="Times New Roman" w:cs="Times New Roman"/>
          <w:i/>
          <w:color w:val="000000" w:themeColor="text1"/>
          <w:lang w:eastAsia="en-GB"/>
        </w:rPr>
        <w:t xml:space="preserve"> page 6 needs to be revised: “As high polluting industries face greater pressure from government regulatory bodies and environmental groups in relation to their environmental and social impact report lower average ESG scores.”</w:t>
      </w:r>
    </w:p>
    <w:p w14:paraId="18A99A91" w14:textId="77777777" w:rsidR="00945C02" w:rsidRPr="00EE601A" w:rsidRDefault="00945C02" w:rsidP="00332F51">
      <w:pPr>
        <w:jc w:val="both"/>
        <w:rPr>
          <w:color w:val="000000" w:themeColor="text1"/>
        </w:rPr>
      </w:pPr>
    </w:p>
    <w:p w14:paraId="50595147" w14:textId="0F8B48C6" w:rsidR="009843FF" w:rsidRPr="00EE601A" w:rsidRDefault="001454D2" w:rsidP="00332F51">
      <w:pPr>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W</w:t>
      </w:r>
      <w:r w:rsidR="009843FF" w:rsidRPr="00EE601A">
        <w:rPr>
          <w:rFonts w:ascii="Times New Roman" w:hAnsi="Times New Roman" w:cs="Times New Roman"/>
          <w:color w:val="000000" w:themeColor="text1"/>
          <w:lang w:eastAsia="en-GB"/>
        </w:rPr>
        <w:t xml:space="preserve">e are </w:t>
      </w:r>
      <w:r w:rsidR="00B51C98" w:rsidRPr="00EE601A">
        <w:rPr>
          <w:rFonts w:ascii="Times New Roman" w:hAnsi="Times New Roman" w:cs="Times New Roman"/>
          <w:color w:val="000000" w:themeColor="text1"/>
          <w:lang w:eastAsia="en-GB"/>
        </w:rPr>
        <w:t xml:space="preserve">extremely </w:t>
      </w:r>
      <w:r w:rsidR="009843FF" w:rsidRPr="00EE601A">
        <w:rPr>
          <w:rFonts w:ascii="Times New Roman" w:hAnsi="Times New Roman" w:cs="Times New Roman"/>
          <w:color w:val="000000" w:themeColor="text1"/>
          <w:lang w:eastAsia="en-GB"/>
        </w:rPr>
        <w:t>grateful</w:t>
      </w:r>
      <w:r w:rsidRPr="00EE601A">
        <w:rPr>
          <w:rFonts w:ascii="Times New Roman" w:hAnsi="Times New Roman" w:cs="Times New Roman"/>
          <w:color w:val="000000" w:themeColor="text1"/>
          <w:lang w:eastAsia="en-GB"/>
        </w:rPr>
        <w:t xml:space="preserve"> to </w:t>
      </w:r>
      <w:r w:rsidR="009843FF" w:rsidRPr="00EE601A">
        <w:rPr>
          <w:rFonts w:ascii="Times New Roman" w:hAnsi="Times New Roman" w:cs="Times New Roman"/>
          <w:color w:val="000000" w:themeColor="text1"/>
          <w:lang w:eastAsia="en-GB"/>
        </w:rPr>
        <w:t>referee</w:t>
      </w:r>
      <w:r w:rsidRPr="00EE601A">
        <w:rPr>
          <w:rFonts w:ascii="Times New Roman" w:hAnsi="Times New Roman" w:cs="Times New Roman"/>
          <w:color w:val="000000" w:themeColor="text1"/>
          <w:lang w:eastAsia="en-GB"/>
        </w:rPr>
        <w:t xml:space="preserve"> for her/his persistent efforts in improv</w:t>
      </w:r>
      <w:r w:rsidR="00B51C98" w:rsidRPr="00EE601A">
        <w:rPr>
          <w:rFonts w:ascii="Times New Roman" w:hAnsi="Times New Roman" w:cs="Times New Roman"/>
          <w:color w:val="000000" w:themeColor="text1"/>
          <w:lang w:eastAsia="en-GB"/>
        </w:rPr>
        <w:t>ing</w:t>
      </w:r>
      <w:r w:rsidRPr="00EE601A">
        <w:rPr>
          <w:rFonts w:ascii="Times New Roman" w:hAnsi="Times New Roman" w:cs="Times New Roman"/>
          <w:color w:val="000000" w:themeColor="text1"/>
          <w:lang w:eastAsia="en-GB"/>
        </w:rPr>
        <w:t xml:space="preserve"> the manuscript</w:t>
      </w:r>
      <w:r w:rsidR="009843FF" w:rsidRPr="00EE601A">
        <w:rPr>
          <w:rFonts w:ascii="Times New Roman" w:hAnsi="Times New Roman" w:cs="Times New Roman"/>
          <w:color w:val="000000" w:themeColor="text1"/>
          <w:lang w:eastAsia="en-GB"/>
        </w:rPr>
        <w:t>. To address this potential confusion, th</w:t>
      </w:r>
      <w:r w:rsidR="00644CB6" w:rsidRPr="00EE601A">
        <w:rPr>
          <w:rFonts w:ascii="Times New Roman" w:hAnsi="Times New Roman" w:cs="Times New Roman"/>
          <w:color w:val="000000" w:themeColor="text1"/>
          <w:lang w:eastAsia="en-GB"/>
        </w:rPr>
        <w:t>e statement has been revised to the following</w:t>
      </w:r>
      <w:r w:rsidR="009843FF" w:rsidRPr="00EE601A">
        <w:rPr>
          <w:rFonts w:ascii="Times New Roman" w:hAnsi="Times New Roman" w:cs="Times New Roman"/>
          <w:color w:val="000000" w:themeColor="text1"/>
          <w:lang w:eastAsia="en-GB"/>
        </w:rPr>
        <w:t>:</w:t>
      </w:r>
      <w:r w:rsidR="00644CB6" w:rsidRPr="00EE601A">
        <w:rPr>
          <w:rFonts w:ascii="Times New Roman" w:hAnsi="Times New Roman" w:cs="Times New Roman"/>
          <w:color w:val="000000" w:themeColor="text1"/>
          <w:lang w:eastAsia="en-GB"/>
        </w:rPr>
        <w:t xml:space="preserve"> </w:t>
      </w:r>
    </w:p>
    <w:p w14:paraId="64BEBF4E" w14:textId="77777777" w:rsidR="009843FF" w:rsidRPr="00EE601A" w:rsidRDefault="009843FF" w:rsidP="00332F51">
      <w:pPr>
        <w:jc w:val="both"/>
        <w:rPr>
          <w:rFonts w:ascii="Times New Roman" w:hAnsi="Times New Roman" w:cs="Times New Roman"/>
          <w:color w:val="000000" w:themeColor="text1"/>
          <w:lang w:eastAsia="en-GB"/>
        </w:rPr>
      </w:pPr>
    </w:p>
    <w:p w14:paraId="6171A4B2" w14:textId="451A0E2B" w:rsidR="006E18A7" w:rsidRPr="00EE601A" w:rsidRDefault="00644CB6" w:rsidP="00332F51">
      <w:pPr>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“As high polluting industries face greater pressure from government regulatory bodies and environmental groups, these industries should continually seek to improve their ESG</w:t>
      </w:r>
      <w:r w:rsidR="009657D8" w:rsidRPr="00EE601A">
        <w:rPr>
          <w:rFonts w:ascii="Times New Roman" w:hAnsi="Times New Roman" w:cs="Times New Roman"/>
          <w:color w:val="000000" w:themeColor="text1"/>
          <w:lang w:eastAsia="en-GB"/>
        </w:rPr>
        <w:t xml:space="preserve"> performance and</w:t>
      </w:r>
      <w:r w:rsidRPr="00EE601A">
        <w:rPr>
          <w:rFonts w:ascii="Times New Roman" w:hAnsi="Times New Roman" w:cs="Times New Roman"/>
          <w:color w:val="000000" w:themeColor="text1"/>
          <w:lang w:eastAsia="en-GB"/>
        </w:rPr>
        <w:t xml:space="preserve"> reporting.”</w:t>
      </w:r>
    </w:p>
    <w:p w14:paraId="134707F8" w14:textId="75CE4DB2" w:rsidR="004D0D62" w:rsidRPr="00EE601A" w:rsidRDefault="004D0D62" w:rsidP="00332F51">
      <w:pPr>
        <w:jc w:val="both"/>
        <w:rPr>
          <w:rFonts w:ascii="Times New Roman" w:hAnsi="Times New Roman" w:cs="Times New Roman"/>
          <w:color w:val="000000" w:themeColor="text1"/>
          <w:lang w:eastAsia="en-GB"/>
        </w:rPr>
      </w:pPr>
    </w:p>
    <w:p w14:paraId="06879C6E" w14:textId="1B88D7B1" w:rsidR="009843FF" w:rsidRPr="00EE601A" w:rsidRDefault="009843FF" w:rsidP="00332F51">
      <w:pPr>
        <w:jc w:val="both"/>
        <w:rPr>
          <w:rFonts w:ascii="Times New Roman" w:hAnsi="Times New Roman" w:cs="Times New Roman"/>
          <w:color w:val="000000" w:themeColor="text1"/>
          <w:lang w:eastAsia="en-GB"/>
        </w:rPr>
      </w:pPr>
    </w:p>
    <w:p w14:paraId="6BC76FD3" w14:textId="77777777" w:rsidR="009843FF" w:rsidRPr="00EE601A" w:rsidRDefault="009843FF" w:rsidP="00420357">
      <w:pPr>
        <w:contextualSpacing/>
        <w:jc w:val="both"/>
        <w:rPr>
          <w:rFonts w:ascii="Times New Roman" w:hAnsi="Times New Roman" w:cs="Times New Roman"/>
          <w:color w:val="000000" w:themeColor="text1"/>
          <w:lang w:eastAsia="en-GB"/>
        </w:rPr>
      </w:pPr>
    </w:p>
    <w:p w14:paraId="2B70EF3F" w14:textId="77777777" w:rsidR="00373D5C" w:rsidRPr="00EE601A" w:rsidRDefault="00373D5C" w:rsidP="00420357">
      <w:pPr>
        <w:pStyle w:val="Heading1"/>
        <w:spacing w:before="0" w:after="0"/>
        <w:contextualSpacing/>
      </w:pPr>
      <w:r w:rsidRPr="00EE601A">
        <w:t>FINAL COMMENT</w:t>
      </w:r>
    </w:p>
    <w:p w14:paraId="4FF8742A" w14:textId="77777777" w:rsidR="004B1517" w:rsidRPr="00EE601A" w:rsidRDefault="004B1517" w:rsidP="00420357">
      <w:pPr>
        <w:contextualSpacing/>
        <w:jc w:val="both"/>
        <w:rPr>
          <w:rFonts w:ascii="Times New Roman" w:hAnsi="Times New Roman" w:cs="Times New Roman"/>
          <w:color w:val="000000" w:themeColor="text1"/>
          <w:lang w:eastAsia="en-GB"/>
        </w:rPr>
      </w:pPr>
    </w:p>
    <w:p w14:paraId="0C6AF09E" w14:textId="4042134B" w:rsidR="00373D5C" w:rsidRPr="00332F51" w:rsidRDefault="009843FF" w:rsidP="00420357">
      <w:pPr>
        <w:contextualSpacing/>
        <w:jc w:val="both"/>
        <w:rPr>
          <w:rFonts w:ascii="Times New Roman" w:hAnsi="Times New Roman" w:cs="Times New Roman"/>
          <w:color w:val="000000" w:themeColor="text1"/>
          <w:lang w:eastAsia="en-GB"/>
        </w:rPr>
      </w:pPr>
      <w:r w:rsidRPr="00EE601A">
        <w:rPr>
          <w:rFonts w:ascii="Times New Roman" w:hAnsi="Times New Roman" w:cs="Times New Roman"/>
          <w:color w:val="000000" w:themeColor="text1"/>
          <w:lang w:eastAsia="en-GB"/>
        </w:rPr>
        <w:t>We are indebted to the referee for helping us improve the quality of</w:t>
      </w:r>
      <w:r w:rsidR="009572BB" w:rsidRPr="00EE601A">
        <w:rPr>
          <w:rFonts w:ascii="Times New Roman" w:hAnsi="Times New Roman" w:cs="Times New Roman"/>
          <w:color w:val="000000" w:themeColor="text1"/>
          <w:lang w:eastAsia="en-GB"/>
        </w:rPr>
        <w:t xml:space="preserve"> the paper</w:t>
      </w:r>
      <w:r w:rsidRPr="00EE601A">
        <w:rPr>
          <w:rFonts w:ascii="Times New Roman" w:hAnsi="Times New Roman" w:cs="Times New Roman"/>
          <w:color w:val="000000" w:themeColor="text1"/>
          <w:lang w:eastAsia="en-GB"/>
        </w:rPr>
        <w:t xml:space="preserve">. </w:t>
      </w:r>
      <w:r w:rsidR="00373D5C" w:rsidRPr="00EE601A">
        <w:rPr>
          <w:rFonts w:ascii="Times New Roman" w:hAnsi="Times New Roman" w:cs="Times New Roman"/>
          <w:color w:val="000000" w:themeColor="text1"/>
          <w:lang w:eastAsia="en-GB"/>
        </w:rPr>
        <w:t xml:space="preserve">We </w:t>
      </w:r>
      <w:r w:rsidR="00B51C98" w:rsidRPr="00EE601A">
        <w:rPr>
          <w:rFonts w:ascii="Times New Roman" w:hAnsi="Times New Roman" w:cs="Times New Roman"/>
          <w:color w:val="000000" w:themeColor="text1"/>
          <w:lang w:eastAsia="en-GB"/>
        </w:rPr>
        <w:t xml:space="preserve">would like </w:t>
      </w:r>
      <w:r w:rsidR="00373D5C" w:rsidRPr="00EE601A">
        <w:rPr>
          <w:rFonts w:ascii="Times New Roman" w:hAnsi="Times New Roman" w:cs="Times New Roman"/>
          <w:color w:val="000000" w:themeColor="text1"/>
          <w:lang w:eastAsia="en-GB"/>
        </w:rPr>
        <w:t xml:space="preserve">to </w:t>
      </w:r>
      <w:r w:rsidRPr="00EE601A">
        <w:rPr>
          <w:rFonts w:ascii="Times New Roman" w:hAnsi="Times New Roman" w:cs="Times New Roman"/>
          <w:color w:val="000000" w:themeColor="text1"/>
          <w:lang w:eastAsia="en-GB"/>
        </w:rPr>
        <w:t xml:space="preserve">sincerely </w:t>
      </w:r>
      <w:r w:rsidR="00373D5C" w:rsidRPr="00EE601A">
        <w:rPr>
          <w:rFonts w:ascii="Times New Roman" w:hAnsi="Times New Roman" w:cs="Times New Roman"/>
          <w:color w:val="000000" w:themeColor="text1"/>
          <w:lang w:eastAsia="en-GB"/>
        </w:rPr>
        <w:t xml:space="preserve">thank the anonymous referee again for her/his constructive </w:t>
      </w:r>
      <w:r w:rsidR="00B51C98" w:rsidRPr="00EE601A">
        <w:rPr>
          <w:rFonts w:ascii="Times New Roman" w:hAnsi="Times New Roman" w:cs="Times New Roman"/>
          <w:color w:val="000000" w:themeColor="text1"/>
          <w:lang w:eastAsia="en-GB"/>
        </w:rPr>
        <w:t>feedback</w:t>
      </w:r>
      <w:r w:rsidR="00373D5C" w:rsidRPr="00EE601A">
        <w:rPr>
          <w:rFonts w:ascii="Times New Roman" w:hAnsi="Times New Roman" w:cs="Times New Roman"/>
          <w:color w:val="000000" w:themeColor="text1"/>
          <w:lang w:eastAsia="en-GB"/>
        </w:rPr>
        <w:t>. We have made our best efforts to address these comments, we hope that our revisions meet your expectations. We have no doubts that the paper has benefited significantly from this exercise.</w:t>
      </w:r>
      <w:r w:rsidR="00373D5C" w:rsidRPr="00332F51">
        <w:rPr>
          <w:rFonts w:ascii="Times New Roman" w:hAnsi="Times New Roman" w:cs="Times New Roman"/>
          <w:color w:val="000000" w:themeColor="text1"/>
          <w:lang w:eastAsia="en-GB"/>
        </w:rPr>
        <w:t xml:space="preserve"> </w:t>
      </w:r>
    </w:p>
    <w:p w14:paraId="542F08C9" w14:textId="77777777" w:rsidR="00373D5C" w:rsidRPr="00596091" w:rsidRDefault="00373D5C">
      <w:pPr>
        <w:rPr>
          <w:color w:val="000000" w:themeColor="text1"/>
        </w:rPr>
      </w:pPr>
    </w:p>
    <w:sectPr w:rsidR="00373D5C" w:rsidRPr="00596091" w:rsidSect="00780D5A">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5ECFB" w14:textId="77777777" w:rsidR="00D24F0D" w:rsidRDefault="00D24F0D" w:rsidP="004B1517">
      <w:r>
        <w:separator/>
      </w:r>
    </w:p>
  </w:endnote>
  <w:endnote w:type="continuationSeparator" w:id="0">
    <w:p w14:paraId="3FBB97E2" w14:textId="77777777" w:rsidR="00D24F0D" w:rsidRDefault="00D24F0D" w:rsidP="004B1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PingFang SC">
    <w:altName w:val="PingFang SC"/>
    <w:panose1 w:val="020B0400000000000000"/>
    <w:charset w:val="86"/>
    <w:family w:val="swiss"/>
    <w:pitch w:val="variable"/>
    <w:sig w:usb0="A00002FF" w:usb1="7ACFFDFB" w:usb2="00000017"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879356056"/>
      <w:docPartObj>
        <w:docPartGallery w:val="Page Numbers (Bottom of Page)"/>
        <w:docPartUnique/>
      </w:docPartObj>
    </w:sdtPr>
    <w:sdtEndPr>
      <w:rPr>
        <w:noProof/>
      </w:rPr>
    </w:sdtEndPr>
    <w:sdtContent>
      <w:p w14:paraId="4454D545" w14:textId="4DD1B153" w:rsidR="004B1517" w:rsidRPr="004B1517" w:rsidRDefault="004B1517" w:rsidP="004B1517">
        <w:pPr>
          <w:pStyle w:val="Footer"/>
          <w:jc w:val="center"/>
          <w:rPr>
            <w:rFonts w:ascii="Times New Roman" w:hAnsi="Times New Roman" w:cs="Times New Roman"/>
          </w:rPr>
        </w:pPr>
        <w:r w:rsidRPr="004B1517">
          <w:rPr>
            <w:rFonts w:ascii="Times New Roman" w:hAnsi="Times New Roman" w:cs="Times New Roman"/>
          </w:rPr>
          <w:fldChar w:fldCharType="begin"/>
        </w:r>
        <w:r w:rsidRPr="004B1517">
          <w:rPr>
            <w:rFonts w:ascii="Times New Roman" w:hAnsi="Times New Roman" w:cs="Times New Roman"/>
          </w:rPr>
          <w:instrText xml:space="preserve"> PAGE   \* MERGEFORMAT </w:instrText>
        </w:r>
        <w:r w:rsidRPr="004B1517">
          <w:rPr>
            <w:rFonts w:ascii="Times New Roman" w:hAnsi="Times New Roman" w:cs="Times New Roman"/>
          </w:rPr>
          <w:fldChar w:fldCharType="separate"/>
        </w:r>
        <w:r w:rsidRPr="004B1517">
          <w:rPr>
            <w:rFonts w:ascii="Times New Roman" w:hAnsi="Times New Roman" w:cs="Times New Roman"/>
            <w:noProof/>
          </w:rPr>
          <w:t>2</w:t>
        </w:r>
        <w:r w:rsidRPr="004B1517">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A6B2F" w14:textId="77777777" w:rsidR="00D24F0D" w:rsidRDefault="00D24F0D" w:rsidP="004B1517">
      <w:r>
        <w:separator/>
      </w:r>
    </w:p>
  </w:footnote>
  <w:footnote w:type="continuationSeparator" w:id="0">
    <w:p w14:paraId="0D3546AC" w14:textId="77777777" w:rsidR="00D24F0D" w:rsidRDefault="00D24F0D" w:rsidP="004B1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D2B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6F87A29"/>
    <w:multiLevelType w:val="multilevel"/>
    <w:tmpl w:val="A66E77BE"/>
    <w:lvl w:ilvl="0">
      <w:start w:val="1"/>
      <w:numFmt w:val="decimal"/>
      <w:lvlText w:val="%1."/>
      <w:lvlJc w:val="left"/>
      <w:pPr>
        <w:tabs>
          <w:tab w:val="num" w:pos="720"/>
        </w:tabs>
        <w:ind w:left="720" w:hanging="720"/>
      </w:pPr>
    </w:lvl>
    <w:lvl w:ilvl="1">
      <w:start w:val="1"/>
      <w:numFmt w:val="decimal"/>
      <w:pStyle w:val="Heading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05778A4"/>
    <w:multiLevelType w:val="multilevel"/>
    <w:tmpl w:val="0512CA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61"/>
    <w:rsid w:val="0000237D"/>
    <w:rsid w:val="00004DFF"/>
    <w:rsid w:val="00022072"/>
    <w:rsid w:val="0002476D"/>
    <w:rsid w:val="0006146C"/>
    <w:rsid w:val="00082988"/>
    <w:rsid w:val="00085170"/>
    <w:rsid w:val="000E4FA4"/>
    <w:rsid w:val="001025D9"/>
    <w:rsid w:val="001454D2"/>
    <w:rsid w:val="00155C46"/>
    <w:rsid w:val="00162C71"/>
    <w:rsid w:val="0016519C"/>
    <w:rsid w:val="001917D4"/>
    <w:rsid w:val="00195F6A"/>
    <w:rsid w:val="001A3594"/>
    <w:rsid w:val="001C5C95"/>
    <w:rsid w:val="001F1244"/>
    <w:rsid w:val="00200F6C"/>
    <w:rsid w:val="00245E7C"/>
    <w:rsid w:val="00247A7B"/>
    <w:rsid w:val="0026226F"/>
    <w:rsid w:val="00264F6D"/>
    <w:rsid w:val="0027640F"/>
    <w:rsid w:val="002945B5"/>
    <w:rsid w:val="002B12E8"/>
    <w:rsid w:val="002B4F03"/>
    <w:rsid w:val="00302280"/>
    <w:rsid w:val="00303924"/>
    <w:rsid w:val="00330B53"/>
    <w:rsid w:val="00332F51"/>
    <w:rsid w:val="00346EE1"/>
    <w:rsid w:val="00351A06"/>
    <w:rsid w:val="00373D5C"/>
    <w:rsid w:val="00374260"/>
    <w:rsid w:val="00376750"/>
    <w:rsid w:val="003A0A8B"/>
    <w:rsid w:val="003E60A3"/>
    <w:rsid w:val="003F0ACB"/>
    <w:rsid w:val="003F2944"/>
    <w:rsid w:val="004016DD"/>
    <w:rsid w:val="00404CE3"/>
    <w:rsid w:val="0041330E"/>
    <w:rsid w:val="00415AB2"/>
    <w:rsid w:val="00420357"/>
    <w:rsid w:val="00435263"/>
    <w:rsid w:val="00444566"/>
    <w:rsid w:val="00476274"/>
    <w:rsid w:val="004923A8"/>
    <w:rsid w:val="004A0D6F"/>
    <w:rsid w:val="004B1517"/>
    <w:rsid w:val="004C346A"/>
    <w:rsid w:val="004C3BBA"/>
    <w:rsid w:val="004D0D62"/>
    <w:rsid w:val="00560B9B"/>
    <w:rsid w:val="0056780A"/>
    <w:rsid w:val="00582F8C"/>
    <w:rsid w:val="00584214"/>
    <w:rsid w:val="00596091"/>
    <w:rsid w:val="005A7A0B"/>
    <w:rsid w:val="005D290C"/>
    <w:rsid w:val="005D7604"/>
    <w:rsid w:val="005E249D"/>
    <w:rsid w:val="00634C76"/>
    <w:rsid w:val="00644CB6"/>
    <w:rsid w:val="00667F75"/>
    <w:rsid w:val="006864D0"/>
    <w:rsid w:val="0069124B"/>
    <w:rsid w:val="006C384C"/>
    <w:rsid w:val="006E18A7"/>
    <w:rsid w:val="0070603D"/>
    <w:rsid w:val="00713787"/>
    <w:rsid w:val="00721843"/>
    <w:rsid w:val="00737281"/>
    <w:rsid w:val="00766D59"/>
    <w:rsid w:val="0077267C"/>
    <w:rsid w:val="00780D5A"/>
    <w:rsid w:val="00787EC5"/>
    <w:rsid w:val="007927D4"/>
    <w:rsid w:val="007D3769"/>
    <w:rsid w:val="007F37C9"/>
    <w:rsid w:val="00807701"/>
    <w:rsid w:val="00822868"/>
    <w:rsid w:val="0082591E"/>
    <w:rsid w:val="008478B5"/>
    <w:rsid w:val="00856343"/>
    <w:rsid w:val="00867D81"/>
    <w:rsid w:val="008A3C68"/>
    <w:rsid w:val="008B4D2A"/>
    <w:rsid w:val="008C5FF5"/>
    <w:rsid w:val="008C651A"/>
    <w:rsid w:val="008D1166"/>
    <w:rsid w:val="008D5469"/>
    <w:rsid w:val="008E7712"/>
    <w:rsid w:val="00922B27"/>
    <w:rsid w:val="00944961"/>
    <w:rsid w:val="00945C02"/>
    <w:rsid w:val="009572BB"/>
    <w:rsid w:val="009657D8"/>
    <w:rsid w:val="00967471"/>
    <w:rsid w:val="009721B8"/>
    <w:rsid w:val="009843FF"/>
    <w:rsid w:val="00995EC1"/>
    <w:rsid w:val="009A6F20"/>
    <w:rsid w:val="009C652B"/>
    <w:rsid w:val="009E1888"/>
    <w:rsid w:val="009E7FA1"/>
    <w:rsid w:val="009F0321"/>
    <w:rsid w:val="009F45D0"/>
    <w:rsid w:val="00A83079"/>
    <w:rsid w:val="00A87927"/>
    <w:rsid w:val="00AA2525"/>
    <w:rsid w:val="00AB5F2D"/>
    <w:rsid w:val="00AD109F"/>
    <w:rsid w:val="00AF3075"/>
    <w:rsid w:val="00AF379D"/>
    <w:rsid w:val="00B14D47"/>
    <w:rsid w:val="00B24A32"/>
    <w:rsid w:val="00B51C98"/>
    <w:rsid w:val="00B561D8"/>
    <w:rsid w:val="00B57738"/>
    <w:rsid w:val="00B613BD"/>
    <w:rsid w:val="00B67E4A"/>
    <w:rsid w:val="00B80A45"/>
    <w:rsid w:val="00B81D94"/>
    <w:rsid w:val="00B86308"/>
    <w:rsid w:val="00BA7734"/>
    <w:rsid w:val="00BD4190"/>
    <w:rsid w:val="00C03978"/>
    <w:rsid w:val="00C221FF"/>
    <w:rsid w:val="00C276B2"/>
    <w:rsid w:val="00C413E2"/>
    <w:rsid w:val="00C42003"/>
    <w:rsid w:val="00C44A90"/>
    <w:rsid w:val="00C513C8"/>
    <w:rsid w:val="00C51905"/>
    <w:rsid w:val="00C560E4"/>
    <w:rsid w:val="00C76A5D"/>
    <w:rsid w:val="00C81491"/>
    <w:rsid w:val="00C8741B"/>
    <w:rsid w:val="00CC1BA3"/>
    <w:rsid w:val="00CD6309"/>
    <w:rsid w:val="00D07B92"/>
    <w:rsid w:val="00D24F0D"/>
    <w:rsid w:val="00D73EB4"/>
    <w:rsid w:val="00D75688"/>
    <w:rsid w:val="00D92C11"/>
    <w:rsid w:val="00DB5BCE"/>
    <w:rsid w:val="00DC59B1"/>
    <w:rsid w:val="00DC74C7"/>
    <w:rsid w:val="00DD1FDC"/>
    <w:rsid w:val="00DD7368"/>
    <w:rsid w:val="00E06733"/>
    <w:rsid w:val="00E24CF7"/>
    <w:rsid w:val="00E35C5D"/>
    <w:rsid w:val="00E40BB6"/>
    <w:rsid w:val="00E67FF2"/>
    <w:rsid w:val="00E72C13"/>
    <w:rsid w:val="00EA504A"/>
    <w:rsid w:val="00EB0BA4"/>
    <w:rsid w:val="00EC0549"/>
    <w:rsid w:val="00EC2865"/>
    <w:rsid w:val="00EC4234"/>
    <w:rsid w:val="00EE601A"/>
    <w:rsid w:val="00EE7EF8"/>
    <w:rsid w:val="00F0503A"/>
    <w:rsid w:val="00F10C3E"/>
    <w:rsid w:val="00F10F51"/>
    <w:rsid w:val="00F577C8"/>
    <w:rsid w:val="00F6075F"/>
    <w:rsid w:val="00F63808"/>
    <w:rsid w:val="00F661AC"/>
    <w:rsid w:val="00F81C6A"/>
    <w:rsid w:val="00F82F08"/>
    <w:rsid w:val="00FC126A"/>
    <w:rsid w:val="00FF7F5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8C7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44961"/>
    <w:pPr>
      <w:keepNext/>
      <w:keepLines/>
      <w:numPr>
        <w:ilvl w:val="1"/>
        <w:numId w:val="1"/>
      </w:numPr>
      <w:spacing w:before="120" w:after="120"/>
      <w:ind w:left="357" w:hanging="357"/>
      <w:jc w:val="both"/>
      <w:outlineLvl w:val="0"/>
    </w:pPr>
    <w:rPr>
      <w:rFonts w:ascii="Times New Roman" w:eastAsiaTheme="majorEastAsia" w:hAnsi="Times New Roman" w:cs="Times New Roman"/>
      <w:b/>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961"/>
    <w:rPr>
      <w:rFonts w:ascii="Times New Roman" w:eastAsiaTheme="majorEastAsia" w:hAnsi="Times New Roman" w:cs="Times New Roman"/>
      <w:b/>
      <w:lang w:val="en-US" w:eastAsia="zh-CN"/>
    </w:rPr>
  </w:style>
  <w:style w:type="character" w:styleId="CommentReference">
    <w:name w:val="annotation reference"/>
    <w:basedOn w:val="DefaultParagraphFont"/>
    <w:uiPriority w:val="99"/>
    <w:semiHidden/>
    <w:unhideWhenUsed/>
    <w:rsid w:val="00944961"/>
    <w:rPr>
      <w:sz w:val="18"/>
      <w:szCs w:val="18"/>
    </w:rPr>
  </w:style>
  <w:style w:type="paragraph" w:styleId="CommentText">
    <w:name w:val="annotation text"/>
    <w:basedOn w:val="Normal"/>
    <w:link w:val="CommentTextChar"/>
    <w:uiPriority w:val="99"/>
    <w:semiHidden/>
    <w:unhideWhenUsed/>
    <w:rsid w:val="00944961"/>
  </w:style>
  <w:style w:type="character" w:customStyle="1" w:styleId="CommentTextChar">
    <w:name w:val="Comment Text Char"/>
    <w:basedOn w:val="DefaultParagraphFont"/>
    <w:link w:val="CommentText"/>
    <w:uiPriority w:val="99"/>
    <w:semiHidden/>
    <w:rsid w:val="00944961"/>
  </w:style>
  <w:style w:type="paragraph" w:styleId="CommentSubject">
    <w:name w:val="annotation subject"/>
    <w:basedOn w:val="CommentText"/>
    <w:next w:val="CommentText"/>
    <w:link w:val="CommentSubjectChar"/>
    <w:uiPriority w:val="99"/>
    <w:semiHidden/>
    <w:unhideWhenUsed/>
    <w:rsid w:val="00944961"/>
    <w:rPr>
      <w:b/>
      <w:bCs/>
      <w:sz w:val="20"/>
      <w:szCs w:val="20"/>
    </w:rPr>
  </w:style>
  <w:style w:type="character" w:customStyle="1" w:styleId="CommentSubjectChar">
    <w:name w:val="Comment Subject Char"/>
    <w:basedOn w:val="CommentTextChar"/>
    <w:link w:val="CommentSubject"/>
    <w:uiPriority w:val="99"/>
    <w:semiHidden/>
    <w:rsid w:val="00944961"/>
    <w:rPr>
      <w:b/>
      <w:bCs/>
      <w:sz w:val="20"/>
      <w:szCs w:val="20"/>
    </w:rPr>
  </w:style>
  <w:style w:type="paragraph" w:styleId="Revision">
    <w:name w:val="Revision"/>
    <w:hidden/>
    <w:uiPriority w:val="99"/>
    <w:semiHidden/>
    <w:rsid w:val="00944961"/>
  </w:style>
  <w:style w:type="paragraph" w:styleId="BalloonText">
    <w:name w:val="Balloon Text"/>
    <w:basedOn w:val="Normal"/>
    <w:link w:val="BalloonTextChar"/>
    <w:uiPriority w:val="99"/>
    <w:semiHidden/>
    <w:unhideWhenUsed/>
    <w:rsid w:val="0094496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44961"/>
    <w:rPr>
      <w:rFonts w:ascii="Times New Roman" w:hAnsi="Times New Roman" w:cs="Times New Roman"/>
      <w:sz w:val="18"/>
      <w:szCs w:val="18"/>
    </w:rPr>
  </w:style>
  <w:style w:type="paragraph" w:styleId="ListParagraph">
    <w:name w:val="List Paragraph"/>
    <w:basedOn w:val="Normal"/>
    <w:uiPriority w:val="34"/>
    <w:qFormat/>
    <w:rsid w:val="00376750"/>
    <w:pPr>
      <w:ind w:left="720"/>
      <w:contextualSpacing/>
    </w:pPr>
  </w:style>
  <w:style w:type="character" w:styleId="Hyperlink">
    <w:name w:val="Hyperlink"/>
    <w:basedOn w:val="DefaultParagraphFont"/>
    <w:uiPriority w:val="99"/>
    <w:semiHidden/>
    <w:unhideWhenUsed/>
    <w:rsid w:val="003A0A8B"/>
    <w:rPr>
      <w:color w:val="0000FF"/>
      <w:u w:val="single"/>
    </w:rPr>
  </w:style>
  <w:style w:type="paragraph" w:styleId="Header">
    <w:name w:val="header"/>
    <w:basedOn w:val="Normal"/>
    <w:link w:val="HeaderChar"/>
    <w:uiPriority w:val="99"/>
    <w:unhideWhenUsed/>
    <w:rsid w:val="004B1517"/>
    <w:pPr>
      <w:tabs>
        <w:tab w:val="center" w:pos="4513"/>
        <w:tab w:val="right" w:pos="9026"/>
      </w:tabs>
    </w:pPr>
  </w:style>
  <w:style w:type="character" w:customStyle="1" w:styleId="HeaderChar">
    <w:name w:val="Header Char"/>
    <w:basedOn w:val="DefaultParagraphFont"/>
    <w:link w:val="Header"/>
    <w:uiPriority w:val="99"/>
    <w:rsid w:val="004B1517"/>
  </w:style>
  <w:style w:type="paragraph" w:styleId="Footer">
    <w:name w:val="footer"/>
    <w:basedOn w:val="Normal"/>
    <w:link w:val="FooterChar"/>
    <w:uiPriority w:val="99"/>
    <w:unhideWhenUsed/>
    <w:rsid w:val="004B1517"/>
    <w:pPr>
      <w:tabs>
        <w:tab w:val="center" w:pos="4513"/>
        <w:tab w:val="right" w:pos="9026"/>
      </w:tabs>
    </w:pPr>
  </w:style>
  <w:style w:type="character" w:customStyle="1" w:styleId="FooterChar">
    <w:name w:val="Footer Char"/>
    <w:basedOn w:val="DefaultParagraphFont"/>
    <w:link w:val="Footer"/>
    <w:uiPriority w:val="99"/>
    <w:rsid w:val="004B1517"/>
  </w:style>
  <w:style w:type="table" w:styleId="TableGrid">
    <w:name w:val="Table Grid"/>
    <w:basedOn w:val="TableNormal"/>
    <w:uiPriority w:val="39"/>
    <w:rsid w:val="00E35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625632">
      <w:bodyDiv w:val="1"/>
      <w:marLeft w:val="0"/>
      <w:marRight w:val="0"/>
      <w:marTop w:val="0"/>
      <w:marBottom w:val="0"/>
      <w:divBdr>
        <w:top w:val="none" w:sz="0" w:space="0" w:color="auto"/>
        <w:left w:val="none" w:sz="0" w:space="0" w:color="auto"/>
        <w:bottom w:val="none" w:sz="0" w:space="0" w:color="auto"/>
        <w:right w:val="none" w:sz="0" w:space="0" w:color="auto"/>
      </w:divBdr>
    </w:div>
    <w:div w:id="859274978">
      <w:bodyDiv w:val="1"/>
      <w:marLeft w:val="0"/>
      <w:marRight w:val="0"/>
      <w:marTop w:val="0"/>
      <w:marBottom w:val="0"/>
      <w:divBdr>
        <w:top w:val="none" w:sz="0" w:space="0" w:color="auto"/>
        <w:left w:val="none" w:sz="0" w:space="0" w:color="auto"/>
        <w:bottom w:val="none" w:sz="0" w:space="0" w:color="auto"/>
        <w:right w:val="none" w:sz="0" w:space="0" w:color="auto"/>
      </w:divBdr>
    </w:div>
    <w:div w:id="14557080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irca.org.au/about-sir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Graham</dc:creator>
  <cp:keywords/>
  <dc:description/>
  <cp:lastModifiedBy>Lachlan Michalski</cp:lastModifiedBy>
  <cp:revision>34</cp:revision>
  <dcterms:created xsi:type="dcterms:W3CDTF">2020-02-04T06:37:00Z</dcterms:created>
  <dcterms:modified xsi:type="dcterms:W3CDTF">2021-03-10T17:34:00Z</dcterms:modified>
</cp:coreProperties>
</file>