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F90D3" w14:textId="35230CC7" w:rsidR="005457AC" w:rsidRPr="00D26C28" w:rsidRDefault="005457AC" w:rsidP="00F40FCD">
      <w:pPr>
        <w:spacing w:line="360" w:lineRule="auto"/>
        <w:ind w:left="-284" w:right="-471"/>
        <w:jc w:val="center"/>
        <w:rPr>
          <w:rFonts w:eastAsiaTheme="minorHAnsi"/>
          <w:b/>
          <w:color w:val="000000" w:themeColor="text1"/>
          <w:sz w:val="28"/>
          <w:szCs w:val="28"/>
          <w:lang w:val="en-US" w:eastAsia="en-US"/>
        </w:rPr>
      </w:pPr>
      <w:r w:rsidRPr="00D26C28">
        <w:rPr>
          <w:rFonts w:eastAsiaTheme="minorHAnsi"/>
          <w:b/>
          <w:color w:val="000000" w:themeColor="text1"/>
          <w:sz w:val="28"/>
          <w:szCs w:val="28"/>
          <w:lang w:val="en-US" w:eastAsia="en-US"/>
        </w:rPr>
        <w:t>Response to Referee’s Report</w:t>
      </w:r>
      <w:r w:rsidR="00F40FCD" w:rsidRPr="00D26C28">
        <w:rPr>
          <w:rFonts w:eastAsiaTheme="minorHAnsi"/>
          <w:b/>
          <w:color w:val="000000" w:themeColor="text1"/>
          <w:sz w:val="28"/>
          <w:szCs w:val="28"/>
          <w:lang w:val="en-US" w:eastAsia="en-US"/>
        </w:rPr>
        <w:t xml:space="preserve"> #2</w:t>
      </w:r>
      <w:r w:rsidRPr="00D26C28">
        <w:rPr>
          <w:rFonts w:eastAsiaTheme="minorHAnsi"/>
          <w:b/>
          <w:color w:val="000000" w:themeColor="text1"/>
          <w:sz w:val="28"/>
          <w:szCs w:val="28"/>
          <w:lang w:val="en-US" w:eastAsia="en-US"/>
        </w:rPr>
        <w:br/>
        <w:t>‘Sustainable Factor Investing: Where Doing Well Meets Doing Good’</w:t>
      </w:r>
      <w:r w:rsidRPr="00D26C28">
        <w:rPr>
          <w:rFonts w:eastAsiaTheme="minorHAnsi"/>
          <w:b/>
          <w:color w:val="000000" w:themeColor="text1"/>
          <w:sz w:val="28"/>
          <w:szCs w:val="28"/>
          <w:lang w:val="en-US" w:eastAsia="en-US"/>
        </w:rPr>
        <w:br/>
      </w:r>
      <w:r w:rsidRPr="00D26C28">
        <w:rPr>
          <w:rFonts w:eastAsiaTheme="minorHAnsi"/>
          <w:bCs/>
          <w:color w:val="000000" w:themeColor="text1"/>
          <w:sz w:val="28"/>
          <w:szCs w:val="28"/>
          <w:lang w:val="en-US" w:eastAsia="en-US"/>
        </w:rPr>
        <w:t>IREF_2019_983R1</w:t>
      </w:r>
    </w:p>
    <w:p w14:paraId="0039738F" w14:textId="17C05EAF" w:rsidR="001B48A3" w:rsidRPr="00D26C28" w:rsidRDefault="001B48A3" w:rsidP="004C4BE7">
      <w:pPr>
        <w:shd w:val="clear" w:color="auto" w:fill="FFFFFF"/>
        <w:contextualSpacing/>
        <w:rPr>
          <w:b/>
          <w:bCs/>
          <w:color w:val="000000" w:themeColor="text1"/>
          <w:sz w:val="22"/>
          <w:szCs w:val="22"/>
        </w:rPr>
      </w:pPr>
    </w:p>
    <w:p w14:paraId="49FD1021" w14:textId="77777777" w:rsidR="00623632" w:rsidRPr="00D26C28" w:rsidRDefault="00623632" w:rsidP="004C4BE7">
      <w:pPr>
        <w:shd w:val="clear" w:color="auto" w:fill="FFFFFF"/>
        <w:contextualSpacing/>
        <w:rPr>
          <w:b/>
          <w:bCs/>
          <w:color w:val="000000" w:themeColor="text1"/>
          <w:sz w:val="22"/>
          <w:szCs w:val="22"/>
        </w:rPr>
      </w:pPr>
    </w:p>
    <w:p w14:paraId="3712E757" w14:textId="77777777" w:rsidR="001B48A3" w:rsidRPr="00D26C28" w:rsidRDefault="001B48A3" w:rsidP="004C4BE7">
      <w:pPr>
        <w:pStyle w:val="Heading1"/>
        <w:spacing w:before="0" w:after="0"/>
        <w:contextualSpacing/>
        <w:rPr>
          <w:color w:val="000000" w:themeColor="text1"/>
        </w:rPr>
      </w:pPr>
      <w:r w:rsidRPr="00D26C28">
        <w:rPr>
          <w:color w:val="000000" w:themeColor="text1"/>
        </w:rPr>
        <w:t>INTRODUCTION</w:t>
      </w:r>
    </w:p>
    <w:p w14:paraId="6B41C125" w14:textId="77777777" w:rsidR="001B48A3" w:rsidRPr="00D26C28" w:rsidRDefault="001B48A3" w:rsidP="004C4BE7">
      <w:pPr>
        <w:autoSpaceDE w:val="0"/>
        <w:autoSpaceDN w:val="0"/>
        <w:ind w:firstLine="720"/>
        <w:contextualSpacing/>
        <w:jc w:val="both"/>
        <w:rPr>
          <w:color w:val="000000" w:themeColor="text1"/>
        </w:rPr>
      </w:pPr>
    </w:p>
    <w:p w14:paraId="224F8B00" w14:textId="78911442" w:rsidR="00DE0E4A" w:rsidRPr="00D26C28" w:rsidRDefault="00DE0E4A" w:rsidP="004C4BE7">
      <w:pPr>
        <w:autoSpaceDE w:val="0"/>
        <w:autoSpaceDN w:val="0"/>
        <w:contextualSpacing/>
        <w:jc w:val="both"/>
        <w:rPr>
          <w:color w:val="000000" w:themeColor="text1"/>
        </w:rPr>
      </w:pPr>
      <w:r w:rsidRPr="00D26C28">
        <w:rPr>
          <w:color w:val="000000" w:themeColor="text1"/>
        </w:rPr>
        <w:t>First of all, we would like to thank the Editor, Professor Brian Lucey, and the Associate Editor, Professor Larisa Yarovaya, for forwarding the constructive feedback of the Referee and for providing us with the opportunity to submit a revised version of our paper. We would also like to thank the Referee for the feedback and the insightful comments, which we believe have allowed us to significantly improve the paper. We have amended the manuscript taking all remarks carefully into consideration.</w:t>
      </w:r>
    </w:p>
    <w:p w14:paraId="6F4BDA2C" w14:textId="77777777" w:rsidR="001B48A3" w:rsidRPr="00D26C28" w:rsidRDefault="001B48A3" w:rsidP="004C4BE7">
      <w:pPr>
        <w:contextualSpacing/>
        <w:jc w:val="both"/>
        <w:rPr>
          <w:color w:val="000000" w:themeColor="text1"/>
        </w:rPr>
      </w:pPr>
    </w:p>
    <w:p w14:paraId="4BFDADA3" w14:textId="77777777" w:rsidR="001B48A3" w:rsidRPr="00D26C28" w:rsidRDefault="001B48A3" w:rsidP="004C4BE7">
      <w:pPr>
        <w:contextualSpacing/>
        <w:jc w:val="both"/>
        <w:rPr>
          <w:color w:val="000000" w:themeColor="text1"/>
          <w:lang w:val="en-US"/>
        </w:rPr>
      </w:pPr>
      <w:r w:rsidRPr="00D26C28">
        <w:rPr>
          <w:color w:val="000000" w:themeColor="text1"/>
          <w:lang w:val="en-US"/>
        </w:rPr>
        <w:t>In Section 2, we re-iterate the comments of the referee (</w:t>
      </w:r>
      <w:r w:rsidRPr="00D26C28">
        <w:rPr>
          <w:i/>
          <w:color w:val="000000" w:themeColor="text1"/>
          <w:lang w:val="en-US"/>
        </w:rPr>
        <w:t>in italics</w:t>
      </w:r>
      <w:r w:rsidRPr="00D26C28">
        <w:rPr>
          <w:color w:val="000000" w:themeColor="text1"/>
          <w:lang w:val="en-US"/>
        </w:rPr>
        <w:t>) and explain the revisions made in the paper to address each of these comments.</w:t>
      </w:r>
    </w:p>
    <w:p w14:paraId="0AD213E9" w14:textId="2C91D9BA" w:rsidR="00DE0E4A" w:rsidRPr="00D26C28" w:rsidRDefault="00DE0E4A" w:rsidP="004C4BE7">
      <w:pPr>
        <w:shd w:val="clear" w:color="auto" w:fill="FFFFFF"/>
        <w:contextualSpacing/>
        <w:rPr>
          <w:b/>
          <w:bCs/>
          <w:color w:val="000000" w:themeColor="text1"/>
        </w:rPr>
      </w:pPr>
    </w:p>
    <w:p w14:paraId="725A73F5" w14:textId="77777777" w:rsidR="004C4BE7" w:rsidRPr="00D26C28" w:rsidRDefault="004C4BE7" w:rsidP="004C4BE7">
      <w:pPr>
        <w:shd w:val="clear" w:color="auto" w:fill="FFFFFF"/>
        <w:contextualSpacing/>
        <w:rPr>
          <w:b/>
          <w:bCs/>
          <w:color w:val="000000" w:themeColor="text1"/>
        </w:rPr>
      </w:pPr>
    </w:p>
    <w:p w14:paraId="0967E3F7" w14:textId="77777777" w:rsidR="001B48A3" w:rsidRPr="00D26C28" w:rsidRDefault="001B48A3" w:rsidP="004C4BE7">
      <w:pPr>
        <w:pStyle w:val="Heading1"/>
        <w:spacing w:before="0" w:after="0"/>
        <w:contextualSpacing/>
        <w:rPr>
          <w:color w:val="000000" w:themeColor="text1"/>
        </w:rPr>
      </w:pPr>
      <w:r w:rsidRPr="00D26C28">
        <w:rPr>
          <w:color w:val="000000" w:themeColor="text1"/>
        </w:rPr>
        <w:t>RESPONSE TO COMMENTS</w:t>
      </w:r>
    </w:p>
    <w:p w14:paraId="3850DEFD" w14:textId="77777777" w:rsidR="004C4BE7" w:rsidRPr="00D26C28" w:rsidRDefault="004C4BE7" w:rsidP="004C4BE7">
      <w:pPr>
        <w:shd w:val="clear" w:color="auto" w:fill="FFFFFF"/>
        <w:contextualSpacing/>
        <w:jc w:val="both"/>
        <w:rPr>
          <w:b/>
          <w:bCs/>
          <w:color w:val="000000" w:themeColor="text1"/>
        </w:rPr>
      </w:pPr>
    </w:p>
    <w:p w14:paraId="71A12510" w14:textId="01FC2631" w:rsidR="00A17D4F" w:rsidRPr="00D26C28" w:rsidRDefault="00A17D4F" w:rsidP="004C4BE7">
      <w:pPr>
        <w:shd w:val="clear" w:color="auto" w:fill="FFFFFF"/>
        <w:contextualSpacing/>
        <w:jc w:val="both"/>
        <w:rPr>
          <w:b/>
          <w:bCs/>
          <w:color w:val="000000" w:themeColor="text1"/>
        </w:rPr>
      </w:pPr>
      <w:r w:rsidRPr="00D26C28">
        <w:rPr>
          <w:b/>
          <w:bCs/>
          <w:color w:val="000000" w:themeColor="text1"/>
        </w:rPr>
        <w:t>Comment 1:</w:t>
      </w:r>
    </w:p>
    <w:p w14:paraId="4151DF32" w14:textId="77777777" w:rsidR="00F17488" w:rsidRPr="00D26C28" w:rsidRDefault="00F17488" w:rsidP="004C4BE7">
      <w:pPr>
        <w:shd w:val="clear" w:color="auto" w:fill="FFFFFF"/>
        <w:contextualSpacing/>
        <w:jc w:val="both"/>
        <w:rPr>
          <w:b/>
          <w:bCs/>
          <w:color w:val="000000" w:themeColor="text1"/>
        </w:rPr>
      </w:pPr>
    </w:p>
    <w:p w14:paraId="4E17C8B4" w14:textId="600A7A0E" w:rsidR="00A17D4F" w:rsidRPr="00D26C28" w:rsidRDefault="00A17D4F" w:rsidP="004C4BE7">
      <w:pPr>
        <w:shd w:val="clear" w:color="auto" w:fill="FFFFFF"/>
        <w:contextualSpacing/>
        <w:jc w:val="both"/>
        <w:rPr>
          <w:i/>
          <w:color w:val="000000" w:themeColor="text1"/>
        </w:rPr>
      </w:pPr>
      <w:r w:rsidRPr="00D26C28">
        <w:rPr>
          <w:i/>
          <w:color w:val="000000" w:themeColor="text1"/>
        </w:rPr>
        <w:t>This study explores forming portfolios by combining traditional investing strategies with ESG scores.  This idea is not original, as similar work has been published in other venues (Nagy, 2013; 2015; Bender, et al., (2017)).</w:t>
      </w:r>
      <w:bookmarkStart w:id="0" w:name="m_2893546895986280586__ftnref1"/>
      <w:r w:rsidRPr="00D26C28">
        <w:rPr>
          <w:i/>
          <w:color w:val="000000" w:themeColor="text1"/>
        </w:rPr>
        <w:t>[1]</w:t>
      </w:r>
      <w:bookmarkEnd w:id="0"/>
      <w:r w:rsidRPr="00D26C28">
        <w:rPr>
          <w:i/>
          <w:color w:val="000000" w:themeColor="text1"/>
        </w:rPr>
        <w:t xml:space="preserve"> For instance, the work by Bender, et al., (2017) shows that highly rated ESG stocks have historically been high value, negative momentum, high quality, low volatility and larger size.  The authors also explore integrating ESG ratings and factor exposures and provide simple integration </w:t>
      </w:r>
      <w:bookmarkStart w:id="1" w:name="m_2893546895986280586__ftnref2"/>
      <w:r w:rsidRPr="00D26C28">
        <w:rPr>
          <w:i/>
          <w:color w:val="000000" w:themeColor="text1"/>
        </w:rPr>
        <w:t>strategies. [2</w:t>
      </w:r>
      <w:bookmarkEnd w:id="1"/>
      <w:r w:rsidRPr="00D26C28">
        <w:rPr>
          <w:i/>
          <w:color w:val="000000" w:themeColor="text1"/>
        </w:rPr>
        <w:t>] Compared with this manuscript, Bender et al (2017) present a less rigorous analysis and they analyze a different market.  Bender et al (2017) propose a different methodology to integrate ESG, using an optimizer, instead of building portfolios by sorting stocks terciles/quintiles of the factors.  Similar idea is also in Keiser (2018), a paper cited in this manuscript, that analyzes the US and European markets.  These studies introduce the same idea reflected in this manuscript, thus, diminishing the relevance of its contributions.</w:t>
      </w:r>
    </w:p>
    <w:p w14:paraId="2203A3F7" w14:textId="77777777" w:rsidR="00FD2F27" w:rsidRPr="00D26C28" w:rsidRDefault="00FD2F27" w:rsidP="004C4BE7">
      <w:pPr>
        <w:contextualSpacing/>
        <w:jc w:val="both"/>
        <w:rPr>
          <w:i/>
          <w:color w:val="000000" w:themeColor="text1"/>
        </w:rPr>
      </w:pPr>
    </w:p>
    <w:p w14:paraId="7C2C7E76" w14:textId="01B24A79" w:rsidR="00043A3A" w:rsidRPr="00D26C28" w:rsidRDefault="009B5BF4" w:rsidP="004C4BE7">
      <w:pPr>
        <w:contextualSpacing/>
        <w:jc w:val="both"/>
        <w:rPr>
          <w:color w:val="000000" w:themeColor="text1"/>
        </w:rPr>
      </w:pPr>
      <w:r w:rsidRPr="00D26C28">
        <w:rPr>
          <w:color w:val="000000" w:themeColor="text1"/>
        </w:rPr>
        <w:t>The comment is well-taken.</w:t>
      </w:r>
      <w:r w:rsidR="0066659A" w:rsidRPr="00D26C28">
        <w:rPr>
          <w:color w:val="000000" w:themeColor="text1"/>
        </w:rPr>
        <w:t xml:space="preserve"> We thank the referee for pointing this out.</w:t>
      </w:r>
    </w:p>
    <w:p w14:paraId="5A2D276D" w14:textId="77777777" w:rsidR="00043A3A" w:rsidRPr="00D26C28" w:rsidRDefault="00043A3A" w:rsidP="004C4BE7">
      <w:pPr>
        <w:contextualSpacing/>
        <w:jc w:val="both"/>
        <w:rPr>
          <w:color w:val="000000" w:themeColor="text1"/>
        </w:rPr>
      </w:pPr>
    </w:p>
    <w:p w14:paraId="72C4E523" w14:textId="1744E0B7" w:rsidR="00043A3A" w:rsidRPr="00D26C28" w:rsidRDefault="00CA42C1" w:rsidP="004C4BE7">
      <w:pPr>
        <w:contextualSpacing/>
        <w:jc w:val="both"/>
        <w:rPr>
          <w:color w:val="000000" w:themeColor="text1"/>
        </w:rPr>
      </w:pPr>
      <w:r w:rsidRPr="00D26C28">
        <w:rPr>
          <w:color w:val="000000" w:themeColor="text1"/>
        </w:rPr>
        <w:t>We</w:t>
      </w:r>
      <w:r w:rsidR="009B5BF4" w:rsidRPr="00D26C28">
        <w:rPr>
          <w:color w:val="000000" w:themeColor="text1"/>
        </w:rPr>
        <w:t xml:space="preserve"> acknowledge the similarities between</w:t>
      </w:r>
      <w:r w:rsidR="00043A3A" w:rsidRPr="00D26C28">
        <w:rPr>
          <w:color w:val="000000" w:themeColor="text1"/>
        </w:rPr>
        <w:t xml:space="preserve"> our </w:t>
      </w:r>
      <w:r w:rsidR="009B5BF4" w:rsidRPr="00D26C28">
        <w:rPr>
          <w:color w:val="000000" w:themeColor="text1"/>
        </w:rPr>
        <w:t xml:space="preserve">work </w:t>
      </w:r>
      <w:r w:rsidR="00043A3A" w:rsidRPr="00D26C28">
        <w:rPr>
          <w:color w:val="000000" w:themeColor="text1"/>
        </w:rPr>
        <w:t xml:space="preserve">under review and the works </w:t>
      </w:r>
      <w:r w:rsidR="009B5BF4" w:rsidRPr="00D26C28">
        <w:rPr>
          <w:color w:val="000000" w:themeColor="text1"/>
        </w:rPr>
        <w:t xml:space="preserve">of </w:t>
      </w:r>
      <w:r w:rsidR="009B5BF4" w:rsidRPr="00D26C28">
        <w:rPr>
          <w:iCs/>
          <w:color w:val="000000" w:themeColor="text1"/>
        </w:rPr>
        <w:t>Bender et al. (2017) and K</w:t>
      </w:r>
      <w:r w:rsidR="00FD2F27" w:rsidRPr="00D26C28">
        <w:rPr>
          <w:iCs/>
          <w:color w:val="000000" w:themeColor="text1"/>
        </w:rPr>
        <w:t>a</w:t>
      </w:r>
      <w:r w:rsidR="009B5BF4" w:rsidRPr="00D26C28">
        <w:rPr>
          <w:iCs/>
          <w:color w:val="000000" w:themeColor="text1"/>
        </w:rPr>
        <w:t>iser (2018)</w:t>
      </w:r>
      <w:r w:rsidR="00043A3A" w:rsidRPr="00D26C28">
        <w:rPr>
          <w:iCs/>
          <w:color w:val="000000" w:themeColor="text1"/>
        </w:rPr>
        <w:t xml:space="preserve">. </w:t>
      </w:r>
      <w:r w:rsidR="00043A3A" w:rsidRPr="00D26C28">
        <w:rPr>
          <w:color w:val="000000" w:themeColor="text1"/>
        </w:rPr>
        <w:t xml:space="preserve">However, we </w:t>
      </w:r>
      <w:r w:rsidR="00EE2782" w:rsidRPr="00D26C28">
        <w:rPr>
          <w:color w:val="000000" w:themeColor="text1"/>
        </w:rPr>
        <w:t xml:space="preserve">understand the concern of the referee, thus </w:t>
      </w:r>
      <w:r w:rsidR="0048435D" w:rsidRPr="00D26C28">
        <w:rPr>
          <w:color w:val="000000" w:themeColor="text1"/>
        </w:rPr>
        <w:t xml:space="preserve">we </w:t>
      </w:r>
      <w:r w:rsidR="00EE2782" w:rsidRPr="00D26C28">
        <w:rPr>
          <w:color w:val="000000" w:themeColor="text1"/>
        </w:rPr>
        <w:t xml:space="preserve">have taken additional measures to ensure that </w:t>
      </w:r>
      <w:r w:rsidR="00043A3A" w:rsidRPr="00D26C28">
        <w:rPr>
          <w:color w:val="000000" w:themeColor="text1"/>
        </w:rPr>
        <w:t>the contribution of our work</w:t>
      </w:r>
      <w:r w:rsidR="00EE2782" w:rsidRPr="00D26C28">
        <w:rPr>
          <w:color w:val="000000" w:themeColor="text1"/>
        </w:rPr>
        <w:t xml:space="preserve"> </w:t>
      </w:r>
      <w:r w:rsidR="00FE5B33" w:rsidRPr="00D26C28">
        <w:rPr>
          <w:color w:val="000000" w:themeColor="text1"/>
        </w:rPr>
        <w:t>is clearer</w:t>
      </w:r>
      <w:r w:rsidR="00043A3A" w:rsidRPr="00D26C28">
        <w:rPr>
          <w:color w:val="000000" w:themeColor="text1"/>
        </w:rPr>
        <w:t>.</w:t>
      </w:r>
    </w:p>
    <w:p w14:paraId="59BCA5F9" w14:textId="77777777" w:rsidR="00CA42C1" w:rsidRPr="00D26C28" w:rsidRDefault="00CA42C1" w:rsidP="004C4BE7">
      <w:pPr>
        <w:contextualSpacing/>
        <w:jc w:val="both"/>
        <w:rPr>
          <w:color w:val="000000" w:themeColor="text1"/>
        </w:rPr>
      </w:pPr>
    </w:p>
    <w:p w14:paraId="6186A398" w14:textId="13EDDDAA" w:rsidR="00043A3A" w:rsidRPr="00D26C28" w:rsidRDefault="00EE2782" w:rsidP="004C4BE7">
      <w:pPr>
        <w:contextualSpacing/>
        <w:jc w:val="both"/>
        <w:rPr>
          <w:rFonts w:ascii="Arial" w:hAnsi="Arial" w:cs="Arial"/>
          <w:color w:val="222222"/>
          <w:sz w:val="20"/>
          <w:szCs w:val="20"/>
          <w:shd w:val="clear" w:color="auto" w:fill="FFFFFF"/>
        </w:rPr>
      </w:pPr>
      <w:r w:rsidRPr="00D26C28">
        <w:rPr>
          <w:color w:val="000000" w:themeColor="text1"/>
        </w:rPr>
        <w:t>W</w:t>
      </w:r>
      <w:r w:rsidR="00CA42C1" w:rsidRPr="00D26C28">
        <w:rPr>
          <w:color w:val="000000" w:themeColor="text1"/>
        </w:rPr>
        <w:t>e highlight</w:t>
      </w:r>
      <w:r w:rsidR="00043A3A" w:rsidRPr="00D26C28">
        <w:rPr>
          <w:color w:val="000000" w:themeColor="text1"/>
        </w:rPr>
        <w:t xml:space="preserve"> the novelty of our work as follows. First</w:t>
      </w:r>
      <w:r w:rsidR="0035380D" w:rsidRPr="00D26C28">
        <w:rPr>
          <w:color w:val="000000" w:themeColor="text1"/>
        </w:rPr>
        <w:t>, both studies</w:t>
      </w:r>
      <w:r w:rsidR="00043A3A" w:rsidRPr="00D26C28">
        <w:rPr>
          <w:color w:val="000000" w:themeColor="text1"/>
        </w:rPr>
        <w:t xml:space="preserve"> cited above</w:t>
      </w:r>
      <w:r w:rsidR="0035380D" w:rsidRPr="00D26C28">
        <w:rPr>
          <w:color w:val="000000" w:themeColor="text1"/>
        </w:rPr>
        <w:t xml:space="preserve"> do not investigate ESG integration within the Australian equity market. </w:t>
      </w:r>
      <w:bookmarkStart w:id="2" w:name="_Hlk31963987"/>
      <w:r w:rsidR="0035380D" w:rsidRPr="00D26C28">
        <w:rPr>
          <w:color w:val="000000" w:themeColor="text1"/>
        </w:rPr>
        <w:t>The uniqueness of the Australian marke</w:t>
      </w:r>
      <w:r w:rsidR="00573666" w:rsidRPr="00D26C28">
        <w:rPr>
          <w:color w:val="000000" w:themeColor="text1"/>
        </w:rPr>
        <w:t>t</w:t>
      </w:r>
      <w:r w:rsidR="0035380D" w:rsidRPr="00D26C28">
        <w:rPr>
          <w:color w:val="000000" w:themeColor="text1"/>
        </w:rPr>
        <w:t>,</w:t>
      </w:r>
      <w:r w:rsidR="001B365B" w:rsidRPr="00D26C28">
        <w:rPr>
          <w:color w:val="000000" w:themeColor="text1"/>
        </w:rPr>
        <w:t xml:space="preserve"> including</w:t>
      </w:r>
      <w:r w:rsidR="0035380D" w:rsidRPr="00D26C28">
        <w:rPr>
          <w:color w:val="000000" w:themeColor="text1"/>
        </w:rPr>
        <w:t xml:space="preserve"> the effects of dividend imputation</w:t>
      </w:r>
      <w:r w:rsidR="00573666" w:rsidRPr="00D26C28">
        <w:rPr>
          <w:color w:val="000000" w:themeColor="text1"/>
        </w:rPr>
        <w:t xml:space="preserve"> system</w:t>
      </w:r>
      <w:r w:rsidR="001B365B" w:rsidRPr="00D26C28">
        <w:rPr>
          <w:color w:val="000000" w:themeColor="text1"/>
        </w:rPr>
        <w:t xml:space="preserve"> (Cannavan, Finn &amp; Gray, 2004; Cummings &amp; Frino, 2008)</w:t>
      </w:r>
      <w:r w:rsidR="0035380D" w:rsidRPr="00D26C28">
        <w:rPr>
          <w:color w:val="000000" w:themeColor="text1"/>
        </w:rPr>
        <w:t xml:space="preserve">, </w:t>
      </w:r>
      <w:r w:rsidR="00573666" w:rsidRPr="00D26C28">
        <w:rPr>
          <w:color w:val="000000" w:themeColor="text1"/>
        </w:rPr>
        <w:t xml:space="preserve">mandatory </w:t>
      </w:r>
      <w:r w:rsidR="0035380D" w:rsidRPr="00D26C28">
        <w:rPr>
          <w:color w:val="000000" w:themeColor="text1"/>
        </w:rPr>
        <w:t>superannuation</w:t>
      </w:r>
      <w:r w:rsidR="001B365B" w:rsidRPr="00D26C28">
        <w:rPr>
          <w:color w:val="000000" w:themeColor="text1"/>
        </w:rPr>
        <w:t xml:space="preserve"> </w:t>
      </w:r>
      <w:r w:rsidR="001363C4" w:rsidRPr="00D26C28">
        <w:rPr>
          <w:color w:val="000000" w:themeColor="text1"/>
        </w:rPr>
        <w:t>scheme</w:t>
      </w:r>
      <w:r w:rsidR="001B365B" w:rsidRPr="00D26C28">
        <w:rPr>
          <w:color w:val="000000" w:themeColor="text1"/>
        </w:rPr>
        <w:t xml:space="preserve"> (Huynh, Mallik &amp; Hettihewa, 2006)</w:t>
      </w:r>
      <w:r w:rsidR="0035380D" w:rsidRPr="00D26C28">
        <w:rPr>
          <w:color w:val="000000" w:themeColor="text1"/>
        </w:rPr>
        <w:t>,</w:t>
      </w:r>
      <w:r w:rsidR="001B365B" w:rsidRPr="00D26C28">
        <w:rPr>
          <w:color w:val="000000" w:themeColor="text1"/>
        </w:rPr>
        <w:t xml:space="preserve"> and </w:t>
      </w:r>
      <w:r w:rsidR="001363C4" w:rsidRPr="00D26C28">
        <w:rPr>
          <w:color w:val="000000" w:themeColor="text1"/>
        </w:rPr>
        <w:t xml:space="preserve">high </w:t>
      </w:r>
      <w:r w:rsidR="001B365B" w:rsidRPr="00D26C28">
        <w:rPr>
          <w:color w:val="000000" w:themeColor="text1"/>
        </w:rPr>
        <w:t xml:space="preserve">retail </w:t>
      </w:r>
      <w:r w:rsidR="001363C4" w:rsidRPr="00D26C28">
        <w:rPr>
          <w:color w:val="000000" w:themeColor="text1"/>
        </w:rPr>
        <w:t xml:space="preserve">ownership </w:t>
      </w:r>
      <w:r w:rsidR="001B365B" w:rsidRPr="00D26C28">
        <w:rPr>
          <w:color w:val="000000" w:themeColor="text1"/>
        </w:rPr>
        <w:t>(</w:t>
      </w:r>
      <w:r w:rsidR="009576AC" w:rsidRPr="00D26C28">
        <w:rPr>
          <w:color w:val="000000" w:themeColor="text1"/>
        </w:rPr>
        <w:t xml:space="preserve">Henker &amp; Henker, 2010; </w:t>
      </w:r>
      <w:r w:rsidR="001B365B" w:rsidRPr="00D26C28">
        <w:rPr>
          <w:color w:val="000000" w:themeColor="text1"/>
        </w:rPr>
        <w:t>ASX</w:t>
      </w:r>
      <w:r w:rsidR="001363C4" w:rsidRPr="00D26C28">
        <w:rPr>
          <w:color w:val="000000" w:themeColor="text1"/>
        </w:rPr>
        <w:t>, 2015: p49</w:t>
      </w:r>
      <w:r w:rsidR="001B365B" w:rsidRPr="00D26C28">
        <w:rPr>
          <w:color w:val="000000" w:themeColor="text1"/>
        </w:rPr>
        <w:t xml:space="preserve">) </w:t>
      </w:r>
      <w:r w:rsidR="001363C4" w:rsidRPr="00D26C28">
        <w:rPr>
          <w:color w:val="000000" w:themeColor="text1"/>
        </w:rPr>
        <w:t>are</w:t>
      </w:r>
      <w:r w:rsidR="00573666" w:rsidRPr="00D26C28">
        <w:rPr>
          <w:color w:val="000000" w:themeColor="text1"/>
        </w:rPr>
        <w:t xml:space="preserve"> well-documented in the literature</w:t>
      </w:r>
      <w:r w:rsidR="001B365B" w:rsidRPr="00D26C28">
        <w:rPr>
          <w:color w:val="000000" w:themeColor="text1"/>
        </w:rPr>
        <w:t>.</w:t>
      </w:r>
      <w:bookmarkEnd w:id="2"/>
      <w:r w:rsidR="00561FA2" w:rsidRPr="00D26C28">
        <w:rPr>
          <w:rFonts w:ascii="Arial" w:hAnsi="Arial" w:cs="Arial"/>
          <w:color w:val="222222"/>
          <w:sz w:val="20"/>
          <w:szCs w:val="20"/>
          <w:shd w:val="clear" w:color="auto" w:fill="FFFFFF"/>
        </w:rPr>
        <w:t xml:space="preserve"> </w:t>
      </w:r>
      <w:r w:rsidR="00FE5B33" w:rsidRPr="00D26C28">
        <w:t xml:space="preserve">Thus, </w:t>
      </w:r>
      <w:r w:rsidR="00FE5B33" w:rsidRPr="00D26C28">
        <w:rPr>
          <w:color w:val="000000" w:themeColor="text1"/>
        </w:rPr>
        <w:t>t</w:t>
      </w:r>
      <w:r w:rsidR="0035380D" w:rsidRPr="00D26C28">
        <w:rPr>
          <w:color w:val="000000" w:themeColor="text1"/>
        </w:rPr>
        <w:t xml:space="preserve">he lack of Australian ESG studies, </w:t>
      </w:r>
      <w:r w:rsidR="002A78A8" w:rsidRPr="00D26C28">
        <w:rPr>
          <w:color w:val="000000" w:themeColor="text1"/>
        </w:rPr>
        <w:t xml:space="preserve">and </w:t>
      </w:r>
      <w:r w:rsidR="00FE5B33" w:rsidRPr="00D26C28">
        <w:rPr>
          <w:color w:val="000000" w:themeColor="text1"/>
        </w:rPr>
        <w:t xml:space="preserve">more </w:t>
      </w:r>
      <w:r w:rsidR="0035380D" w:rsidRPr="00D26C28">
        <w:rPr>
          <w:color w:val="000000" w:themeColor="text1"/>
        </w:rPr>
        <w:t>specifically</w:t>
      </w:r>
      <w:r w:rsidR="008A3259" w:rsidRPr="00D26C28">
        <w:rPr>
          <w:color w:val="000000" w:themeColor="text1"/>
        </w:rPr>
        <w:t>,</w:t>
      </w:r>
      <w:r w:rsidR="0035380D" w:rsidRPr="00D26C28">
        <w:rPr>
          <w:color w:val="000000" w:themeColor="text1"/>
        </w:rPr>
        <w:t xml:space="preserve"> stud</w:t>
      </w:r>
      <w:r w:rsidR="00FE5B33" w:rsidRPr="00D26C28">
        <w:rPr>
          <w:color w:val="000000" w:themeColor="text1"/>
        </w:rPr>
        <w:t xml:space="preserve">ies </w:t>
      </w:r>
      <w:r w:rsidR="006103AE" w:rsidRPr="00D26C28">
        <w:rPr>
          <w:color w:val="000000" w:themeColor="text1"/>
        </w:rPr>
        <w:t>that</w:t>
      </w:r>
      <w:r w:rsidR="0035380D" w:rsidRPr="00D26C28">
        <w:rPr>
          <w:color w:val="000000" w:themeColor="text1"/>
        </w:rPr>
        <w:t xml:space="preserve"> integrate ESG with known risk factors</w:t>
      </w:r>
      <w:r w:rsidR="002A78A8" w:rsidRPr="00D26C28">
        <w:rPr>
          <w:color w:val="000000" w:themeColor="text1"/>
        </w:rPr>
        <w:t>,</w:t>
      </w:r>
      <w:r w:rsidR="0035380D" w:rsidRPr="00D26C28">
        <w:rPr>
          <w:color w:val="000000" w:themeColor="text1"/>
        </w:rPr>
        <w:t xml:space="preserve"> </w:t>
      </w:r>
      <w:r w:rsidR="00291178" w:rsidRPr="00D26C28">
        <w:rPr>
          <w:color w:val="000000" w:themeColor="text1"/>
        </w:rPr>
        <w:t>presents</w:t>
      </w:r>
      <w:r w:rsidR="002A78A8" w:rsidRPr="00D26C28">
        <w:rPr>
          <w:color w:val="000000" w:themeColor="text1"/>
        </w:rPr>
        <w:t xml:space="preserve"> a</w:t>
      </w:r>
      <w:r w:rsidR="006103AE" w:rsidRPr="00D26C28">
        <w:rPr>
          <w:color w:val="000000" w:themeColor="text1"/>
        </w:rPr>
        <w:t xml:space="preserve">n important </w:t>
      </w:r>
      <w:r w:rsidR="006103AE" w:rsidRPr="00D26C28">
        <w:rPr>
          <w:color w:val="000000" w:themeColor="text1"/>
        </w:rPr>
        <w:lastRenderedPageBreak/>
        <w:t>knowledge gap our</w:t>
      </w:r>
      <w:r w:rsidR="002A78A8" w:rsidRPr="00D26C28">
        <w:rPr>
          <w:color w:val="000000" w:themeColor="text1"/>
        </w:rPr>
        <w:t xml:space="preserve"> paper</w:t>
      </w:r>
      <w:r w:rsidR="006103AE" w:rsidRPr="00D26C28">
        <w:rPr>
          <w:color w:val="000000" w:themeColor="text1"/>
        </w:rPr>
        <w:t xml:space="preserve"> attempts to address</w:t>
      </w:r>
      <w:r w:rsidR="0035380D" w:rsidRPr="00D26C28">
        <w:rPr>
          <w:color w:val="000000" w:themeColor="text1"/>
        </w:rPr>
        <w:t>.</w:t>
      </w:r>
      <w:r w:rsidR="00C238AC" w:rsidRPr="00D26C28">
        <w:rPr>
          <w:color w:val="000000" w:themeColor="text1"/>
        </w:rPr>
        <w:t xml:space="preserve"> Our findings can also be viewed as an out-of-sample test </w:t>
      </w:r>
      <w:r w:rsidR="00623632" w:rsidRPr="00D26C28">
        <w:rPr>
          <w:color w:val="000000" w:themeColor="text1"/>
        </w:rPr>
        <w:t>for</w:t>
      </w:r>
      <w:r w:rsidR="00C238AC" w:rsidRPr="00D26C28">
        <w:rPr>
          <w:color w:val="000000" w:themeColor="text1"/>
        </w:rPr>
        <w:t xml:space="preserve"> studies that focus on other developed markets.</w:t>
      </w:r>
    </w:p>
    <w:p w14:paraId="133554FD" w14:textId="77777777" w:rsidR="00F17488" w:rsidRPr="00D26C28" w:rsidRDefault="00F17488" w:rsidP="004C4BE7">
      <w:pPr>
        <w:contextualSpacing/>
        <w:jc w:val="both"/>
        <w:rPr>
          <w:color w:val="000000" w:themeColor="text1"/>
        </w:rPr>
      </w:pPr>
    </w:p>
    <w:p w14:paraId="5C9651B5" w14:textId="699156CC" w:rsidR="0035380D" w:rsidRPr="00D26C28" w:rsidRDefault="00043A3A" w:rsidP="004C4BE7">
      <w:pPr>
        <w:contextualSpacing/>
        <w:jc w:val="both"/>
        <w:rPr>
          <w:iCs/>
          <w:color w:val="000000" w:themeColor="text1"/>
        </w:rPr>
      </w:pPr>
      <w:r w:rsidRPr="00D26C28">
        <w:rPr>
          <w:color w:val="000000" w:themeColor="text1"/>
        </w:rPr>
        <w:t xml:space="preserve">Second, </w:t>
      </w:r>
      <w:r w:rsidR="002A78A8" w:rsidRPr="00D26C28">
        <w:rPr>
          <w:color w:val="000000" w:themeColor="text1"/>
        </w:rPr>
        <w:t xml:space="preserve">our paper also differs from the </w:t>
      </w:r>
      <w:r w:rsidR="00F16224" w:rsidRPr="00D26C28">
        <w:rPr>
          <w:color w:val="000000" w:themeColor="text1"/>
        </w:rPr>
        <w:t>above-mentioned</w:t>
      </w:r>
      <w:r w:rsidR="002A78A8" w:rsidRPr="00D26C28">
        <w:rPr>
          <w:color w:val="000000" w:themeColor="text1"/>
        </w:rPr>
        <w:t xml:space="preserve"> studies </w:t>
      </w:r>
      <w:r w:rsidRPr="00D26C28">
        <w:rPr>
          <w:color w:val="000000" w:themeColor="text1"/>
        </w:rPr>
        <w:t>i</w:t>
      </w:r>
      <w:r w:rsidR="0035380D" w:rsidRPr="00D26C28">
        <w:rPr>
          <w:color w:val="000000" w:themeColor="text1"/>
        </w:rPr>
        <w:t xml:space="preserve">n terms of portfolio construction and </w:t>
      </w:r>
      <w:r w:rsidR="001363C4" w:rsidRPr="00D26C28">
        <w:rPr>
          <w:color w:val="000000" w:themeColor="text1"/>
        </w:rPr>
        <w:t xml:space="preserve">factor </w:t>
      </w:r>
      <w:r w:rsidR="00C238AC" w:rsidRPr="00D26C28">
        <w:rPr>
          <w:color w:val="000000" w:themeColor="text1"/>
        </w:rPr>
        <w:t>selection</w:t>
      </w:r>
      <w:r w:rsidR="002A78A8" w:rsidRPr="00D26C28">
        <w:rPr>
          <w:color w:val="000000" w:themeColor="text1"/>
        </w:rPr>
        <w:t>.</w:t>
      </w:r>
      <w:r w:rsidR="0035380D" w:rsidRPr="00D26C28">
        <w:rPr>
          <w:color w:val="000000" w:themeColor="text1"/>
        </w:rPr>
        <w:t xml:space="preserve"> </w:t>
      </w:r>
      <w:r w:rsidR="0035380D" w:rsidRPr="00D26C28">
        <w:rPr>
          <w:iCs/>
          <w:color w:val="000000" w:themeColor="text1"/>
        </w:rPr>
        <w:t>K</w:t>
      </w:r>
      <w:r w:rsidR="00FD2F27" w:rsidRPr="00D26C28">
        <w:rPr>
          <w:iCs/>
          <w:color w:val="000000" w:themeColor="text1"/>
        </w:rPr>
        <w:t>a</w:t>
      </w:r>
      <w:r w:rsidR="0035380D" w:rsidRPr="00D26C28">
        <w:rPr>
          <w:iCs/>
          <w:color w:val="000000" w:themeColor="text1"/>
        </w:rPr>
        <w:t>iser (2018)</w:t>
      </w:r>
      <w:r w:rsidR="0035380D" w:rsidRPr="00D26C28">
        <w:rPr>
          <w:i/>
          <w:color w:val="000000" w:themeColor="text1"/>
        </w:rPr>
        <w:t xml:space="preserve"> </w:t>
      </w:r>
      <w:r w:rsidR="0035380D" w:rsidRPr="00D26C28">
        <w:rPr>
          <w:color w:val="000000" w:themeColor="text1"/>
        </w:rPr>
        <w:t>restrict</w:t>
      </w:r>
      <w:r w:rsidRPr="00D26C28">
        <w:rPr>
          <w:color w:val="000000" w:themeColor="text1"/>
        </w:rPr>
        <w:t>s</w:t>
      </w:r>
      <w:r w:rsidR="0035380D" w:rsidRPr="00D26C28">
        <w:rPr>
          <w:color w:val="000000" w:themeColor="text1"/>
        </w:rPr>
        <w:t xml:space="preserve"> the combination of ESG with value, growth and momentum to long-only portfolios. </w:t>
      </w:r>
      <w:r w:rsidR="002A78A8" w:rsidRPr="00D26C28">
        <w:rPr>
          <w:color w:val="000000" w:themeColor="text1"/>
        </w:rPr>
        <w:t>We</w:t>
      </w:r>
      <w:r w:rsidR="0035380D" w:rsidRPr="00D26C28">
        <w:rPr>
          <w:color w:val="000000" w:themeColor="text1"/>
        </w:rPr>
        <w:t xml:space="preserve"> investigate the construction of zero-investment (long/short) portfolios similar to Asness et al. (2013). Furthermore, </w:t>
      </w:r>
      <w:r w:rsidR="002A78A8" w:rsidRPr="00D26C28">
        <w:rPr>
          <w:color w:val="000000" w:themeColor="text1"/>
        </w:rPr>
        <w:t>we employ</w:t>
      </w:r>
      <w:r w:rsidR="0035380D" w:rsidRPr="00D26C28">
        <w:rPr>
          <w:color w:val="000000" w:themeColor="text1"/>
        </w:rPr>
        <w:t xml:space="preserve"> quantile</w:t>
      </w:r>
      <w:r w:rsidR="00FD2F27" w:rsidRPr="00D26C28">
        <w:rPr>
          <w:color w:val="000000" w:themeColor="text1"/>
        </w:rPr>
        <w:t>/tercile</w:t>
      </w:r>
      <w:r w:rsidR="0035380D" w:rsidRPr="00D26C28">
        <w:rPr>
          <w:color w:val="000000" w:themeColor="text1"/>
        </w:rPr>
        <w:t xml:space="preserve"> </w:t>
      </w:r>
      <w:r w:rsidR="002A78A8" w:rsidRPr="00D26C28">
        <w:rPr>
          <w:color w:val="000000" w:themeColor="text1"/>
        </w:rPr>
        <w:t>portfolio breakpoints</w:t>
      </w:r>
      <w:r w:rsidR="0035380D" w:rsidRPr="00D26C28">
        <w:rPr>
          <w:color w:val="000000" w:themeColor="text1"/>
        </w:rPr>
        <w:t>,</w:t>
      </w:r>
      <w:r w:rsidR="002A78A8" w:rsidRPr="00D26C28">
        <w:rPr>
          <w:color w:val="000000" w:themeColor="text1"/>
        </w:rPr>
        <w:t xml:space="preserve"> </w:t>
      </w:r>
      <w:r w:rsidR="0035380D" w:rsidRPr="00D26C28">
        <w:rPr>
          <w:color w:val="000000" w:themeColor="text1"/>
        </w:rPr>
        <w:t>following the rationale of Asness et al. (2013)</w:t>
      </w:r>
      <w:r w:rsidR="002A78A8" w:rsidRPr="00D26C28">
        <w:rPr>
          <w:color w:val="000000" w:themeColor="text1"/>
        </w:rPr>
        <w:t>. This</w:t>
      </w:r>
      <w:r w:rsidR="00F16224" w:rsidRPr="00D26C28">
        <w:rPr>
          <w:color w:val="000000" w:themeColor="text1"/>
        </w:rPr>
        <w:t xml:space="preserve"> approach also</w:t>
      </w:r>
      <w:r w:rsidR="002A78A8" w:rsidRPr="00D26C28">
        <w:rPr>
          <w:color w:val="000000" w:themeColor="text1"/>
        </w:rPr>
        <w:t xml:space="preserve"> differs from</w:t>
      </w:r>
      <w:r w:rsidR="00FD2F27" w:rsidRPr="00D26C28">
        <w:rPr>
          <w:color w:val="000000" w:themeColor="text1"/>
        </w:rPr>
        <w:t xml:space="preserve"> the optimization-based portfolios in Bender et al. (2017).</w:t>
      </w:r>
    </w:p>
    <w:p w14:paraId="02E1C1DA" w14:textId="07DFD517" w:rsidR="0035380D" w:rsidRPr="00D26C28" w:rsidRDefault="0035380D" w:rsidP="004C4BE7">
      <w:pPr>
        <w:contextualSpacing/>
        <w:rPr>
          <w:iCs/>
          <w:color w:val="000000" w:themeColor="text1"/>
        </w:rPr>
      </w:pPr>
    </w:p>
    <w:p w14:paraId="1237BE0B" w14:textId="1F6D3554" w:rsidR="00C238AC" w:rsidRPr="00D26C28" w:rsidRDefault="00C238AC" w:rsidP="00C238AC">
      <w:pPr>
        <w:contextualSpacing/>
        <w:jc w:val="both"/>
        <w:rPr>
          <w:color w:val="000000" w:themeColor="text1"/>
        </w:rPr>
      </w:pPr>
      <w:r w:rsidRPr="00D26C28">
        <w:rPr>
          <w:color w:val="000000" w:themeColor="text1"/>
        </w:rPr>
        <w:t>To address the concern of the referee, we highlight the above discussion</w:t>
      </w:r>
      <w:r w:rsidR="00623632" w:rsidRPr="00D26C28">
        <w:rPr>
          <w:color w:val="000000" w:themeColor="text1"/>
        </w:rPr>
        <w:t>s</w:t>
      </w:r>
      <w:r w:rsidRPr="00D26C28">
        <w:rPr>
          <w:color w:val="000000" w:themeColor="text1"/>
        </w:rPr>
        <w:t xml:space="preserve"> by inserting</w:t>
      </w:r>
      <w:r w:rsidR="00623632" w:rsidRPr="00D26C28">
        <w:rPr>
          <w:color w:val="000000" w:themeColor="text1"/>
        </w:rPr>
        <w:t xml:space="preserve"> </w:t>
      </w:r>
      <w:r w:rsidRPr="00D26C28">
        <w:rPr>
          <w:color w:val="000000" w:themeColor="text1"/>
        </w:rPr>
        <w:t>footnote 1 on page 2</w:t>
      </w:r>
      <w:r w:rsidR="00C47D60" w:rsidRPr="00D26C28">
        <w:rPr>
          <w:color w:val="000000" w:themeColor="text1"/>
        </w:rPr>
        <w:t>:</w:t>
      </w:r>
      <w:r w:rsidRPr="00D26C28">
        <w:rPr>
          <w:color w:val="000000" w:themeColor="text1"/>
        </w:rPr>
        <w:t xml:space="preserve"> paragraph</w:t>
      </w:r>
      <w:r w:rsidR="00623632" w:rsidRPr="00D26C28">
        <w:rPr>
          <w:color w:val="000000" w:themeColor="text1"/>
        </w:rPr>
        <w:t>s</w:t>
      </w:r>
      <w:r w:rsidRPr="00D26C28">
        <w:rPr>
          <w:color w:val="000000" w:themeColor="text1"/>
        </w:rPr>
        <w:t xml:space="preserve"> </w:t>
      </w:r>
      <w:r w:rsidR="00623632" w:rsidRPr="00D26C28">
        <w:rPr>
          <w:color w:val="000000" w:themeColor="text1"/>
        </w:rPr>
        <w:t>3</w:t>
      </w:r>
      <w:r w:rsidR="00095CCD" w:rsidRPr="00D26C28">
        <w:rPr>
          <w:color w:val="000000" w:themeColor="text1"/>
        </w:rPr>
        <w:t xml:space="preserve"> &amp;</w:t>
      </w:r>
      <w:r w:rsidR="00C47D60" w:rsidRPr="00D26C28">
        <w:rPr>
          <w:color w:val="000000" w:themeColor="text1"/>
        </w:rPr>
        <w:t xml:space="preserve"> </w:t>
      </w:r>
      <w:r w:rsidR="00095CCD" w:rsidRPr="00D26C28">
        <w:rPr>
          <w:color w:val="000000" w:themeColor="text1"/>
        </w:rPr>
        <w:t xml:space="preserve">footnote 3 on </w:t>
      </w:r>
      <w:r w:rsidR="00C47D60" w:rsidRPr="00D26C28">
        <w:rPr>
          <w:color w:val="000000" w:themeColor="text1"/>
        </w:rPr>
        <w:t>page 3: paragraph 3</w:t>
      </w:r>
      <w:r w:rsidRPr="00D26C28">
        <w:rPr>
          <w:color w:val="000000" w:themeColor="text1"/>
        </w:rPr>
        <w:t xml:space="preserve"> in the revised manuscript.</w:t>
      </w:r>
    </w:p>
    <w:p w14:paraId="74D3E080" w14:textId="7F588243" w:rsidR="00F17488" w:rsidRPr="00D26C28" w:rsidRDefault="00F17488" w:rsidP="00F17488">
      <w:pPr>
        <w:contextualSpacing/>
        <w:jc w:val="both"/>
        <w:rPr>
          <w:iCs/>
          <w:color w:val="000000" w:themeColor="text1"/>
        </w:rPr>
      </w:pPr>
    </w:p>
    <w:p w14:paraId="018A369C" w14:textId="77777777" w:rsidR="00F17488" w:rsidRPr="00D26C28" w:rsidRDefault="00F17488" w:rsidP="00F17488">
      <w:pPr>
        <w:contextualSpacing/>
        <w:jc w:val="both"/>
        <w:rPr>
          <w:iCs/>
          <w:color w:val="000000" w:themeColor="text1"/>
        </w:rPr>
      </w:pPr>
    </w:p>
    <w:p w14:paraId="017B7ED5" w14:textId="2CF9CB53" w:rsidR="00A17D4F" w:rsidRPr="00D26C28" w:rsidRDefault="00A17D4F" w:rsidP="004C4BE7">
      <w:pPr>
        <w:contextualSpacing/>
        <w:rPr>
          <w:color w:val="000000" w:themeColor="text1"/>
        </w:rPr>
      </w:pPr>
      <w:r w:rsidRPr="00D26C28">
        <w:rPr>
          <w:b/>
          <w:bCs/>
          <w:color w:val="000000" w:themeColor="text1"/>
        </w:rPr>
        <w:t>Comment 2:</w:t>
      </w:r>
      <w:r w:rsidRPr="00D26C28">
        <w:rPr>
          <w:color w:val="000000" w:themeColor="text1"/>
        </w:rPr>
        <w:t> </w:t>
      </w:r>
    </w:p>
    <w:p w14:paraId="05F9ED1F" w14:textId="77777777" w:rsidR="006B6CB5" w:rsidRPr="00D26C28" w:rsidRDefault="006B6CB5" w:rsidP="004C4BE7">
      <w:pPr>
        <w:contextualSpacing/>
        <w:rPr>
          <w:i/>
          <w:color w:val="000000" w:themeColor="text1"/>
        </w:rPr>
      </w:pPr>
    </w:p>
    <w:p w14:paraId="79BD51E5" w14:textId="77777777" w:rsidR="00A17D4F" w:rsidRPr="00D26C28" w:rsidRDefault="00A17D4F" w:rsidP="004C4BE7">
      <w:pPr>
        <w:shd w:val="clear" w:color="auto" w:fill="FFFFFF"/>
        <w:contextualSpacing/>
        <w:jc w:val="both"/>
        <w:rPr>
          <w:i/>
          <w:color w:val="000000" w:themeColor="text1"/>
        </w:rPr>
      </w:pPr>
      <w:r w:rsidRPr="00D26C28">
        <w:rPr>
          <w:i/>
          <w:color w:val="000000" w:themeColor="text1"/>
        </w:rPr>
        <w:t>This manuscript is also related to the work by Lee, Fan, and Wong (2018).  Lee, Fan, and Wong (2018) also analyze the consequences of ESG based investing in firms listed in Australia during the 2006-2016 period.  They find that high ESG rated portfolios do not significantly outperform or underperform the market, whereas low ESG rated portfolios underperform the market.  The manuscript object of this report deals with more complex investment strategies, but the work by Lee, Fan, and Wong (2018) also diminishes its marginal contribution. </w:t>
      </w:r>
    </w:p>
    <w:p w14:paraId="6EFBB7F3" w14:textId="77777777" w:rsidR="00A17D4F" w:rsidRPr="00D26C28" w:rsidRDefault="00A17D4F" w:rsidP="004C4BE7">
      <w:pPr>
        <w:shd w:val="clear" w:color="auto" w:fill="FFFFFF"/>
        <w:contextualSpacing/>
        <w:jc w:val="both"/>
        <w:rPr>
          <w:i/>
          <w:color w:val="000000" w:themeColor="text1"/>
        </w:rPr>
      </w:pPr>
      <w:r w:rsidRPr="00D26C28">
        <w:rPr>
          <w:i/>
          <w:color w:val="000000" w:themeColor="text1"/>
        </w:rPr>
        <w:t>While reading these two papers, I noticed that they use different sources for ESG scores, even though this paper explains why Bloomberg is superior to ASSET4. Do the results differ depending on the ESG database?</w:t>
      </w:r>
    </w:p>
    <w:p w14:paraId="07D2AF05" w14:textId="77777777" w:rsidR="004C4BE7" w:rsidRPr="00D26C28" w:rsidRDefault="004C4BE7" w:rsidP="004C4BE7">
      <w:pPr>
        <w:shd w:val="clear" w:color="auto" w:fill="FFFFFF"/>
        <w:contextualSpacing/>
        <w:jc w:val="both"/>
        <w:rPr>
          <w:color w:val="000000" w:themeColor="text1"/>
        </w:rPr>
      </w:pPr>
    </w:p>
    <w:p w14:paraId="5E8FD16F" w14:textId="42F2CF86" w:rsidR="004C4BE7" w:rsidRPr="00D26C28" w:rsidRDefault="004C4BE7" w:rsidP="004C4BE7">
      <w:pPr>
        <w:shd w:val="clear" w:color="auto" w:fill="FFFFFF"/>
        <w:contextualSpacing/>
        <w:jc w:val="both"/>
        <w:rPr>
          <w:color w:val="000000" w:themeColor="text1"/>
        </w:rPr>
      </w:pPr>
      <w:r w:rsidRPr="00D26C28">
        <w:rPr>
          <w:color w:val="000000" w:themeColor="text1"/>
        </w:rPr>
        <w:t>The comment is well-taken. We wish to t</w:t>
      </w:r>
      <w:r w:rsidR="005F1F0E" w:rsidRPr="00D26C28">
        <w:rPr>
          <w:color w:val="000000" w:themeColor="text1"/>
        </w:rPr>
        <w:t>hank</w:t>
      </w:r>
      <w:r w:rsidRPr="00D26C28">
        <w:rPr>
          <w:color w:val="000000" w:themeColor="text1"/>
        </w:rPr>
        <w:t xml:space="preserve"> the referee</w:t>
      </w:r>
      <w:r w:rsidR="005F1F0E" w:rsidRPr="00D26C28">
        <w:rPr>
          <w:color w:val="000000" w:themeColor="text1"/>
        </w:rPr>
        <w:t xml:space="preserve"> for</w:t>
      </w:r>
      <w:r w:rsidRPr="00D26C28">
        <w:rPr>
          <w:color w:val="000000" w:themeColor="text1"/>
        </w:rPr>
        <w:t xml:space="preserve"> </w:t>
      </w:r>
      <w:r w:rsidR="00BA0CE5" w:rsidRPr="00D26C28">
        <w:rPr>
          <w:color w:val="000000" w:themeColor="text1"/>
        </w:rPr>
        <w:t>their</w:t>
      </w:r>
      <w:r w:rsidR="005F1F0E" w:rsidRPr="00D26C28">
        <w:rPr>
          <w:color w:val="000000" w:themeColor="text1"/>
        </w:rPr>
        <w:t xml:space="preserve"> </w:t>
      </w:r>
      <w:r w:rsidRPr="00D26C28">
        <w:rPr>
          <w:color w:val="000000" w:themeColor="text1"/>
        </w:rPr>
        <w:t>constructive feedback</w:t>
      </w:r>
      <w:r w:rsidR="005F1F0E" w:rsidRPr="00D26C28">
        <w:rPr>
          <w:color w:val="000000" w:themeColor="text1"/>
        </w:rPr>
        <w:t>.</w:t>
      </w:r>
    </w:p>
    <w:p w14:paraId="0FAC420F" w14:textId="77777777" w:rsidR="004C4BE7" w:rsidRPr="00D26C28" w:rsidRDefault="004C4BE7" w:rsidP="004C4BE7">
      <w:pPr>
        <w:shd w:val="clear" w:color="auto" w:fill="FFFFFF"/>
        <w:contextualSpacing/>
        <w:jc w:val="both"/>
        <w:rPr>
          <w:color w:val="000000" w:themeColor="text1"/>
        </w:rPr>
      </w:pPr>
    </w:p>
    <w:p w14:paraId="2E65BFD7" w14:textId="3E910BE2" w:rsidR="005F1F0E" w:rsidRPr="00D26C28" w:rsidRDefault="004C4BE7" w:rsidP="004C4BE7">
      <w:pPr>
        <w:shd w:val="clear" w:color="auto" w:fill="FFFFFF"/>
        <w:contextualSpacing/>
        <w:jc w:val="both"/>
        <w:rPr>
          <w:color w:val="000000" w:themeColor="text1"/>
        </w:rPr>
      </w:pPr>
      <w:r w:rsidRPr="00D26C28">
        <w:rPr>
          <w:iCs/>
          <w:color w:val="000000" w:themeColor="text1"/>
        </w:rPr>
        <w:t>Our work significantly differs from Lee, Fan, and Wong (2018)</w:t>
      </w:r>
      <w:r w:rsidR="00C1643F" w:rsidRPr="00D26C28">
        <w:rPr>
          <w:iCs/>
          <w:color w:val="000000" w:themeColor="text1"/>
        </w:rPr>
        <w:t xml:space="preserve"> in two ways</w:t>
      </w:r>
      <w:r w:rsidRPr="00D26C28">
        <w:rPr>
          <w:iCs/>
          <w:color w:val="000000" w:themeColor="text1"/>
        </w:rPr>
        <w:t xml:space="preserve">. First, </w:t>
      </w:r>
      <w:r w:rsidR="005F1F0E" w:rsidRPr="00D26C28">
        <w:rPr>
          <w:iCs/>
          <w:color w:val="000000" w:themeColor="text1"/>
        </w:rPr>
        <w:t>Lee</w:t>
      </w:r>
      <w:r w:rsidRPr="00D26C28">
        <w:rPr>
          <w:iCs/>
          <w:color w:val="000000" w:themeColor="text1"/>
        </w:rPr>
        <w:t xml:space="preserve"> et al.</w:t>
      </w:r>
      <w:r w:rsidR="005F1F0E" w:rsidRPr="00D26C28">
        <w:rPr>
          <w:iCs/>
          <w:color w:val="000000" w:themeColor="text1"/>
        </w:rPr>
        <w:t xml:space="preserve"> (2018)</w:t>
      </w:r>
      <w:r w:rsidR="00F5299A" w:rsidRPr="00D26C28">
        <w:rPr>
          <w:i/>
          <w:color w:val="000000" w:themeColor="text1"/>
        </w:rPr>
        <w:t xml:space="preserve"> </w:t>
      </w:r>
      <w:r w:rsidR="00F5299A" w:rsidRPr="00D26C28">
        <w:rPr>
          <w:color w:val="000000" w:themeColor="text1"/>
        </w:rPr>
        <w:t>only investigate high and low ESG rated portfolios</w:t>
      </w:r>
      <w:r w:rsidRPr="00D26C28">
        <w:rPr>
          <w:color w:val="000000" w:themeColor="text1"/>
        </w:rPr>
        <w:t xml:space="preserve"> (term</w:t>
      </w:r>
      <w:r w:rsidR="00C1643F" w:rsidRPr="00D26C28">
        <w:rPr>
          <w:color w:val="000000" w:themeColor="text1"/>
        </w:rPr>
        <w:t>ed</w:t>
      </w:r>
      <w:r w:rsidRPr="00D26C28">
        <w:rPr>
          <w:color w:val="000000" w:themeColor="text1"/>
        </w:rPr>
        <w:t xml:space="preserve"> “tilt portfolios”), </w:t>
      </w:r>
      <w:r w:rsidR="00F5299A" w:rsidRPr="00D26C28">
        <w:rPr>
          <w:color w:val="000000" w:themeColor="text1"/>
        </w:rPr>
        <w:t>where</w:t>
      </w:r>
      <w:r w:rsidRPr="00D26C28">
        <w:rPr>
          <w:color w:val="000000" w:themeColor="text1"/>
        </w:rPr>
        <w:t xml:space="preserve"> only </w:t>
      </w:r>
      <w:r w:rsidR="00F5299A" w:rsidRPr="00D26C28">
        <w:rPr>
          <w:color w:val="000000" w:themeColor="text1"/>
        </w:rPr>
        <w:t>ESG</w:t>
      </w:r>
      <w:r w:rsidRPr="00D26C28">
        <w:rPr>
          <w:color w:val="000000" w:themeColor="text1"/>
        </w:rPr>
        <w:t xml:space="preserve"> scores are considered in the portfolio formation process</w:t>
      </w:r>
      <w:r w:rsidR="00F5299A" w:rsidRPr="00D26C28">
        <w:rPr>
          <w:color w:val="000000" w:themeColor="text1"/>
        </w:rPr>
        <w:t xml:space="preserve">. </w:t>
      </w:r>
      <w:r w:rsidRPr="00D26C28">
        <w:rPr>
          <w:color w:val="000000" w:themeColor="text1"/>
        </w:rPr>
        <w:t xml:space="preserve">The paper under review studies the </w:t>
      </w:r>
      <w:r w:rsidR="00F5299A" w:rsidRPr="00D26C28">
        <w:rPr>
          <w:color w:val="000000" w:themeColor="text1"/>
        </w:rPr>
        <w:t xml:space="preserve">integration of ESG with </w:t>
      </w:r>
      <w:r w:rsidRPr="00D26C28">
        <w:rPr>
          <w:color w:val="000000" w:themeColor="text1"/>
        </w:rPr>
        <w:t xml:space="preserve">five important fundamental </w:t>
      </w:r>
      <w:r w:rsidR="00F5299A" w:rsidRPr="00D26C28">
        <w:rPr>
          <w:color w:val="000000" w:themeColor="text1"/>
        </w:rPr>
        <w:t>factors in Australia.</w:t>
      </w:r>
      <w:r w:rsidR="00FD2F27" w:rsidRPr="00D26C28">
        <w:rPr>
          <w:color w:val="000000" w:themeColor="text1"/>
        </w:rPr>
        <w:t xml:space="preserve"> </w:t>
      </w:r>
      <w:r w:rsidR="00C1643F" w:rsidRPr="00D26C28">
        <w:rPr>
          <w:color w:val="000000" w:themeColor="text1"/>
        </w:rPr>
        <w:t xml:space="preserve">Second, we would like to stress the fact that </w:t>
      </w:r>
      <w:r w:rsidR="00FD2F27" w:rsidRPr="00D26C28">
        <w:rPr>
          <w:color w:val="000000" w:themeColor="text1"/>
        </w:rPr>
        <w:t xml:space="preserve">Bloomberg ESG scores </w:t>
      </w:r>
      <w:r w:rsidR="00C1643F" w:rsidRPr="00D26C28">
        <w:rPr>
          <w:color w:val="000000" w:themeColor="text1"/>
        </w:rPr>
        <w:t>are</w:t>
      </w:r>
      <w:r w:rsidR="00FD2F27" w:rsidRPr="00D26C28">
        <w:rPr>
          <w:color w:val="000000" w:themeColor="text1"/>
        </w:rPr>
        <w:t xml:space="preserve"> </w:t>
      </w:r>
      <w:r w:rsidR="00C1643F" w:rsidRPr="00D26C28">
        <w:rPr>
          <w:color w:val="000000" w:themeColor="text1"/>
        </w:rPr>
        <w:t>employed in our study</w:t>
      </w:r>
      <w:r w:rsidR="00FD2F27" w:rsidRPr="00D26C28">
        <w:rPr>
          <w:color w:val="000000" w:themeColor="text1"/>
        </w:rPr>
        <w:t xml:space="preserve"> </w:t>
      </w:r>
      <w:r w:rsidR="00C1643F" w:rsidRPr="00D26C28">
        <w:rPr>
          <w:color w:val="000000" w:themeColor="text1"/>
        </w:rPr>
        <w:t>since</w:t>
      </w:r>
      <w:r w:rsidR="00FD2F27" w:rsidRPr="00D26C28">
        <w:rPr>
          <w:color w:val="000000" w:themeColor="text1"/>
        </w:rPr>
        <w:t xml:space="preserve"> most asset managers have access already to Bloomberg, whilst services such as Datastream</w:t>
      </w:r>
      <w:r w:rsidR="00C1643F" w:rsidRPr="00D26C28">
        <w:rPr>
          <w:color w:val="000000" w:themeColor="text1"/>
        </w:rPr>
        <w:t>,</w:t>
      </w:r>
      <w:r w:rsidR="00FD2F27" w:rsidRPr="00D26C28">
        <w:rPr>
          <w:color w:val="000000" w:themeColor="text1"/>
        </w:rPr>
        <w:t xml:space="preserve"> Regnan</w:t>
      </w:r>
      <w:r w:rsidR="00C1643F" w:rsidRPr="00D26C28">
        <w:rPr>
          <w:color w:val="000000" w:themeColor="text1"/>
        </w:rPr>
        <w:t xml:space="preserve"> and RobecoSAM</w:t>
      </w:r>
      <w:r w:rsidR="00FD2F27" w:rsidRPr="00D26C28">
        <w:rPr>
          <w:color w:val="000000" w:themeColor="text1"/>
        </w:rPr>
        <w:t xml:space="preserve"> </w:t>
      </w:r>
      <w:r w:rsidR="00C1643F" w:rsidRPr="00D26C28">
        <w:rPr>
          <w:color w:val="000000" w:themeColor="text1"/>
        </w:rPr>
        <w:t xml:space="preserve">will likely </w:t>
      </w:r>
      <w:r w:rsidR="00FD2F27" w:rsidRPr="00D26C28">
        <w:rPr>
          <w:color w:val="000000" w:themeColor="text1"/>
        </w:rPr>
        <w:t xml:space="preserve">entail additional costs. </w:t>
      </w:r>
      <w:r w:rsidR="00C1643F" w:rsidRPr="00D26C28">
        <w:rPr>
          <w:color w:val="000000" w:themeColor="text1"/>
        </w:rPr>
        <w:t>Meanwhile</w:t>
      </w:r>
      <w:r w:rsidR="00FD2F27" w:rsidRPr="00D26C28">
        <w:rPr>
          <w:color w:val="000000" w:themeColor="text1"/>
        </w:rPr>
        <w:t>,</w:t>
      </w:r>
      <w:r w:rsidR="00C1643F" w:rsidRPr="00D26C28">
        <w:rPr>
          <w:color w:val="000000" w:themeColor="text1"/>
        </w:rPr>
        <w:t xml:space="preserve"> we failed to identify any </w:t>
      </w:r>
      <w:r w:rsidR="00FD2F27" w:rsidRPr="00D26C28">
        <w:rPr>
          <w:color w:val="000000" w:themeColor="text1"/>
        </w:rPr>
        <w:t>papers in</w:t>
      </w:r>
      <w:r w:rsidR="00C1643F" w:rsidRPr="00D26C28">
        <w:rPr>
          <w:color w:val="000000" w:themeColor="text1"/>
        </w:rPr>
        <w:t xml:space="preserve"> the</w:t>
      </w:r>
      <w:r w:rsidR="00FD2F27" w:rsidRPr="00D26C28">
        <w:rPr>
          <w:color w:val="000000" w:themeColor="text1"/>
        </w:rPr>
        <w:t xml:space="preserve"> Australia</w:t>
      </w:r>
      <w:r w:rsidR="00C1643F" w:rsidRPr="00D26C28">
        <w:rPr>
          <w:color w:val="000000" w:themeColor="text1"/>
        </w:rPr>
        <w:t>n context that uses the Bloomberg ESG scores</w:t>
      </w:r>
      <w:r w:rsidR="00FD2F27" w:rsidRPr="00D26C28">
        <w:rPr>
          <w:color w:val="000000" w:themeColor="text1"/>
        </w:rPr>
        <w:t>.</w:t>
      </w:r>
    </w:p>
    <w:p w14:paraId="14E29337" w14:textId="110E01DE" w:rsidR="00C1643F" w:rsidRPr="00D26C28" w:rsidRDefault="00C1643F" w:rsidP="004C4BE7">
      <w:pPr>
        <w:shd w:val="clear" w:color="auto" w:fill="FFFFFF"/>
        <w:contextualSpacing/>
        <w:jc w:val="both"/>
        <w:rPr>
          <w:color w:val="000000" w:themeColor="text1"/>
        </w:rPr>
      </w:pPr>
    </w:p>
    <w:p w14:paraId="560EC29B" w14:textId="71509582" w:rsidR="0035380D" w:rsidRPr="00D26C28" w:rsidRDefault="0066659A" w:rsidP="00046E27">
      <w:pPr>
        <w:shd w:val="clear" w:color="auto" w:fill="FFFFFF"/>
        <w:contextualSpacing/>
        <w:jc w:val="both"/>
        <w:rPr>
          <w:b/>
          <w:bCs/>
          <w:color w:val="000000" w:themeColor="text1"/>
        </w:rPr>
        <w:sectPr w:rsidR="0035380D" w:rsidRPr="00D26C28" w:rsidSect="00780D5A">
          <w:footerReference w:type="default" r:id="rId8"/>
          <w:pgSz w:w="11900" w:h="16840"/>
          <w:pgMar w:top="1440" w:right="1440" w:bottom="1440" w:left="1440" w:header="708" w:footer="708" w:gutter="0"/>
          <w:cols w:space="708"/>
          <w:docGrid w:linePitch="360"/>
        </w:sectPr>
      </w:pPr>
      <w:r w:rsidRPr="00D26C28">
        <w:rPr>
          <w:iCs/>
          <w:noProof/>
          <w:color w:val="000000"/>
          <w:shd w:val="clear" w:color="auto" w:fill="FFFFFF"/>
        </w:rPr>
        <w:t xml:space="preserve">Another reason why we have not used more than one provider of ESG data is due to the issues of ratings </w:t>
      </w:r>
      <w:r w:rsidR="00367149" w:rsidRPr="00D26C28">
        <w:rPr>
          <w:iCs/>
          <w:noProof/>
          <w:color w:val="000000"/>
          <w:shd w:val="clear" w:color="auto" w:fill="FFFFFF"/>
        </w:rPr>
        <w:t>divergence</w:t>
      </w:r>
      <w:r w:rsidRPr="00D26C28">
        <w:rPr>
          <w:iCs/>
          <w:noProof/>
          <w:color w:val="000000"/>
          <w:shd w:val="clear" w:color="auto" w:fill="FFFFFF"/>
        </w:rPr>
        <w:t>.</w:t>
      </w:r>
      <w:r w:rsidR="00F17488" w:rsidRPr="00D26C28">
        <w:rPr>
          <w:iCs/>
          <w:noProof/>
          <w:color w:val="000000"/>
          <w:shd w:val="clear" w:color="auto" w:fill="FFFFFF"/>
        </w:rPr>
        <w:t xml:space="preserve"> </w:t>
      </w:r>
      <w:r w:rsidR="00F17488" w:rsidRPr="00D26C28">
        <w:rPr>
          <w:iCs/>
          <w:noProof/>
          <w:color w:val="000000"/>
          <w:shd w:val="clear" w:color="auto" w:fill="FFFFFF"/>
        </w:rPr>
        <w:fldChar w:fldCharType="begin"/>
      </w:r>
      <w:r w:rsidR="00F17488" w:rsidRPr="00D26C28">
        <w:rPr>
          <w:iCs/>
          <w:noProof/>
          <w:color w:val="000000"/>
          <w:shd w:val="clear" w:color="auto" w:fill="FFFFFF"/>
        </w:rPr>
        <w:instrText xml:space="preserve"> ADDIN EN.CITE &lt;EndNote&gt;&lt;Cite AuthorYear="1"&gt;&lt;Author&gt;Halbritter&lt;/Author&gt;&lt;Year&gt;2015&lt;/Year&gt;&lt;RecNum&gt;160&lt;/RecNum&gt;&lt;DisplayText&gt;Halbritter and Dorfleitner (2015)&lt;/DisplayText&gt;&lt;record&gt;&lt;rec-number&gt;160&lt;/rec-number&gt;&lt;foreign-keys&gt;&lt;key app="EN" db-id="5v22exspbts29nea29t5v0ssdevvrxs0fwpe" timestamp="1536750706"&gt;160&lt;/key&gt;&lt;/foreign-keys&gt;&lt;ref-type name="Journal Article"&gt;17&lt;/ref-type&gt;&lt;contributors&gt;&lt;authors&gt;&lt;author&gt;Halbritter, Gerhard&lt;/author&gt;&lt;author&gt;Dorfleitner, Gregor&lt;/author&gt;&lt;/authors&gt;&lt;/contributors&gt;&lt;titles&gt;&lt;title&gt;The wages of social responsibility—where are they? A critical review of ESG investing&lt;/title&gt;&lt;secondary-title&gt;Review of Financial Economics&lt;/secondary-title&gt;&lt;/titles&gt;&lt;periodical&gt;&lt;full-title&gt;Review of Financial Economics&lt;/full-title&gt;&lt;/periodical&gt;&lt;pages&gt;25-35&lt;/pages&gt;&lt;volume&gt;26&lt;/volume&gt;&lt;number&gt;1&lt;/number&gt;&lt;dates&gt;&lt;year&gt;2015&lt;/year&gt;&lt;/dates&gt;&lt;isbn&gt;1058-3300&lt;/isbn&gt;&lt;urls&gt;&lt;/urls&gt;&lt;/record&gt;&lt;/Cite&gt;&lt;/EndNote&gt;</w:instrText>
      </w:r>
      <w:r w:rsidR="00F17488" w:rsidRPr="00D26C28">
        <w:rPr>
          <w:iCs/>
          <w:noProof/>
          <w:color w:val="000000"/>
          <w:shd w:val="clear" w:color="auto" w:fill="FFFFFF"/>
        </w:rPr>
        <w:fldChar w:fldCharType="separate"/>
      </w:r>
      <w:r w:rsidR="00F17488" w:rsidRPr="00D26C28">
        <w:rPr>
          <w:iCs/>
          <w:noProof/>
          <w:color w:val="000000"/>
          <w:shd w:val="clear" w:color="auto" w:fill="FFFFFF"/>
        </w:rPr>
        <w:t>Halbritter and Dorfleitner (2015)</w:t>
      </w:r>
      <w:r w:rsidR="00F17488" w:rsidRPr="00D26C28">
        <w:rPr>
          <w:iCs/>
          <w:noProof/>
          <w:color w:val="000000"/>
          <w:shd w:val="clear" w:color="auto" w:fill="FFFFFF"/>
        </w:rPr>
        <w:fldChar w:fldCharType="end"/>
      </w:r>
      <w:r w:rsidR="00F17488" w:rsidRPr="00D26C28">
        <w:rPr>
          <w:iCs/>
          <w:color w:val="000000"/>
          <w:shd w:val="clear" w:color="auto" w:fill="FFFFFF"/>
        </w:rPr>
        <w:t xml:space="preserve"> </w:t>
      </w:r>
      <w:r w:rsidR="00F17488" w:rsidRPr="00D26C28">
        <w:rPr>
          <w:color w:val="000000" w:themeColor="text1"/>
        </w:rPr>
        <w:t>contend that the magnitude and direction of ESG and firm performance is largely dependent on ratings provider, company sample and time period studied. This divergence</w:t>
      </w:r>
      <w:r w:rsidR="00367149" w:rsidRPr="00D26C28">
        <w:rPr>
          <w:color w:val="000000" w:themeColor="text1"/>
        </w:rPr>
        <w:t xml:space="preserve"> (or convergence)</w:t>
      </w:r>
      <w:r w:rsidR="00F17488" w:rsidRPr="00D26C28">
        <w:rPr>
          <w:color w:val="000000" w:themeColor="text1"/>
        </w:rPr>
        <w:t xml:space="preserve"> problem is confirmed with varying results from utilising different ESG scores, sample size and time period by </w:t>
      </w:r>
      <w:r w:rsidR="00F17488" w:rsidRPr="00D26C28">
        <w:rPr>
          <w:iCs/>
          <w:color w:val="000000" w:themeColor="text1"/>
        </w:rPr>
        <w:fldChar w:fldCharType="begin"/>
      </w:r>
      <w:r w:rsidR="00F17488" w:rsidRPr="00D26C28">
        <w:rPr>
          <w:iCs/>
          <w:color w:val="000000" w:themeColor="text1"/>
        </w:rPr>
        <w:instrText xml:space="preserve"> ADDIN EN.CITE &lt;EndNote&gt;&lt;Cite AuthorYear="1"&gt;&lt;Author&gt;Halbritter&lt;/Author&gt;&lt;Year&gt;2015&lt;/Year&gt;&lt;RecNum&gt;160&lt;/RecNum&gt;&lt;DisplayText&gt;Halbritter and Dorfleitner (2015)&lt;/DisplayText&gt;&lt;record&gt;&lt;rec-number&gt;160&lt;/rec-number&gt;&lt;foreign-keys&gt;&lt;key app="EN" db-id="5v22exspbts29nea29t5v0ssdevvrxs0fwpe" timestamp="1536750706"&gt;160&lt;/key&gt;&lt;/foreign-keys&gt;&lt;ref-type name="Journal Article"&gt;17&lt;/ref-type&gt;&lt;contributors&gt;&lt;authors&gt;&lt;author&gt;Halbritter, Gerhard&lt;/author&gt;&lt;author&gt;Dorfleitner, Gregor&lt;/author&gt;&lt;/authors&gt;&lt;/contributors&gt;&lt;titles&gt;&lt;title&gt;The wages of social responsibility—where are they? A critical review of ESG investing&lt;/title&gt;&lt;secondary-title&gt;Review of Financial Economics&lt;/secondary-title&gt;&lt;/titles&gt;&lt;periodical&gt;&lt;full-title&gt;Review of Financial Economics&lt;/full-title&gt;&lt;/periodical&gt;&lt;pages&gt;25-35&lt;/pages&gt;&lt;volume&gt;26&lt;/volume&gt;&lt;number&gt;1&lt;/number&gt;&lt;dates&gt;&lt;year&gt;2015&lt;/year&gt;&lt;/dates&gt;&lt;isbn&gt;1058-3300&lt;/isbn&gt;&lt;urls&gt;&lt;/urls&gt;&lt;/record&gt;&lt;/Cite&gt;&lt;/EndNote&gt;</w:instrText>
      </w:r>
      <w:r w:rsidR="00F17488" w:rsidRPr="00D26C28">
        <w:rPr>
          <w:iCs/>
          <w:color w:val="000000" w:themeColor="text1"/>
        </w:rPr>
        <w:fldChar w:fldCharType="separate"/>
      </w:r>
      <w:r w:rsidR="00F17488" w:rsidRPr="00D26C28">
        <w:rPr>
          <w:iCs/>
          <w:color w:val="000000" w:themeColor="text1"/>
        </w:rPr>
        <w:t>Halbritter and Dorfleitner (2015)</w:t>
      </w:r>
      <w:r w:rsidR="00F17488" w:rsidRPr="00D26C28">
        <w:rPr>
          <w:iCs/>
          <w:color w:val="000000" w:themeColor="text1"/>
        </w:rPr>
        <w:fldChar w:fldCharType="end"/>
      </w:r>
      <w:r w:rsidR="00F17488" w:rsidRPr="00D26C28">
        <w:rPr>
          <w:iCs/>
          <w:color w:val="000000" w:themeColor="text1"/>
        </w:rPr>
        <w:t xml:space="preserve">, </w:t>
      </w:r>
      <w:r w:rsidR="00F17488" w:rsidRPr="00D26C28">
        <w:rPr>
          <w:iCs/>
          <w:color w:val="000000" w:themeColor="text1"/>
        </w:rPr>
        <w:fldChar w:fldCharType="begin"/>
      </w:r>
      <w:r w:rsidR="00F17488" w:rsidRPr="00D26C28">
        <w:rPr>
          <w:iCs/>
          <w:color w:val="000000" w:themeColor="text1"/>
        </w:rPr>
        <w:instrText xml:space="preserve"> ADDIN EN.CITE &lt;EndNote&gt;&lt;Cite AuthorYear="1"&gt;&lt;Author&gt;Lee&lt;/Author&gt;&lt;Year&gt;2018&lt;/Year&gt;&lt;RecNum&gt;157&lt;/RecNum&gt;&lt;DisplayText&gt;Lee et al. (2018)&lt;/DisplayText&gt;&lt;record&gt;&lt;rec-number&gt;157&lt;/rec-number&gt;&lt;foreign-keys&gt;&lt;key app="EN" db-id="5v22exspbts29nea29t5v0ssdevvrxs0fwpe" timestamp="1536750699"&gt;157&lt;/key&gt;&lt;/foreign-keys&gt;&lt;ref-type name="Unpublished Work"&gt;34&lt;/ref-type&gt;&lt;contributors&gt;&lt;authors&gt;&lt;author&gt;Lee, Darren D&lt;/author&gt;&lt;author&gt;Fan, John Hua&lt;/author&gt;&lt;author&gt;Wong, Victor&lt;/author&gt;&lt;/authors&gt;&lt;/contributors&gt;&lt;titles&gt;&lt;title&gt;No more excuses! Performance of ESG integrated portfolios in Australia&lt;/title&gt;&lt;secondary-title&gt;Working Paper&lt;/secondary-title&gt;&lt;/titles&gt;&lt;periodical&gt;&lt;full-title&gt;Working Paper&lt;/full-title&gt;&lt;/periodical&gt;&lt;dates&gt;&lt;year&gt;2018&lt;/year&gt;&lt;/dates&gt;&lt;publisher&gt;Griffith University&lt;/publisher&gt;&lt;urls&gt;&lt;/urls&gt;&lt;/record&gt;&lt;/Cite&gt;&lt;/EndNote&gt;</w:instrText>
      </w:r>
      <w:r w:rsidR="00F17488" w:rsidRPr="00D26C28">
        <w:rPr>
          <w:iCs/>
          <w:color w:val="000000" w:themeColor="text1"/>
        </w:rPr>
        <w:fldChar w:fldCharType="separate"/>
      </w:r>
      <w:r w:rsidR="00F17488" w:rsidRPr="00D26C28">
        <w:rPr>
          <w:iCs/>
          <w:color w:val="000000" w:themeColor="text1"/>
        </w:rPr>
        <w:t>Lee et al. (2018)</w:t>
      </w:r>
      <w:r w:rsidR="00F17488" w:rsidRPr="00D26C28">
        <w:rPr>
          <w:iCs/>
          <w:color w:val="000000" w:themeColor="text1"/>
        </w:rPr>
        <w:fldChar w:fldCharType="end"/>
      </w:r>
      <w:r w:rsidR="00F17488" w:rsidRPr="00D26C28">
        <w:rPr>
          <w:iCs/>
          <w:color w:val="000000" w:themeColor="text1"/>
        </w:rPr>
        <w:t xml:space="preserve"> and </w:t>
      </w:r>
      <w:r w:rsidR="00F17488" w:rsidRPr="00D26C28">
        <w:rPr>
          <w:iCs/>
          <w:color w:val="000000"/>
          <w:shd w:val="clear" w:color="auto" w:fill="FFFFFF"/>
        </w:rPr>
        <w:fldChar w:fldCharType="begin"/>
      </w:r>
      <w:r w:rsidR="00F17488" w:rsidRPr="00D26C28">
        <w:rPr>
          <w:iCs/>
          <w:color w:val="000000"/>
          <w:shd w:val="clear" w:color="auto" w:fill="FFFFFF"/>
        </w:rPr>
        <w:instrText xml:space="preserve"> ADDIN EN.CITE &lt;EndNote&gt;&lt;Cite AuthorYear="1"&gt;&lt;Author&gt;Limkriangkrai&lt;/Author&gt;&lt;Year&gt;2017&lt;/Year&gt;&lt;RecNum&gt;37&lt;/RecNum&gt;&lt;DisplayText&gt;Limkriangkrai et al. (2017)&lt;/DisplayText&gt;&lt;record&gt;&lt;rec-number&gt;37&lt;/rec-number&gt;&lt;foreign-keys&gt;&lt;key app="EN" db-id="5v22exspbts29nea29t5v0ssdevvrxs0fwpe" timestamp="1536643139"&gt;37&lt;/key&gt;&lt;key app="ENWeb" db-id=""&gt;0&lt;/key&gt;&lt;/foreign-keys&gt;&lt;ref-type name="Journal Article"&gt;17&lt;/ref-type&gt;&lt;contributors&gt;&lt;authors&gt;&lt;author&gt;Limkriangkrai, Manapon&lt;/author&gt;&lt;author&gt;Koh, SzeKee&lt;/author&gt;&lt;author&gt;Durand, Robert B&lt;/author&gt;&lt;/authors&gt;&lt;/contributors&gt;&lt;titles&gt;&lt;title&gt;Environmental, social, and governance (ESG) profiles, stock returns, and financial policy: Australian evidence&lt;/title&gt;&lt;secondary-title&gt;International Review of Finance&lt;/secondary-title&gt;&lt;/titles&gt;&lt;periodical&gt;&lt;full-title&gt;International Review of Finance&lt;/full-title&gt;&lt;/periodical&gt;&lt;pages&gt;461-471&lt;/pages&gt;&lt;volume&gt;17&lt;/volume&gt;&lt;number&gt;3&lt;/number&gt;&lt;dates&gt;&lt;year&gt;2017&lt;/year&gt;&lt;/dates&gt;&lt;isbn&gt;1468-2443&lt;/isbn&gt;&lt;urls&gt;&lt;/urls&gt;&lt;/record&gt;&lt;/Cite&gt;&lt;/EndNote&gt;</w:instrText>
      </w:r>
      <w:r w:rsidR="00F17488" w:rsidRPr="00D26C28">
        <w:rPr>
          <w:iCs/>
          <w:color w:val="000000"/>
          <w:shd w:val="clear" w:color="auto" w:fill="FFFFFF"/>
        </w:rPr>
        <w:fldChar w:fldCharType="separate"/>
      </w:r>
      <w:r w:rsidR="00F17488" w:rsidRPr="00D26C28">
        <w:rPr>
          <w:iCs/>
          <w:noProof/>
          <w:color w:val="000000"/>
          <w:shd w:val="clear" w:color="auto" w:fill="FFFFFF"/>
        </w:rPr>
        <w:t>L</w:t>
      </w:r>
      <w:r w:rsidR="00F17488" w:rsidRPr="00D26C28">
        <w:rPr>
          <w:iCs/>
          <w:color w:val="000000" w:themeColor="text1"/>
        </w:rPr>
        <w:t>imkriangkrai et al. (2017)</w:t>
      </w:r>
      <w:r w:rsidR="00F17488" w:rsidRPr="00D26C28">
        <w:rPr>
          <w:iCs/>
          <w:color w:val="000000"/>
          <w:shd w:val="clear" w:color="auto" w:fill="FFFFFF"/>
        </w:rPr>
        <w:fldChar w:fldCharType="end"/>
      </w:r>
      <w:r w:rsidR="00F17488" w:rsidRPr="00D26C28">
        <w:rPr>
          <w:iCs/>
          <w:color w:val="000000"/>
          <w:shd w:val="clear" w:color="auto" w:fill="FFFFFF"/>
        </w:rPr>
        <w:t>.</w:t>
      </w:r>
      <w:r w:rsidRPr="00D26C28">
        <w:rPr>
          <w:iCs/>
          <w:color w:val="000000"/>
          <w:shd w:val="clear" w:color="auto" w:fill="FFFFFF"/>
        </w:rPr>
        <w:t xml:space="preserve"> </w:t>
      </w:r>
      <w:r w:rsidR="00F17488" w:rsidRPr="00D26C28">
        <w:rPr>
          <w:color w:val="000000" w:themeColor="text1"/>
        </w:rPr>
        <w:t>Nevertheless</w:t>
      </w:r>
      <w:r w:rsidR="00C1643F" w:rsidRPr="00D26C28">
        <w:rPr>
          <w:color w:val="000000" w:themeColor="text1"/>
        </w:rPr>
        <w:t xml:space="preserve">, to address the concern of the referee, we re-evaluate our results using the Asset4 dataset </w:t>
      </w:r>
      <w:r w:rsidR="00367149" w:rsidRPr="00D26C28">
        <w:rPr>
          <w:color w:val="000000" w:themeColor="text1"/>
        </w:rPr>
        <w:t xml:space="preserve">employed by </w:t>
      </w:r>
      <w:r w:rsidR="00F17488" w:rsidRPr="00D26C28">
        <w:rPr>
          <w:color w:val="000000" w:themeColor="text1"/>
        </w:rPr>
        <w:t>Lee et al. (2018)</w:t>
      </w:r>
      <w:r w:rsidR="00367149" w:rsidRPr="00D26C28">
        <w:rPr>
          <w:color w:val="000000" w:themeColor="text1"/>
        </w:rPr>
        <w:t>.</w:t>
      </w:r>
      <w:r w:rsidR="00F17488" w:rsidRPr="00D26C28">
        <w:rPr>
          <w:color w:val="000000" w:themeColor="text1"/>
        </w:rPr>
        <w:t xml:space="preserve"> </w:t>
      </w:r>
      <w:r w:rsidR="00C1643F" w:rsidRPr="00D26C28">
        <w:rPr>
          <w:color w:val="000000" w:themeColor="text1"/>
        </w:rPr>
        <w:t>We acknowledge the support of</w:t>
      </w:r>
      <w:r w:rsidR="00F17488" w:rsidRPr="00D26C28">
        <w:rPr>
          <w:color w:val="000000" w:themeColor="text1"/>
        </w:rPr>
        <w:t xml:space="preserve"> the authors for generously providing their</w:t>
      </w:r>
      <w:r w:rsidRPr="00D26C28">
        <w:rPr>
          <w:color w:val="000000" w:themeColor="text1"/>
        </w:rPr>
        <w:t xml:space="preserve"> </w:t>
      </w:r>
      <w:r w:rsidR="00C1643F" w:rsidRPr="00D26C28">
        <w:rPr>
          <w:color w:val="000000" w:themeColor="text1"/>
        </w:rPr>
        <w:t>dataset</w:t>
      </w:r>
      <w:r w:rsidR="00F17488" w:rsidRPr="00D26C28">
        <w:rPr>
          <w:color w:val="000000" w:themeColor="text1"/>
        </w:rPr>
        <w:t xml:space="preserve">. Using Asset4 ESG scores, we replicate </w:t>
      </w:r>
      <w:r w:rsidR="00FD2F27" w:rsidRPr="00D26C28">
        <w:rPr>
          <w:color w:val="000000" w:themeColor="text1"/>
        </w:rPr>
        <w:t>the results of Table 2 in the manuscript (see below</w:t>
      </w:r>
      <w:r w:rsidR="00F17488" w:rsidRPr="00D26C28">
        <w:rPr>
          <w:color w:val="000000" w:themeColor="text1"/>
        </w:rPr>
        <w:t xml:space="preserve"> Table </w:t>
      </w:r>
      <w:r w:rsidR="00E76B70" w:rsidRPr="00D26C28">
        <w:rPr>
          <w:color w:val="000000" w:themeColor="text1"/>
        </w:rPr>
        <w:t>I</w:t>
      </w:r>
      <w:r w:rsidR="00FD2F27" w:rsidRPr="00D26C28">
        <w:rPr>
          <w:color w:val="000000" w:themeColor="text1"/>
        </w:rPr>
        <w:t>). The</w:t>
      </w:r>
      <w:r w:rsidR="00F17488" w:rsidRPr="00D26C28">
        <w:rPr>
          <w:color w:val="000000" w:themeColor="text1"/>
        </w:rPr>
        <w:t>se</w:t>
      </w:r>
      <w:r w:rsidR="00FD2F27" w:rsidRPr="00D26C28">
        <w:rPr>
          <w:color w:val="000000" w:themeColor="text1"/>
        </w:rPr>
        <w:t xml:space="preserve"> results</w:t>
      </w:r>
      <w:r w:rsidR="00F17488" w:rsidRPr="00D26C28">
        <w:rPr>
          <w:color w:val="000000" w:themeColor="text1"/>
        </w:rPr>
        <w:t xml:space="preserve"> are</w:t>
      </w:r>
      <w:r w:rsidR="00FD2F27" w:rsidRPr="00D26C28">
        <w:rPr>
          <w:color w:val="000000" w:themeColor="text1"/>
        </w:rPr>
        <w:t xml:space="preserve">, in general, consistent with the Bloomberg ESG scores. Specifically, </w:t>
      </w:r>
      <w:r w:rsidR="00046E27" w:rsidRPr="00D26C28">
        <w:rPr>
          <w:color w:val="000000" w:themeColor="text1"/>
        </w:rPr>
        <w:t>q</w:t>
      </w:r>
      <w:r w:rsidR="00F17488" w:rsidRPr="00D26C28">
        <w:rPr>
          <w:color w:val="000000" w:themeColor="text1"/>
        </w:rPr>
        <w:t xml:space="preserve">uality and </w:t>
      </w:r>
      <w:r w:rsidR="00046E27" w:rsidRPr="00D26C28">
        <w:rPr>
          <w:color w:val="000000" w:themeColor="text1"/>
        </w:rPr>
        <w:t>m</w:t>
      </w:r>
      <w:r w:rsidR="00F17488" w:rsidRPr="00D26C28">
        <w:rPr>
          <w:color w:val="000000" w:themeColor="text1"/>
        </w:rPr>
        <w:t>omentum</w:t>
      </w:r>
      <w:r w:rsidR="00FD2F27" w:rsidRPr="00D26C28">
        <w:rPr>
          <w:color w:val="000000" w:themeColor="text1"/>
        </w:rPr>
        <w:t xml:space="preserve"> strategies report similar performance.</w:t>
      </w:r>
      <w:r w:rsidR="00046E27" w:rsidRPr="00D26C28">
        <w:rPr>
          <w:color w:val="000000" w:themeColor="text1"/>
        </w:rPr>
        <w:t xml:space="preserve"> For this reason, we have not included these results in the revised version of the manuscript</w:t>
      </w:r>
      <w:r w:rsidR="00367149" w:rsidRPr="00D26C28">
        <w:rPr>
          <w:color w:val="000000" w:themeColor="text1"/>
        </w:rPr>
        <w:t>. We are more than happy to include these should the referee insists.</w:t>
      </w:r>
    </w:p>
    <w:p w14:paraId="14A81986" w14:textId="03759805" w:rsidR="0035380D" w:rsidRPr="00D26C28" w:rsidRDefault="0035380D" w:rsidP="0035380D">
      <w:pPr>
        <w:jc w:val="center"/>
        <w:rPr>
          <w:b/>
          <w:bCs/>
          <w:color w:val="000000" w:themeColor="text1"/>
        </w:rPr>
      </w:pPr>
      <w:r w:rsidRPr="00D26C28">
        <w:rPr>
          <w:b/>
          <w:bCs/>
          <w:color w:val="000000" w:themeColor="text1"/>
        </w:rPr>
        <w:lastRenderedPageBreak/>
        <w:t xml:space="preserve">Table </w:t>
      </w:r>
      <w:r w:rsidR="00E76B70" w:rsidRPr="00D26C28">
        <w:rPr>
          <w:b/>
          <w:bCs/>
          <w:color w:val="000000" w:themeColor="text1"/>
        </w:rPr>
        <w:t>I</w:t>
      </w:r>
      <w:r w:rsidRPr="00D26C28">
        <w:rPr>
          <w:b/>
          <w:bCs/>
          <w:color w:val="000000" w:themeColor="text1"/>
        </w:rPr>
        <w:t xml:space="preserve"> ESG integrated factors with ASSET4 data</w:t>
      </w:r>
    </w:p>
    <w:p w14:paraId="69301E7F" w14:textId="77777777" w:rsidR="0035380D" w:rsidRPr="00D26C28" w:rsidRDefault="0035380D" w:rsidP="0035380D">
      <w:pPr>
        <w:rPr>
          <w:color w:val="000000" w:themeColor="text1"/>
        </w:rPr>
      </w:pPr>
    </w:p>
    <w:p w14:paraId="39967E8A" w14:textId="6E385765" w:rsidR="003C14AC" w:rsidRPr="00D26C28" w:rsidRDefault="0035380D" w:rsidP="0035380D">
      <w:pPr>
        <w:jc w:val="both"/>
        <w:rPr>
          <w:color w:val="000000" w:themeColor="text1"/>
          <w:sz w:val="18"/>
          <w:szCs w:val="18"/>
        </w:rPr>
      </w:pPr>
      <w:r w:rsidRPr="00D26C28">
        <w:rPr>
          <w:color w:val="000000" w:themeColor="text1"/>
          <w:sz w:val="18"/>
          <w:szCs w:val="18"/>
        </w:rPr>
        <w:t>This table reports the performance of ESG integrated factors. The quality signal is represented by the ROE ratio. The minimum volatility signal is computed through a rolling 60-month standard deviation. The momentum signal is based on the past 12-month return, skipping the most recent month. The size is based on the market-capitalization and value is based on the inverse of price-to-book ratio. For standard factors (S), we sort stocks into quartiles based on the respective factor signal at the end of each month. For quality, momentum and value, we take long (short) positions in stocks within the highest (lowest) quartile. For minimum volatility and size, we take long (short) positions in stocks within the lowest (highest) quartile. Each long-short portfolio is market value-weighted and rebalanced monthly. The sample period covers January 2006 through December 2016. ESG scores are not integrated within the S portfolios. M1, M2 and M3 represent methods of ESG integration. For M1, we first screen non-ESG rated firms from the “All” sample, and then construct the factor portfolio as discussed above using the remaining stocks. For M2, we first form factor portfolios in the “All” sample, and then screen non-ESG rated firms off the long and short portfolios. For M3, we first screen non-ESG rated firms from the “All” sample, and then create a new sort signal by assigning a 50/50 weighting to the factor signal and ESG scores. Portfolios are then formed on this combined signal. The market wide benchmarks consist of passive long positions in “All” stocks, “Rated” stocks, S&amp;P/ASX200 Index and the All Ordinaries Index. “All” represents the sample of stocks with top 75% market-capitalization, “Rated” refers to the sample of ASSET4 ESG rated stocks. Average monthly returns, Newey-West adjusted t-statistics, volatility, skewness, kurtosis and maximum drawdown (MaxDD) are reported. Sharpe ratios are annualized.</w:t>
      </w:r>
    </w:p>
    <w:p w14:paraId="17285440" w14:textId="77777777" w:rsidR="0035380D" w:rsidRPr="00D26C28" w:rsidRDefault="0035380D" w:rsidP="0035380D">
      <w:pPr>
        <w:jc w:val="both"/>
        <w:rPr>
          <w:color w:val="000000" w:themeColor="text1"/>
          <w:sz w:val="18"/>
          <w:szCs w:val="18"/>
        </w:rPr>
      </w:pPr>
    </w:p>
    <w:tbl>
      <w:tblPr>
        <w:tblW w:w="5000" w:type="pct"/>
        <w:tblLook w:val="04A0" w:firstRow="1" w:lastRow="0" w:firstColumn="1" w:lastColumn="0" w:noHBand="0" w:noVBand="1"/>
      </w:tblPr>
      <w:tblGrid>
        <w:gridCol w:w="1310"/>
        <w:gridCol w:w="961"/>
        <w:gridCol w:w="1045"/>
        <w:gridCol w:w="1044"/>
        <w:gridCol w:w="1050"/>
        <w:gridCol w:w="274"/>
        <w:gridCol w:w="949"/>
        <w:gridCol w:w="1013"/>
        <w:gridCol w:w="1013"/>
        <w:gridCol w:w="1013"/>
        <w:gridCol w:w="302"/>
        <w:gridCol w:w="949"/>
        <w:gridCol w:w="1013"/>
        <w:gridCol w:w="1013"/>
        <w:gridCol w:w="1011"/>
      </w:tblGrid>
      <w:tr w:rsidR="0035380D" w:rsidRPr="00D26C28" w14:paraId="04496770" w14:textId="77777777" w:rsidTr="00B6548B">
        <w:trPr>
          <w:trHeight w:val="300"/>
        </w:trPr>
        <w:tc>
          <w:tcPr>
            <w:tcW w:w="469" w:type="pct"/>
            <w:tcBorders>
              <w:top w:val="single" w:sz="4" w:space="0" w:color="auto"/>
            </w:tcBorders>
            <w:shd w:val="clear" w:color="auto" w:fill="auto"/>
            <w:noWrap/>
            <w:vAlign w:val="bottom"/>
            <w:hideMark/>
          </w:tcPr>
          <w:p w14:paraId="0DB6FBAD" w14:textId="77777777" w:rsidR="0035380D" w:rsidRPr="00D26C28" w:rsidRDefault="0035380D" w:rsidP="00B6548B">
            <w:pPr>
              <w:jc w:val="center"/>
              <w:rPr>
                <w:color w:val="000000" w:themeColor="text1"/>
                <w:sz w:val="20"/>
                <w:szCs w:val="20"/>
              </w:rPr>
            </w:pPr>
            <w:r w:rsidRPr="00D26C28">
              <w:rPr>
                <w:color w:val="000000" w:themeColor="text1"/>
                <w:sz w:val="20"/>
                <w:szCs w:val="20"/>
              </w:rPr>
              <w:t> </w:t>
            </w:r>
          </w:p>
        </w:tc>
        <w:tc>
          <w:tcPr>
            <w:tcW w:w="1468" w:type="pct"/>
            <w:gridSpan w:val="4"/>
            <w:tcBorders>
              <w:top w:val="single" w:sz="4" w:space="0" w:color="auto"/>
              <w:bottom w:val="single" w:sz="4" w:space="0" w:color="auto"/>
            </w:tcBorders>
            <w:shd w:val="clear" w:color="auto" w:fill="auto"/>
            <w:noWrap/>
            <w:vAlign w:val="bottom"/>
            <w:hideMark/>
          </w:tcPr>
          <w:p w14:paraId="3FE1CE0D" w14:textId="77777777" w:rsidR="0035380D" w:rsidRPr="00D26C28" w:rsidRDefault="0035380D" w:rsidP="00B6548B">
            <w:pPr>
              <w:jc w:val="center"/>
              <w:rPr>
                <w:color w:val="000000" w:themeColor="text1"/>
                <w:sz w:val="20"/>
                <w:szCs w:val="20"/>
              </w:rPr>
            </w:pPr>
            <w:r w:rsidRPr="00D26C28">
              <w:rPr>
                <w:color w:val="000000" w:themeColor="text1"/>
                <w:sz w:val="20"/>
                <w:szCs w:val="20"/>
              </w:rPr>
              <w:t>Quality</w:t>
            </w:r>
          </w:p>
        </w:tc>
        <w:tc>
          <w:tcPr>
            <w:tcW w:w="98" w:type="pct"/>
            <w:tcBorders>
              <w:top w:val="single" w:sz="4" w:space="0" w:color="auto"/>
            </w:tcBorders>
            <w:shd w:val="clear" w:color="auto" w:fill="auto"/>
            <w:noWrap/>
            <w:vAlign w:val="bottom"/>
            <w:hideMark/>
          </w:tcPr>
          <w:p w14:paraId="54AA9706" w14:textId="77777777" w:rsidR="0035380D" w:rsidRPr="00D26C28" w:rsidRDefault="0035380D" w:rsidP="00B6548B">
            <w:pPr>
              <w:jc w:val="center"/>
              <w:rPr>
                <w:color w:val="000000" w:themeColor="text1"/>
                <w:sz w:val="20"/>
                <w:szCs w:val="20"/>
              </w:rPr>
            </w:pPr>
            <w:r w:rsidRPr="00D26C28">
              <w:rPr>
                <w:color w:val="000000" w:themeColor="text1"/>
                <w:sz w:val="20"/>
                <w:szCs w:val="20"/>
              </w:rPr>
              <w:t> </w:t>
            </w:r>
          </w:p>
        </w:tc>
        <w:tc>
          <w:tcPr>
            <w:tcW w:w="1428" w:type="pct"/>
            <w:gridSpan w:val="4"/>
            <w:tcBorders>
              <w:top w:val="single" w:sz="4" w:space="0" w:color="auto"/>
              <w:bottom w:val="single" w:sz="4" w:space="0" w:color="auto"/>
            </w:tcBorders>
            <w:shd w:val="clear" w:color="auto" w:fill="auto"/>
            <w:noWrap/>
            <w:vAlign w:val="bottom"/>
            <w:hideMark/>
          </w:tcPr>
          <w:p w14:paraId="2F7093E7" w14:textId="77777777" w:rsidR="0035380D" w:rsidRPr="00D26C28" w:rsidRDefault="0035380D" w:rsidP="00B6548B">
            <w:pPr>
              <w:jc w:val="center"/>
              <w:rPr>
                <w:color w:val="000000" w:themeColor="text1"/>
                <w:sz w:val="20"/>
                <w:szCs w:val="20"/>
              </w:rPr>
            </w:pPr>
            <w:r w:rsidRPr="00D26C28">
              <w:rPr>
                <w:color w:val="000000" w:themeColor="text1"/>
                <w:sz w:val="20"/>
                <w:szCs w:val="20"/>
              </w:rPr>
              <w:t>Minimum Volatility</w:t>
            </w:r>
          </w:p>
        </w:tc>
        <w:tc>
          <w:tcPr>
            <w:tcW w:w="108" w:type="pct"/>
            <w:tcBorders>
              <w:top w:val="single" w:sz="4" w:space="0" w:color="auto"/>
            </w:tcBorders>
            <w:shd w:val="clear" w:color="auto" w:fill="auto"/>
            <w:noWrap/>
            <w:vAlign w:val="bottom"/>
            <w:hideMark/>
          </w:tcPr>
          <w:p w14:paraId="0CE6CCC7" w14:textId="77777777" w:rsidR="0035380D" w:rsidRPr="00D26C28" w:rsidRDefault="0035380D" w:rsidP="00B6548B">
            <w:pPr>
              <w:jc w:val="center"/>
              <w:rPr>
                <w:color w:val="000000" w:themeColor="text1"/>
                <w:sz w:val="20"/>
                <w:szCs w:val="20"/>
              </w:rPr>
            </w:pPr>
            <w:r w:rsidRPr="00D26C28">
              <w:rPr>
                <w:color w:val="000000" w:themeColor="text1"/>
                <w:sz w:val="20"/>
                <w:szCs w:val="20"/>
              </w:rPr>
              <w:t> </w:t>
            </w:r>
          </w:p>
        </w:tc>
        <w:tc>
          <w:tcPr>
            <w:tcW w:w="1428" w:type="pct"/>
            <w:gridSpan w:val="4"/>
            <w:tcBorders>
              <w:top w:val="single" w:sz="4" w:space="0" w:color="auto"/>
              <w:bottom w:val="single" w:sz="4" w:space="0" w:color="auto"/>
            </w:tcBorders>
            <w:shd w:val="clear" w:color="auto" w:fill="auto"/>
            <w:noWrap/>
            <w:vAlign w:val="bottom"/>
            <w:hideMark/>
          </w:tcPr>
          <w:p w14:paraId="0D4AA931" w14:textId="77777777" w:rsidR="0035380D" w:rsidRPr="00D26C28" w:rsidRDefault="0035380D" w:rsidP="00B6548B">
            <w:pPr>
              <w:jc w:val="center"/>
              <w:rPr>
                <w:color w:val="000000" w:themeColor="text1"/>
                <w:sz w:val="20"/>
                <w:szCs w:val="20"/>
              </w:rPr>
            </w:pPr>
            <w:r w:rsidRPr="00D26C28">
              <w:rPr>
                <w:color w:val="000000" w:themeColor="text1"/>
                <w:sz w:val="20"/>
                <w:szCs w:val="20"/>
              </w:rPr>
              <w:t>Momentum</w:t>
            </w:r>
          </w:p>
        </w:tc>
      </w:tr>
      <w:tr w:rsidR="0035380D" w:rsidRPr="00D26C28" w14:paraId="3BF8EBDE" w14:textId="77777777" w:rsidTr="00B6548B">
        <w:trPr>
          <w:trHeight w:val="300"/>
        </w:trPr>
        <w:tc>
          <w:tcPr>
            <w:tcW w:w="469" w:type="pct"/>
            <w:tcBorders>
              <w:bottom w:val="single" w:sz="4" w:space="0" w:color="auto"/>
            </w:tcBorders>
            <w:shd w:val="clear" w:color="auto" w:fill="auto"/>
            <w:noWrap/>
            <w:vAlign w:val="bottom"/>
            <w:hideMark/>
          </w:tcPr>
          <w:p w14:paraId="0F11F4BB" w14:textId="77777777" w:rsidR="0035380D" w:rsidRPr="00D26C28" w:rsidRDefault="0035380D" w:rsidP="00B6548B">
            <w:pPr>
              <w:jc w:val="center"/>
              <w:rPr>
                <w:color w:val="000000" w:themeColor="text1"/>
                <w:sz w:val="20"/>
                <w:szCs w:val="20"/>
              </w:rPr>
            </w:pPr>
            <w:r w:rsidRPr="00D26C28">
              <w:rPr>
                <w:color w:val="000000" w:themeColor="text1"/>
                <w:sz w:val="20"/>
                <w:szCs w:val="20"/>
              </w:rPr>
              <w:t> </w:t>
            </w:r>
          </w:p>
        </w:tc>
        <w:tc>
          <w:tcPr>
            <w:tcW w:w="344" w:type="pct"/>
            <w:tcBorders>
              <w:top w:val="single" w:sz="4" w:space="0" w:color="auto"/>
              <w:bottom w:val="single" w:sz="4" w:space="0" w:color="auto"/>
            </w:tcBorders>
            <w:shd w:val="clear" w:color="auto" w:fill="auto"/>
            <w:noWrap/>
            <w:vAlign w:val="bottom"/>
            <w:hideMark/>
          </w:tcPr>
          <w:p w14:paraId="3EE65086" w14:textId="77777777" w:rsidR="0035380D" w:rsidRPr="00D26C28" w:rsidRDefault="0035380D" w:rsidP="00B6548B">
            <w:pPr>
              <w:jc w:val="center"/>
              <w:rPr>
                <w:color w:val="000000" w:themeColor="text1"/>
                <w:sz w:val="20"/>
                <w:szCs w:val="20"/>
              </w:rPr>
            </w:pPr>
            <w:r w:rsidRPr="00D26C28">
              <w:rPr>
                <w:color w:val="000000" w:themeColor="text1"/>
                <w:sz w:val="20"/>
                <w:szCs w:val="20"/>
              </w:rPr>
              <w:t>S</w:t>
            </w:r>
          </w:p>
        </w:tc>
        <w:tc>
          <w:tcPr>
            <w:tcW w:w="374" w:type="pct"/>
            <w:tcBorders>
              <w:top w:val="single" w:sz="4" w:space="0" w:color="auto"/>
              <w:bottom w:val="single" w:sz="4" w:space="0" w:color="auto"/>
            </w:tcBorders>
            <w:shd w:val="clear" w:color="auto" w:fill="auto"/>
            <w:noWrap/>
            <w:vAlign w:val="bottom"/>
            <w:hideMark/>
          </w:tcPr>
          <w:p w14:paraId="24ABED10" w14:textId="77777777" w:rsidR="0035380D" w:rsidRPr="00D26C28" w:rsidRDefault="0035380D" w:rsidP="00B6548B">
            <w:pPr>
              <w:jc w:val="center"/>
              <w:rPr>
                <w:color w:val="000000" w:themeColor="text1"/>
                <w:sz w:val="20"/>
                <w:szCs w:val="20"/>
              </w:rPr>
            </w:pPr>
            <w:r w:rsidRPr="00D26C28">
              <w:rPr>
                <w:color w:val="000000" w:themeColor="text1"/>
                <w:sz w:val="20"/>
                <w:szCs w:val="20"/>
              </w:rPr>
              <w:t>M1</w:t>
            </w:r>
          </w:p>
        </w:tc>
        <w:tc>
          <w:tcPr>
            <w:tcW w:w="374" w:type="pct"/>
            <w:tcBorders>
              <w:top w:val="single" w:sz="4" w:space="0" w:color="auto"/>
              <w:bottom w:val="single" w:sz="4" w:space="0" w:color="auto"/>
            </w:tcBorders>
            <w:shd w:val="clear" w:color="auto" w:fill="auto"/>
            <w:noWrap/>
            <w:vAlign w:val="bottom"/>
            <w:hideMark/>
          </w:tcPr>
          <w:p w14:paraId="72B2441E" w14:textId="77777777" w:rsidR="0035380D" w:rsidRPr="00D26C28" w:rsidRDefault="0035380D" w:rsidP="00B6548B">
            <w:pPr>
              <w:jc w:val="center"/>
              <w:rPr>
                <w:color w:val="000000" w:themeColor="text1"/>
                <w:sz w:val="20"/>
                <w:szCs w:val="20"/>
              </w:rPr>
            </w:pPr>
            <w:r w:rsidRPr="00D26C28">
              <w:rPr>
                <w:color w:val="000000" w:themeColor="text1"/>
                <w:sz w:val="20"/>
                <w:szCs w:val="20"/>
              </w:rPr>
              <w:t>M2</w:t>
            </w:r>
          </w:p>
        </w:tc>
        <w:tc>
          <w:tcPr>
            <w:tcW w:w="376" w:type="pct"/>
            <w:tcBorders>
              <w:top w:val="single" w:sz="4" w:space="0" w:color="auto"/>
              <w:bottom w:val="single" w:sz="4" w:space="0" w:color="auto"/>
            </w:tcBorders>
            <w:shd w:val="clear" w:color="auto" w:fill="auto"/>
            <w:noWrap/>
            <w:vAlign w:val="bottom"/>
            <w:hideMark/>
          </w:tcPr>
          <w:p w14:paraId="3BEC33C7" w14:textId="77777777" w:rsidR="0035380D" w:rsidRPr="00D26C28" w:rsidRDefault="0035380D" w:rsidP="00B6548B">
            <w:pPr>
              <w:jc w:val="center"/>
              <w:rPr>
                <w:color w:val="000000" w:themeColor="text1"/>
                <w:sz w:val="20"/>
                <w:szCs w:val="20"/>
              </w:rPr>
            </w:pPr>
            <w:r w:rsidRPr="00D26C28">
              <w:rPr>
                <w:color w:val="000000" w:themeColor="text1"/>
                <w:sz w:val="20"/>
                <w:szCs w:val="20"/>
              </w:rPr>
              <w:t>M3</w:t>
            </w:r>
          </w:p>
        </w:tc>
        <w:tc>
          <w:tcPr>
            <w:tcW w:w="98" w:type="pct"/>
            <w:tcBorders>
              <w:bottom w:val="single" w:sz="4" w:space="0" w:color="auto"/>
            </w:tcBorders>
            <w:shd w:val="clear" w:color="auto" w:fill="auto"/>
            <w:noWrap/>
            <w:vAlign w:val="bottom"/>
            <w:hideMark/>
          </w:tcPr>
          <w:p w14:paraId="6F8B1CF3" w14:textId="77777777" w:rsidR="0035380D" w:rsidRPr="00D26C28" w:rsidRDefault="0035380D" w:rsidP="00B6548B">
            <w:pPr>
              <w:jc w:val="center"/>
              <w:rPr>
                <w:color w:val="000000" w:themeColor="text1"/>
                <w:sz w:val="20"/>
                <w:szCs w:val="20"/>
              </w:rPr>
            </w:pPr>
          </w:p>
        </w:tc>
        <w:tc>
          <w:tcPr>
            <w:tcW w:w="340" w:type="pct"/>
            <w:tcBorders>
              <w:top w:val="single" w:sz="4" w:space="0" w:color="auto"/>
              <w:bottom w:val="single" w:sz="4" w:space="0" w:color="auto"/>
            </w:tcBorders>
            <w:shd w:val="clear" w:color="auto" w:fill="auto"/>
            <w:noWrap/>
            <w:vAlign w:val="bottom"/>
            <w:hideMark/>
          </w:tcPr>
          <w:p w14:paraId="46E2974E" w14:textId="77777777" w:rsidR="0035380D" w:rsidRPr="00D26C28" w:rsidRDefault="0035380D" w:rsidP="00B6548B">
            <w:pPr>
              <w:jc w:val="center"/>
              <w:rPr>
                <w:color w:val="000000" w:themeColor="text1"/>
                <w:sz w:val="20"/>
                <w:szCs w:val="20"/>
              </w:rPr>
            </w:pPr>
            <w:r w:rsidRPr="00D26C28">
              <w:rPr>
                <w:color w:val="000000" w:themeColor="text1"/>
                <w:sz w:val="20"/>
                <w:szCs w:val="20"/>
              </w:rPr>
              <w:t>S</w:t>
            </w:r>
          </w:p>
        </w:tc>
        <w:tc>
          <w:tcPr>
            <w:tcW w:w="363" w:type="pct"/>
            <w:tcBorders>
              <w:top w:val="single" w:sz="4" w:space="0" w:color="auto"/>
              <w:bottom w:val="single" w:sz="4" w:space="0" w:color="auto"/>
            </w:tcBorders>
            <w:shd w:val="clear" w:color="auto" w:fill="auto"/>
            <w:noWrap/>
            <w:vAlign w:val="bottom"/>
            <w:hideMark/>
          </w:tcPr>
          <w:p w14:paraId="7DD35D14" w14:textId="77777777" w:rsidR="0035380D" w:rsidRPr="00D26C28" w:rsidRDefault="0035380D" w:rsidP="00B6548B">
            <w:pPr>
              <w:jc w:val="center"/>
              <w:rPr>
                <w:color w:val="000000" w:themeColor="text1"/>
                <w:sz w:val="20"/>
                <w:szCs w:val="20"/>
              </w:rPr>
            </w:pPr>
            <w:r w:rsidRPr="00D26C28">
              <w:rPr>
                <w:color w:val="000000" w:themeColor="text1"/>
                <w:sz w:val="20"/>
                <w:szCs w:val="20"/>
              </w:rPr>
              <w:t>M1</w:t>
            </w:r>
          </w:p>
        </w:tc>
        <w:tc>
          <w:tcPr>
            <w:tcW w:w="363" w:type="pct"/>
            <w:tcBorders>
              <w:top w:val="single" w:sz="4" w:space="0" w:color="auto"/>
              <w:bottom w:val="single" w:sz="4" w:space="0" w:color="auto"/>
            </w:tcBorders>
            <w:shd w:val="clear" w:color="auto" w:fill="auto"/>
            <w:noWrap/>
            <w:vAlign w:val="bottom"/>
            <w:hideMark/>
          </w:tcPr>
          <w:p w14:paraId="30A6CEFD" w14:textId="77777777" w:rsidR="0035380D" w:rsidRPr="00D26C28" w:rsidRDefault="0035380D" w:rsidP="00B6548B">
            <w:pPr>
              <w:jc w:val="center"/>
              <w:rPr>
                <w:color w:val="000000" w:themeColor="text1"/>
                <w:sz w:val="20"/>
                <w:szCs w:val="20"/>
              </w:rPr>
            </w:pPr>
            <w:r w:rsidRPr="00D26C28">
              <w:rPr>
                <w:color w:val="000000" w:themeColor="text1"/>
                <w:sz w:val="20"/>
                <w:szCs w:val="20"/>
              </w:rPr>
              <w:t>M2</w:t>
            </w:r>
          </w:p>
        </w:tc>
        <w:tc>
          <w:tcPr>
            <w:tcW w:w="363" w:type="pct"/>
            <w:tcBorders>
              <w:top w:val="single" w:sz="4" w:space="0" w:color="auto"/>
              <w:bottom w:val="single" w:sz="4" w:space="0" w:color="auto"/>
            </w:tcBorders>
            <w:shd w:val="clear" w:color="auto" w:fill="auto"/>
            <w:noWrap/>
            <w:vAlign w:val="bottom"/>
            <w:hideMark/>
          </w:tcPr>
          <w:p w14:paraId="0A5F8A2B" w14:textId="77777777" w:rsidR="0035380D" w:rsidRPr="00D26C28" w:rsidRDefault="0035380D" w:rsidP="00B6548B">
            <w:pPr>
              <w:jc w:val="center"/>
              <w:rPr>
                <w:color w:val="000000" w:themeColor="text1"/>
                <w:sz w:val="20"/>
                <w:szCs w:val="20"/>
              </w:rPr>
            </w:pPr>
            <w:r w:rsidRPr="00D26C28">
              <w:rPr>
                <w:color w:val="000000" w:themeColor="text1"/>
                <w:sz w:val="20"/>
                <w:szCs w:val="20"/>
              </w:rPr>
              <w:t>M3</w:t>
            </w:r>
          </w:p>
        </w:tc>
        <w:tc>
          <w:tcPr>
            <w:tcW w:w="108" w:type="pct"/>
            <w:tcBorders>
              <w:bottom w:val="single" w:sz="4" w:space="0" w:color="auto"/>
            </w:tcBorders>
            <w:shd w:val="clear" w:color="auto" w:fill="auto"/>
            <w:noWrap/>
            <w:vAlign w:val="bottom"/>
            <w:hideMark/>
          </w:tcPr>
          <w:p w14:paraId="0E444753" w14:textId="77777777" w:rsidR="0035380D" w:rsidRPr="00D26C28" w:rsidRDefault="0035380D" w:rsidP="00B6548B">
            <w:pPr>
              <w:jc w:val="center"/>
              <w:rPr>
                <w:color w:val="000000" w:themeColor="text1"/>
                <w:sz w:val="20"/>
                <w:szCs w:val="20"/>
              </w:rPr>
            </w:pPr>
          </w:p>
        </w:tc>
        <w:tc>
          <w:tcPr>
            <w:tcW w:w="340" w:type="pct"/>
            <w:tcBorders>
              <w:top w:val="single" w:sz="4" w:space="0" w:color="auto"/>
              <w:bottom w:val="single" w:sz="4" w:space="0" w:color="auto"/>
            </w:tcBorders>
            <w:shd w:val="clear" w:color="auto" w:fill="auto"/>
            <w:noWrap/>
            <w:vAlign w:val="bottom"/>
            <w:hideMark/>
          </w:tcPr>
          <w:p w14:paraId="6C70FB5D" w14:textId="77777777" w:rsidR="0035380D" w:rsidRPr="00D26C28" w:rsidRDefault="0035380D" w:rsidP="00B6548B">
            <w:pPr>
              <w:jc w:val="center"/>
              <w:rPr>
                <w:color w:val="000000" w:themeColor="text1"/>
                <w:sz w:val="20"/>
                <w:szCs w:val="20"/>
              </w:rPr>
            </w:pPr>
            <w:r w:rsidRPr="00D26C28">
              <w:rPr>
                <w:color w:val="000000" w:themeColor="text1"/>
                <w:sz w:val="20"/>
                <w:szCs w:val="20"/>
              </w:rPr>
              <w:t>S</w:t>
            </w:r>
          </w:p>
        </w:tc>
        <w:tc>
          <w:tcPr>
            <w:tcW w:w="363" w:type="pct"/>
            <w:tcBorders>
              <w:top w:val="single" w:sz="4" w:space="0" w:color="auto"/>
              <w:bottom w:val="single" w:sz="4" w:space="0" w:color="auto"/>
            </w:tcBorders>
            <w:shd w:val="clear" w:color="auto" w:fill="auto"/>
            <w:noWrap/>
            <w:vAlign w:val="bottom"/>
            <w:hideMark/>
          </w:tcPr>
          <w:p w14:paraId="4568122D" w14:textId="77777777" w:rsidR="0035380D" w:rsidRPr="00D26C28" w:rsidRDefault="0035380D" w:rsidP="00B6548B">
            <w:pPr>
              <w:jc w:val="center"/>
              <w:rPr>
                <w:color w:val="000000" w:themeColor="text1"/>
                <w:sz w:val="20"/>
                <w:szCs w:val="20"/>
              </w:rPr>
            </w:pPr>
            <w:r w:rsidRPr="00D26C28">
              <w:rPr>
                <w:color w:val="000000" w:themeColor="text1"/>
                <w:sz w:val="20"/>
                <w:szCs w:val="20"/>
              </w:rPr>
              <w:t>M1</w:t>
            </w:r>
          </w:p>
        </w:tc>
        <w:tc>
          <w:tcPr>
            <w:tcW w:w="363" w:type="pct"/>
            <w:tcBorders>
              <w:top w:val="single" w:sz="4" w:space="0" w:color="auto"/>
              <w:bottom w:val="single" w:sz="4" w:space="0" w:color="auto"/>
            </w:tcBorders>
            <w:shd w:val="clear" w:color="auto" w:fill="auto"/>
            <w:noWrap/>
            <w:vAlign w:val="bottom"/>
            <w:hideMark/>
          </w:tcPr>
          <w:p w14:paraId="448E17B2" w14:textId="77777777" w:rsidR="0035380D" w:rsidRPr="00D26C28" w:rsidRDefault="0035380D" w:rsidP="00B6548B">
            <w:pPr>
              <w:jc w:val="center"/>
              <w:rPr>
                <w:color w:val="000000" w:themeColor="text1"/>
                <w:sz w:val="20"/>
                <w:szCs w:val="20"/>
              </w:rPr>
            </w:pPr>
            <w:r w:rsidRPr="00D26C28">
              <w:rPr>
                <w:color w:val="000000" w:themeColor="text1"/>
                <w:sz w:val="20"/>
                <w:szCs w:val="20"/>
              </w:rPr>
              <w:t>M2</w:t>
            </w:r>
          </w:p>
        </w:tc>
        <w:tc>
          <w:tcPr>
            <w:tcW w:w="362" w:type="pct"/>
            <w:tcBorders>
              <w:top w:val="single" w:sz="4" w:space="0" w:color="auto"/>
              <w:bottom w:val="single" w:sz="4" w:space="0" w:color="auto"/>
            </w:tcBorders>
            <w:shd w:val="clear" w:color="auto" w:fill="auto"/>
            <w:noWrap/>
            <w:vAlign w:val="bottom"/>
            <w:hideMark/>
          </w:tcPr>
          <w:p w14:paraId="1A2FEF38" w14:textId="77777777" w:rsidR="0035380D" w:rsidRPr="00D26C28" w:rsidRDefault="0035380D" w:rsidP="00B6548B">
            <w:pPr>
              <w:jc w:val="center"/>
              <w:rPr>
                <w:color w:val="000000" w:themeColor="text1"/>
                <w:sz w:val="20"/>
                <w:szCs w:val="20"/>
              </w:rPr>
            </w:pPr>
            <w:r w:rsidRPr="00D26C28">
              <w:rPr>
                <w:color w:val="000000" w:themeColor="text1"/>
                <w:sz w:val="20"/>
                <w:szCs w:val="20"/>
              </w:rPr>
              <w:t>M3</w:t>
            </w:r>
          </w:p>
        </w:tc>
      </w:tr>
      <w:tr w:rsidR="0035380D" w:rsidRPr="00D26C28" w14:paraId="03F0512C" w14:textId="77777777" w:rsidTr="00B6548B">
        <w:trPr>
          <w:trHeight w:val="300"/>
        </w:trPr>
        <w:tc>
          <w:tcPr>
            <w:tcW w:w="469" w:type="pct"/>
            <w:tcBorders>
              <w:top w:val="single" w:sz="4" w:space="0" w:color="auto"/>
            </w:tcBorders>
            <w:shd w:val="clear" w:color="auto" w:fill="auto"/>
            <w:noWrap/>
            <w:vAlign w:val="bottom"/>
            <w:hideMark/>
          </w:tcPr>
          <w:p w14:paraId="577D8A26" w14:textId="77777777" w:rsidR="0035380D" w:rsidRPr="00D26C28" w:rsidRDefault="0035380D" w:rsidP="00B6548B">
            <w:pPr>
              <w:rPr>
                <w:color w:val="000000" w:themeColor="text1"/>
                <w:sz w:val="20"/>
                <w:szCs w:val="20"/>
              </w:rPr>
            </w:pPr>
            <w:r w:rsidRPr="00D26C28">
              <w:rPr>
                <w:color w:val="000000" w:themeColor="text1"/>
                <w:sz w:val="20"/>
                <w:szCs w:val="20"/>
              </w:rPr>
              <w:t>Returns</w:t>
            </w:r>
          </w:p>
        </w:tc>
        <w:tc>
          <w:tcPr>
            <w:tcW w:w="344" w:type="pct"/>
            <w:tcBorders>
              <w:top w:val="single" w:sz="4" w:space="0" w:color="auto"/>
            </w:tcBorders>
            <w:shd w:val="clear" w:color="auto" w:fill="auto"/>
            <w:noWrap/>
            <w:vAlign w:val="bottom"/>
            <w:hideMark/>
          </w:tcPr>
          <w:p w14:paraId="0629C03B" w14:textId="77777777" w:rsidR="0035380D" w:rsidRPr="00D26C28" w:rsidRDefault="0035380D" w:rsidP="00B6548B">
            <w:pPr>
              <w:jc w:val="center"/>
              <w:rPr>
                <w:color w:val="000000" w:themeColor="text1"/>
                <w:sz w:val="20"/>
                <w:szCs w:val="20"/>
              </w:rPr>
            </w:pPr>
            <w:r w:rsidRPr="00D26C28">
              <w:rPr>
                <w:color w:val="000000" w:themeColor="text1"/>
                <w:sz w:val="20"/>
                <w:szCs w:val="20"/>
              </w:rPr>
              <w:t>1.68%</w:t>
            </w:r>
          </w:p>
        </w:tc>
        <w:tc>
          <w:tcPr>
            <w:tcW w:w="374" w:type="pct"/>
            <w:tcBorders>
              <w:top w:val="single" w:sz="4" w:space="0" w:color="auto"/>
            </w:tcBorders>
            <w:shd w:val="clear" w:color="auto" w:fill="auto"/>
            <w:noWrap/>
            <w:vAlign w:val="bottom"/>
            <w:hideMark/>
          </w:tcPr>
          <w:p w14:paraId="0AC0448B" w14:textId="77777777" w:rsidR="0035380D" w:rsidRPr="00D26C28" w:rsidRDefault="0035380D" w:rsidP="00B6548B">
            <w:pPr>
              <w:jc w:val="center"/>
              <w:rPr>
                <w:color w:val="000000" w:themeColor="text1"/>
                <w:sz w:val="20"/>
                <w:szCs w:val="20"/>
              </w:rPr>
            </w:pPr>
            <w:r w:rsidRPr="00D26C28">
              <w:rPr>
                <w:color w:val="000000" w:themeColor="text1"/>
                <w:sz w:val="20"/>
                <w:szCs w:val="20"/>
              </w:rPr>
              <w:t>1.55%</w:t>
            </w:r>
          </w:p>
        </w:tc>
        <w:tc>
          <w:tcPr>
            <w:tcW w:w="374" w:type="pct"/>
            <w:tcBorders>
              <w:top w:val="single" w:sz="4" w:space="0" w:color="auto"/>
            </w:tcBorders>
            <w:shd w:val="clear" w:color="auto" w:fill="auto"/>
            <w:noWrap/>
            <w:vAlign w:val="bottom"/>
            <w:hideMark/>
          </w:tcPr>
          <w:p w14:paraId="0D124950" w14:textId="77777777" w:rsidR="0035380D" w:rsidRPr="00D26C28" w:rsidRDefault="0035380D" w:rsidP="00B6548B">
            <w:pPr>
              <w:jc w:val="center"/>
              <w:rPr>
                <w:color w:val="000000" w:themeColor="text1"/>
                <w:sz w:val="20"/>
                <w:szCs w:val="20"/>
              </w:rPr>
            </w:pPr>
            <w:r w:rsidRPr="00D26C28">
              <w:rPr>
                <w:color w:val="000000" w:themeColor="text1"/>
                <w:sz w:val="20"/>
                <w:szCs w:val="20"/>
              </w:rPr>
              <w:t>2.05%</w:t>
            </w:r>
          </w:p>
        </w:tc>
        <w:tc>
          <w:tcPr>
            <w:tcW w:w="376" w:type="pct"/>
            <w:tcBorders>
              <w:top w:val="single" w:sz="4" w:space="0" w:color="auto"/>
            </w:tcBorders>
            <w:shd w:val="clear" w:color="auto" w:fill="auto"/>
            <w:noWrap/>
            <w:vAlign w:val="bottom"/>
            <w:hideMark/>
          </w:tcPr>
          <w:p w14:paraId="11933A1D" w14:textId="77777777" w:rsidR="0035380D" w:rsidRPr="00D26C28" w:rsidRDefault="0035380D" w:rsidP="00B6548B">
            <w:pPr>
              <w:jc w:val="center"/>
              <w:rPr>
                <w:color w:val="000000" w:themeColor="text1"/>
                <w:sz w:val="20"/>
                <w:szCs w:val="20"/>
              </w:rPr>
            </w:pPr>
            <w:r w:rsidRPr="00D26C28">
              <w:rPr>
                <w:color w:val="000000" w:themeColor="text1"/>
                <w:sz w:val="20"/>
                <w:szCs w:val="20"/>
              </w:rPr>
              <w:t>1.23%</w:t>
            </w:r>
          </w:p>
        </w:tc>
        <w:tc>
          <w:tcPr>
            <w:tcW w:w="98" w:type="pct"/>
            <w:tcBorders>
              <w:top w:val="single" w:sz="4" w:space="0" w:color="auto"/>
            </w:tcBorders>
            <w:shd w:val="clear" w:color="auto" w:fill="auto"/>
            <w:noWrap/>
            <w:vAlign w:val="bottom"/>
            <w:hideMark/>
          </w:tcPr>
          <w:p w14:paraId="582918EA" w14:textId="77777777" w:rsidR="0035380D" w:rsidRPr="00D26C28" w:rsidRDefault="0035380D" w:rsidP="00B6548B">
            <w:pPr>
              <w:jc w:val="center"/>
              <w:rPr>
                <w:color w:val="000000" w:themeColor="text1"/>
                <w:sz w:val="20"/>
                <w:szCs w:val="20"/>
              </w:rPr>
            </w:pPr>
          </w:p>
        </w:tc>
        <w:tc>
          <w:tcPr>
            <w:tcW w:w="340" w:type="pct"/>
            <w:tcBorders>
              <w:top w:val="single" w:sz="4" w:space="0" w:color="auto"/>
            </w:tcBorders>
            <w:shd w:val="clear" w:color="auto" w:fill="auto"/>
            <w:noWrap/>
            <w:vAlign w:val="bottom"/>
            <w:hideMark/>
          </w:tcPr>
          <w:p w14:paraId="3BADB38E" w14:textId="77777777" w:rsidR="0035380D" w:rsidRPr="00D26C28" w:rsidRDefault="0035380D" w:rsidP="00B6548B">
            <w:pPr>
              <w:jc w:val="center"/>
              <w:rPr>
                <w:color w:val="000000" w:themeColor="text1"/>
                <w:sz w:val="20"/>
                <w:szCs w:val="20"/>
              </w:rPr>
            </w:pPr>
            <w:r w:rsidRPr="00D26C28">
              <w:rPr>
                <w:color w:val="000000" w:themeColor="text1"/>
                <w:sz w:val="20"/>
                <w:szCs w:val="20"/>
              </w:rPr>
              <w:t>1.21%</w:t>
            </w:r>
          </w:p>
        </w:tc>
        <w:tc>
          <w:tcPr>
            <w:tcW w:w="363" w:type="pct"/>
            <w:tcBorders>
              <w:top w:val="single" w:sz="4" w:space="0" w:color="auto"/>
            </w:tcBorders>
            <w:shd w:val="clear" w:color="auto" w:fill="auto"/>
            <w:noWrap/>
            <w:vAlign w:val="bottom"/>
            <w:hideMark/>
          </w:tcPr>
          <w:p w14:paraId="11CE33AB" w14:textId="77777777" w:rsidR="0035380D" w:rsidRPr="00D26C28" w:rsidRDefault="0035380D" w:rsidP="00B6548B">
            <w:pPr>
              <w:jc w:val="center"/>
              <w:rPr>
                <w:color w:val="000000" w:themeColor="text1"/>
                <w:sz w:val="20"/>
                <w:szCs w:val="20"/>
              </w:rPr>
            </w:pPr>
            <w:r w:rsidRPr="00D26C28">
              <w:rPr>
                <w:color w:val="000000" w:themeColor="text1"/>
                <w:sz w:val="20"/>
                <w:szCs w:val="20"/>
              </w:rPr>
              <w:t>1.40%</w:t>
            </w:r>
          </w:p>
        </w:tc>
        <w:tc>
          <w:tcPr>
            <w:tcW w:w="363" w:type="pct"/>
            <w:tcBorders>
              <w:top w:val="single" w:sz="4" w:space="0" w:color="auto"/>
            </w:tcBorders>
            <w:shd w:val="clear" w:color="auto" w:fill="auto"/>
            <w:noWrap/>
            <w:vAlign w:val="bottom"/>
            <w:hideMark/>
          </w:tcPr>
          <w:p w14:paraId="2EA0DBDF" w14:textId="77777777" w:rsidR="0035380D" w:rsidRPr="00D26C28" w:rsidRDefault="0035380D" w:rsidP="00B6548B">
            <w:pPr>
              <w:jc w:val="center"/>
              <w:rPr>
                <w:color w:val="000000" w:themeColor="text1"/>
                <w:sz w:val="20"/>
                <w:szCs w:val="20"/>
              </w:rPr>
            </w:pPr>
            <w:r w:rsidRPr="00D26C28">
              <w:rPr>
                <w:color w:val="000000" w:themeColor="text1"/>
                <w:sz w:val="20"/>
                <w:szCs w:val="20"/>
              </w:rPr>
              <w:t>1.89%</w:t>
            </w:r>
          </w:p>
        </w:tc>
        <w:tc>
          <w:tcPr>
            <w:tcW w:w="363" w:type="pct"/>
            <w:tcBorders>
              <w:top w:val="single" w:sz="4" w:space="0" w:color="auto"/>
            </w:tcBorders>
            <w:shd w:val="clear" w:color="auto" w:fill="auto"/>
            <w:noWrap/>
            <w:vAlign w:val="bottom"/>
            <w:hideMark/>
          </w:tcPr>
          <w:p w14:paraId="6C1FCF0E" w14:textId="77777777" w:rsidR="0035380D" w:rsidRPr="00D26C28" w:rsidRDefault="0035380D" w:rsidP="00B6548B">
            <w:pPr>
              <w:jc w:val="center"/>
              <w:rPr>
                <w:color w:val="000000" w:themeColor="text1"/>
                <w:sz w:val="20"/>
                <w:szCs w:val="20"/>
              </w:rPr>
            </w:pPr>
            <w:r w:rsidRPr="00D26C28">
              <w:rPr>
                <w:color w:val="000000" w:themeColor="text1"/>
                <w:sz w:val="20"/>
                <w:szCs w:val="20"/>
              </w:rPr>
              <w:t>0.79%</w:t>
            </w:r>
          </w:p>
        </w:tc>
        <w:tc>
          <w:tcPr>
            <w:tcW w:w="108" w:type="pct"/>
            <w:tcBorders>
              <w:top w:val="single" w:sz="4" w:space="0" w:color="auto"/>
            </w:tcBorders>
            <w:shd w:val="clear" w:color="auto" w:fill="auto"/>
            <w:noWrap/>
            <w:vAlign w:val="bottom"/>
            <w:hideMark/>
          </w:tcPr>
          <w:p w14:paraId="1B572C26" w14:textId="77777777" w:rsidR="0035380D" w:rsidRPr="00D26C28" w:rsidRDefault="0035380D" w:rsidP="00B6548B">
            <w:pPr>
              <w:jc w:val="center"/>
              <w:rPr>
                <w:color w:val="000000" w:themeColor="text1"/>
                <w:sz w:val="20"/>
                <w:szCs w:val="20"/>
              </w:rPr>
            </w:pPr>
          </w:p>
        </w:tc>
        <w:tc>
          <w:tcPr>
            <w:tcW w:w="340" w:type="pct"/>
            <w:tcBorders>
              <w:top w:val="single" w:sz="4" w:space="0" w:color="auto"/>
            </w:tcBorders>
            <w:shd w:val="clear" w:color="auto" w:fill="auto"/>
            <w:noWrap/>
            <w:vAlign w:val="bottom"/>
            <w:hideMark/>
          </w:tcPr>
          <w:p w14:paraId="7A455C2F" w14:textId="77777777" w:rsidR="0035380D" w:rsidRPr="00D26C28" w:rsidRDefault="0035380D" w:rsidP="00B6548B">
            <w:pPr>
              <w:jc w:val="center"/>
              <w:rPr>
                <w:color w:val="000000" w:themeColor="text1"/>
                <w:sz w:val="20"/>
                <w:szCs w:val="20"/>
              </w:rPr>
            </w:pPr>
            <w:r w:rsidRPr="00D26C28">
              <w:rPr>
                <w:color w:val="000000" w:themeColor="text1"/>
                <w:sz w:val="20"/>
                <w:szCs w:val="20"/>
              </w:rPr>
              <w:t>1.08%</w:t>
            </w:r>
          </w:p>
        </w:tc>
        <w:tc>
          <w:tcPr>
            <w:tcW w:w="363" w:type="pct"/>
            <w:tcBorders>
              <w:top w:val="single" w:sz="4" w:space="0" w:color="auto"/>
            </w:tcBorders>
            <w:shd w:val="clear" w:color="auto" w:fill="auto"/>
            <w:noWrap/>
            <w:vAlign w:val="bottom"/>
            <w:hideMark/>
          </w:tcPr>
          <w:p w14:paraId="51EE619F" w14:textId="77777777" w:rsidR="0035380D" w:rsidRPr="00D26C28" w:rsidRDefault="0035380D" w:rsidP="00B6548B">
            <w:pPr>
              <w:jc w:val="center"/>
              <w:rPr>
                <w:color w:val="000000" w:themeColor="text1"/>
                <w:sz w:val="20"/>
                <w:szCs w:val="20"/>
              </w:rPr>
            </w:pPr>
            <w:r w:rsidRPr="00D26C28">
              <w:rPr>
                <w:color w:val="000000" w:themeColor="text1"/>
                <w:sz w:val="20"/>
                <w:szCs w:val="20"/>
              </w:rPr>
              <w:t>1.08%</w:t>
            </w:r>
          </w:p>
        </w:tc>
        <w:tc>
          <w:tcPr>
            <w:tcW w:w="363" w:type="pct"/>
            <w:tcBorders>
              <w:top w:val="single" w:sz="4" w:space="0" w:color="auto"/>
            </w:tcBorders>
            <w:shd w:val="clear" w:color="auto" w:fill="auto"/>
            <w:noWrap/>
            <w:vAlign w:val="bottom"/>
            <w:hideMark/>
          </w:tcPr>
          <w:p w14:paraId="4123F5FD" w14:textId="77777777" w:rsidR="0035380D" w:rsidRPr="00D26C28" w:rsidRDefault="0035380D" w:rsidP="00B6548B">
            <w:pPr>
              <w:jc w:val="center"/>
              <w:rPr>
                <w:color w:val="000000" w:themeColor="text1"/>
                <w:sz w:val="20"/>
                <w:szCs w:val="20"/>
              </w:rPr>
            </w:pPr>
            <w:r w:rsidRPr="00D26C28">
              <w:rPr>
                <w:color w:val="000000" w:themeColor="text1"/>
                <w:sz w:val="20"/>
                <w:szCs w:val="20"/>
              </w:rPr>
              <w:t>1.26%</w:t>
            </w:r>
          </w:p>
        </w:tc>
        <w:tc>
          <w:tcPr>
            <w:tcW w:w="362" w:type="pct"/>
            <w:tcBorders>
              <w:top w:val="single" w:sz="4" w:space="0" w:color="auto"/>
            </w:tcBorders>
            <w:shd w:val="clear" w:color="auto" w:fill="auto"/>
            <w:noWrap/>
            <w:vAlign w:val="bottom"/>
            <w:hideMark/>
          </w:tcPr>
          <w:p w14:paraId="1BA0D3F6" w14:textId="77777777" w:rsidR="0035380D" w:rsidRPr="00D26C28" w:rsidRDefault="0035380D" w:rsidP="00B6548B">
            <w:pPr>
              <w:jc w:val="center"/>
              <w:rPr>
                <w:color w:val="000000" w:themeColor="text1"/>
                <w:sz w:val="20"/>
                <w:szCs w:val="20"/>
              </w:rPr>
            </w:pPr>
            <w:r w:rsidRPr="00D26C28">
              <w:rPr>
                <w:color w:val="000000" w:themeColor="text1"/>
                <w:sz w:val="20"/>
                <w:szCs w:val="20"/>
              </w:rPr>
              <w:t>1.60%</w:t>
            </w:r>
          </w:p>
        </w:tc>
      </w:tr>
      <w:tr w:rsidR="0035380D" w:rsidRPr="00D26C28" w14:paraId="24CA1FDD" w14:textId="77777777" w:rsidTr="00B6548B">
        <w:trPr>
          <w:trHeight w:val="300"/>
        </w:trPr>
        <w:tc>
          <w:tcPr>
            <w:tcW w:w="469" w:type="pct"/>
            <w:shd w:val="clear" w:color="auto" w:fill="auto"/>
            <w:noWrap/>
            <w:vAlign w:val="bottom"/>
            <w:hideMark/>
          </w:tcPr>
          <w:p w14:paraId="3566BF6E" w14:textId="77777777" w:rsidR="0035380D" w:rsidRPr="00D26C28" w:rsidRDefault="0035380D" w:rsidP="00B6548B">
            <w:pPr>
              <w:rPr>
                <w:i/>
                <w:iCs/>
                <w:color w:val="000000" w:themeColor="text1"/>
                <w:sz w:val="20"/>
                <w:szCs w:val="20"/>
              </w:rPr>
            </w:pPr>
            <w:r w:rsidRPr="00D26C28">
              <w:rPr>
                <w:i/>
                <w:iCs/>
                <w:color w:val="000000" w:themeColor="text1"/>
                <w:sz w:val="20"/>
                <w:szCs w:val="20"/>
              </w:rPr>
              <w:t>t-</w:t>
            </w:r>
            <w:r w:rsidRPr="00D26C28">
              <w:rPr>
                <w:color w:val="000000" w:themeColor="text1"/>
                <w:sz w:val="20"/>
                <w:szCs w:val="20"/>
              </w:rPr>
              <w:t>statistics</w:t>
            </w:r>
          </w:p>
        </w:tc>
        <w:tc>
          <w:tcPr>
            <w:tcW w:w="344" w:type="pct"/>
            <w:shd w:val="clear" w:color="auto" w:fill="auto"/>
            <w:noWrap/>
            <w:vAlign w:val="bottom"/>
            <w:hideMark/>
          </w:tcPr>
          <w:p w14:paraId="41CAAC83" w14:textId="77777777" w:rsidR="0035380D" w:rsidRPr="00D26C28" w:rsidRDefault="0035380D" w:rsidP="00B6548B">
            <w:pPr>
              <w:jc w:val="center"/>
              <w:rPr>
                <w:color w:val="000000" w:themeColor="text1"/>
                <w:sz w:val="20"/>
                <w:szCs w:val="20"/>
              </w:rPr>
            </w:pPr>
            <w:r w:rsidRPr="00D26C28">
              <w:rPr>
                <w:color w:val="000000" w:themeColor="text1"/>
                <w:sz w:val="20"/>
                <w:szCs w:val="20"/>
              </w:rPr>
              <w:t>3.17</w:t>
            </w:r>
          </w:p>
        </w:tc>
        <w:tc>
          <w:tcPr>
            <w:tcW w:w="374" w:type="pct"/>
            <w:shd w:val="clear" w:color="auto" w:fill="auto"/>
            <w:noWrap/>
            <w:vAlign w:val="bottom"/>
            <w:hideMark/>
          </w:tcPr>
          <w:p w14:paraId="1748F75B" w14:textId="77777777" w:rsidR="0035380D" w:rsidRPr="00D26C28" w:rsidRDefault="0035380D" w:rsidP="00B6548B">
            <w:pPr>
              <w:jc w:val="center"/>
              <w:rPr>
                <w:color w:val="000000" w:themeColor="text1"/>
                <w:sz w:val="20"/>
                <w:szCs w:val="20"/>
              </w:rPr>
            </w:pPr>
            <w:r w:rsidRPr="00D26C28">
              <w:rPr>
                <w:color w:val="000000" w:themeColor="text1"/>
                <w:sz w:val="20"/>
                <w:szCs w:val="20"/>
              </w:rPr>
              <w:t>3.18</w:t>
            </w:r>
          </w:p>
        </w:tc>
        <w:tc>
          <w:tcPr>
            <w:tcW w:w="374" w:type="pct"/>
            <w:shd w:val="clear" w:color="auto" w:fill="auto"/>
            <w:noWrap/>
            <w:vAlign w:val="bottom"/>
            <w:hideMark/>
          </w:tcPr>
          <w:p w14:paraId="654628C3" w14:textId="77777777" w:rsidR="0035380D" w:rsidRPr="00D26C28" w:rsidRDefault="0035380D" w:rsidP="00B6548B">
            <w:pPr>
              <w:jc w:val="center"/>
              <w:rPr>
                <w:color w:val="000000" w:themeColor="text1"/>
                <w:sz w:val="20"/>
                <w:szCs w:val="20"/>
              </w:rPr>
            </w:pPr>
            <w:r w:rsidRPr="00D26C28">
              <w:rPr>
                <w:color w:val="000000" w:themeColor="text1"/>
                <w:sz w:val="20"/>
                <w:szCs w:val="20"/>
              </w:rPr>
              <w:t>3.18</w:t>
            </w:r>
          </w:p>
        </w:tc>
        <w:tc>
          <w:tcPr>
            <w:tcW w:w="376" w:type="pct"/>
            <w:shd w:val="clear" w:color="auto" w:fill="auto"/>
            <w:noWrap/>
            <w:vAlign w:val="bottom"/>
            <w:hideMark/>
          </w:tcPr>
          <w:p w14:paraId="4F969E5A" w14:textId="77777777" w:rsidR="0035380D" w:rsidRPr="00D26C28" w:rsidRDefault="0035380D" w:rsidP="00B6548B">
            <w:pPr>
              <w:jc w:val="center"/>
              <w:rPr>
                <w:color w:val="000000" w:themeColor="text1"/>
                <w:sz w:val="20"/>
                <w:szCs w:val="20"/>
              </w:rPr>
            </w:pPr>
            <w:r w:rsidRPr="00D26C28">
              <w:rPr>
                <w:color w:val="000000" w:themeColor="text1"/>
                <w:sz w:val="20"/>
                <w:szCs w:val="20"/>
              </w:rPr>
              <w:t>3.21</w:t>
            </w:r>
          </w:p>
        </w:tc>
        <w:tc>
          <w:tcPr>
            <w:tcW w:w="98" w:type="pct"/>
            <w:shd w:val="clear" w:color="auto" w:fill="auto"/>
            <w:noWrap/>
            <w:vAlign w:val="bottom"/>
            <w:hideMark/>
          </w:tcPr>
          <w:p w14:paraId="6045B08B"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6C92BA22" w14:textId="77777777" w:rsidR="0035380D" w:rsidRPr="00D26C28" w:rsidRDefault="0035380D" w:rsidP="00B6548B">
            <w:pPr>
              <w:jc w:val="center"/>
              <w:rPr>
                <w:color w:val="000000" w:themeColor="text1"/>
                <w:sz w:val="20"/>
                <w:szCs w:val="20"/>
              </w:rPr>
            </w:pPr>
            <w:r w:rsidRPr="00D26C28">
              <w:rPr>
                <w:color w:val="000000" w:themeColor="text1"/>
                <w:sz w:val="20"/>
                <w:szCs w:val="20"/>
              </w:rPr>
              <w:t>1.20</w:t>
            </w:r>
          </w:p>
        </w:tc>
        <w:tc>
          <w:tcPr>
            <w:tcW w:w="363" w:type="pct"/>
            <w:shd w:val="clear" w:color="auto" w:fill="auto"/>
            <w:noWrap/>
            <w:vAlign w:val="bottom"/>
            <w:hideMark/>
          </w:tcPr>
          <w:p w14:paraId="53FB8AEF" w14:textId="77777777" w:rsidR="0035380D" w:rsidRPr="00D26C28" w:rsidRDefault="0035380D" w:rsidP="00B6548B">
            <w:pPr>
              <w:jc w:val="center"/>
              <w:rPr>
                <w:color w:val="000000" w:themeColor="text1"/>
                <w:sz w:val="20"/>
                <w:szCs w:val="20"/>
              </w:rPr>
            </w:pPr>
            <w:r w:rsidRPr="00D26C28">
              <w:rPr>
                <w:color w:val="000000" w:themeColor="text1"/>
                <w:sz w:val="20"/>
                <w:szCs w:val="20"/>
              </w:rPr>
              <w:t>1.47</w:t>
            </w:r>
          </w:p>
        </w:tc>
        <w:tc>
          <w:tcPr>
            <w:tcW w:w="363" w:type="pct"/>
            <w:shd w:val="clear" w:color="auto" w:fill="auto"/>
            <w:noWrap/>
            <w:vAlign w:val="bottom"/>
            <w:hideMark/>
          </w:tcPr>
          <w:p w14:paraId="740DD1E8" w14:textId="77777777" w:rsidR="0035380D" w:rsidRPr="00D26C28" w:rsidRDefault="0035380D" w:rsidP="00B6548B">
            <w:pPr>
              <w:jc w:val="center"/>
              <w:rPr>
                <w:color w:val="000000" w:themeColor="text1"/>
                <w:sz w:val="20"/>
                <w:szCs w:val="20"/>
              </w:rPr>
            </w:pPr>
            <w:r w:rsidRPr="00D26C28">
              <w:rPr>
                <w:color w:val="000000" w:themeColor="text1"/>
                <w:sz w:val="20"/>
                <w:szCs w:val="20"/>
              </w:rPr>
              <w:t>1.83</w:t>
            </w:r>
          </w:p>
        </w:tc>
        <w:tc>
          <w:tcPr>
            <w:tcW w:w="363" w:type="pct"/>
            <w:shd w:val="clear" w:color="auto" w:fill="auto"/>
            <w:noWrap/>
            <w:vAlign w:val="bottom"/>
            <w:hideMark/>
          </w:tcPr>
          <w:p w14:paraId="513A9E60" w14:textId="77777777" w:rsidR="0035380D" w:rsidRPr="00D26C28" w:rsidRDefault="0035380D" w:rsidP="00B6548B">
            <w:pPr>
              <w:jc w:val="center"/>
              <w:rPr>
                <w:color w:val="000000" w:themeColor="text1"/>
                <w:sz w:val="20"/>
                <w:szCs w:val="20"/>
              </w:rPr>
            </w:pPr>
            <w:r w:rsidRPr="00D26C28">
              <w:rPr>
                <w:color w:val="000000" w:themeColor="text1"/>
                <w:sz w:val="20"/>
                <w:szCs w:val="20"/>
              </w:rPr>
              <w:t>1.40</w:t>
            </w:r>
          </w:p>
        </w:tc>
        <w:tc>
          <w:tcPr>
            <w:tcW w:w="108" w:type="pct"/>
            <w:shd w:val="clear" w:color="auto" w:fill="auto"/>
            <w:noWrap/>
            <w:vAlign w:val="bottom"/>
            <w:hideMark/>
          </w:tcPr>
          <w:p w14:paraId="50DAB4B2"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7152F91D" w14:textId="77777777" w:rsidR="0035380D" w:rsidRPr="00D26C28" w:rsidRDefault="0035380D" w:rsidP="00B6548B">
            <w:pPr>
              <w:jc w:val="center"/>
              <w:rPr>
                <w:color w:val="000000" w:themeColor="text1"/>
                <w:sz w:val="20"/>
                <w:szCs w:val="20"/>
              </w:rPr>
            </w:pPr>
            <w:r w:rsidRPr="00D26C28">
              <w:rPr>
                <w:color w:val="000000" w:themeColor="text1"/>
                <w:sz w:val="20"/>
                <w:szCs w:val="20"/>
              </w:rPr>
              <w:t>1.69</w:t>
            </w:r>
          </w:p>
        </w:tc>
        <w:tc>
          <w:tcPr>
            <w:tcW w:w="363" w:type="pct"/>
            <w:shd w:val="clear" w:color="auto" w:fill="auto"/>
            <w:noWrap/>
            <w:vAlign w:val="bottom"/>
            <w:hideMark/>
          </w:tcPr>
          <w:p w14:paraId="172BAF52" w14:textId="77777777" w:rsidR="0035380D" w:rsidRPr="00D26C28" w:rsidRDefault="0035380D" w:rsidP="00B6548B">
            <w:pPr>
              <w:jc w:val="center"/>
              <w:rPr>
                <w:color w:val="000000" w:themeColor="text1"/>
                <w:sz w:val="20"/>
                <w:szCs w:val="20"/>
              </w:rPr>
            </w:pPr>
            <w:r w:rsidRPr="00D26C28">
              <w:rPr>
                <w:color w:val="000000" w:themeColor="text1"/>
                <w:sz w:val="20"/>
                <w:szCs w:val="20"/>
              </w:rPr>
              <w:t>1.50</w:t>
            </w:r>
          </w:p>
        </w:tc>
        <w:tc>
          <w:tcPr>
            <w:tcW w:w="363" w:type="pct"/>
            <w:shd w:val="clear" w:color="auto" w:fill="auto"/>
            <w:noWrap/>
            <w:vAlign w:val="bottom"/>
            <w:hideMark/>
          </w:tcPr>
          <w:p w14:paraId="01F191EB" w14:textId="77777777" w:rsidR="0035380D" w:rsidRPr="00D26C28" w:rsidRDefault="0035380D" w:rsidP="00B6548B">
            <w:pPr>
              <w:jc w:val="center"/>
              <w:rPr>
                <w:color w:val="000000" w:themeColor="text1"/>
                <w:sz w:val="20"/>
                <w:szCs w:val="20"/>
              </w:rPr>
            </w:pPr>
            <w:r w:rsidRPr="00D26C28">
              <w:rPr>
                <w:color w:val="000000" w:themeColor="text1"/>
                <w:sz w:val="20"/>
                <w:szCs w:val="20"/>
              </w:rPr>
              <w:t>2.03</w:t>
            </w:r>
          </w:p>
        </w:tc>
        <w:tc>
          <w:tcPr>
            <w:tcW w:w="362" w:type="pct"/>
            <w:shd w:val="clear" w:color="auto" w:fill="auto"/>
            <w:noWrap/>
            <w:vAlign w:val="bottom"/>
            <w:hideMark/>
          </w:tcPr>
          <w:p w14:paraId="2B778F88" w14:textId="77777777" w:rsidR="0035380D" w:rsidRPr="00D26C28" w:rsidRDefault="0035380D" w:rsidP="00B6548B">
            <w:pPr>
              <w:jc w:val="center"/>
              <w:rPr>
                <w:color w:val="000000" w:themeColor="text1"/>
                <w:sz w:val="20"/>
                <w:szCs w:val="20"/>
              </w:rPr>
            </w:pPr>
            <w:r w:rsidRPr="00D26C28">
              <w:rPr>
                <w:color w:val="000000" w:themeColor="text1"/>
                <w:sz w:val="20"/>
                <w:szCs w:val="20"/>
              </w:rPr>
              <w:t>3.41</w:t>
            </w:r>
          </w:p>
        </w:tc>
      </w:tr>
      <w:tr w:rsidR="0035380D" w:rsidRPr="00D26C28" w14:paraId="439D305F" w14:textId="77777777" w:rsidTr="00B6548B">
        <w:trPr>
          <w:trHeight w:val="300"/>
        </w:trPr>
        <w:tc>
          <w:tcPr>
            <w:tcW w:w="469" w:type="pct"/>
            <w:shd w:val="clear" w:color="auto" w:fill="auto"/>
            <w:noWrap/>
            <w:vAlign w:val="bottom"/>
            <w:hideMark/>
          </w:tcPr>
          <w:p w14:paraId="79352864" w14:textId="77777777" w:rsidR="0035380D" w:rsidRPr="00D26C28" w:rsidRDefault="0035380D" w:rsidP="00B6548B">
            <w:pPr>
              <w:rPr>
                <w:color w:val="000000" w:themeColor="text1"/>
                <w:sz w:val="20"/>
                <w:szCs w:val="20"/>
              </w:rPr>
            </w:pPr>
            <w:r w:rsidRPr="00D26C28">
              <w:rPr>
                <w:color w:val="000000" w:themeColor="text1"/>
                <w:sz w:val="20"/>
                <w:szCs w:val="20"/>
              </w:rPr>
              <w:t>Volatility</w:t>
            </w:r>
          </w:p>
        </w:tc>
        <w:tc>
          <w:tcPr>
            <w:tcW w:w="344" w:type="pct"/>
            <w:shd w:val="clear" w:color="auto" w:fill="auto"/>
            <w:noWrap/>
            <w:vAlign w:val="bottom"/>
            <w:hideMark/>
          </w:tcPr>
          <w:p w14:paraId="075B6CA2" w14:textId="77777777" w:rsidR="0035380D" w:rsidRPr="00D26C28" w:rsidRDefault="0035380D" w:rsidP="00B6548B">
            <w:pPr>
              <w:jc w:val="center"/>
              <w:rPr>
                <w:color w:val="000000" w:themeColor="text1"/>
                <w:sz w:val="20"/>
                <w:szCs w:val="20"/>
              </w:rPr>
            </w:pPr>
            <w:r w:rsidRPr="00D26C28">
              <w:rPr>
                <w:color w:val="000000" w:themeColor="text1"/>
                <w:sz w:val="20"/>
                <w:szCs w:val="20"/>
              </w:rPr>
              <w:t>5.56%</w:t>
            </w:r>
          </w:p>
        </w:tc>
        <w:tc>
          <w:tcPr>
            <w:tcW w:w="374" w:type="pct"/>
            <w:shd w:val="clear" w:color="auto" w:fill="auto"/>
            <w:noWrap/>
            <w:vAlign w:val="bottom"/>
            <w:hideMark/>
          </w:tcPr>
          <w:p w14:paraId="59633055" w14:textId="77777777" w:rsidR="0035380D" w:rsidRPr="00D26C28" w:rsidRDefault="0035380D" w:rsidP="00B6548B">
            <w:pPr>
              <w:jc w:val="center"/>
              <w:rPr>
                <w:color w:val="000000" w:themeColor="text1"/>
                <w:sz w:val="20"/>
                <w:szCs w:val="20"/>
              </w:rPr>
            </w:pPr>
            <w:r w:rsidRPr="00D26C28">
              <w:rPr>
                <w:color w:val="000000" w:themeColor="text1"/>
                <w:sz w:val="20"/>
                <w:szCs w:val="20"/>
              </w:rPr>
              <w:t>5.18%</w:t>
            </w:r>
          </w:p>
        </w:tc>
        <w:tc>
          <w:tcPr>
            <w:tcW w:w="374" w:type="pct"/>
            <w:shd w:val="clear" w:color="auto" w:fill="auto"/>
            <w:noWrap/>
            <w:vAlign w:val="bottom"/>
            <w:hideMark/>
          </w:tcPr>
          <w:p w14:paraId="4D421088" w14:textId="77777777" w:rsidR="0035380D" w:rsidRPr="00D26C28" w:rsidRDefault="0035380D" w:rsidP="00B6548B">
            <w:pPr>
              <w:jc w:val="center"/>
              <w:rPr>
                <w:color w:val="000000" w:themeColor="text1"/>
                <w:sz w:val="20"/>
                <w:szCs w:val="20"/>
              </w:rPr>
            </w:pPr>
            <w:r w:rsidRPr="00D26C28">
              <w:rPr>
                <w:color w:val="000000" w:themeColor="text1"/>
                <w:sz w:val="20"/>
                <w:szCs w:val="20"/>
              </w:rPr>
              <w:t>6.59%</w:t>
            </w:r>
          </w:p>
        </w:tc>
        <w:tc>
          <w:tcPr>
            <w:tcW w:w="376" w:type="pct"/>
            <w:shd w:val="clear" w:color="auto" w:fill="auto"/>
            <w:noWrap/>
            <w:vAlign w:val="bottom"/>
            <w:hideMark/>
          </w:tcPr>
          <w:p w14:paraId="7A812192" w14:textId="77777777" w:rsidR="0035380D" w:rsidRPr="00D26C28" w:rsidRDefault="0035380D" w:rsidP="00B6548B">
            <w:pPr>
              <w:jc w:val="center"/>
              <w:rPr>
                <w:color w:val="000000" w:themeColor="text1"/>
                <w:sz w:val="20"/>
                <w:szCs w:val="20"/>
              </w:rPr>
            </w:pPr>
            <w:r w:rsidRPr="00D26C28">
              <w:rPr>
                <w:color w:val="000000" w:themeColor="text1"/>
                <w:sz w:val="20"/>
                <w:szCs w:val="20"/>
              </w:rPr>
              <w:t>4.31%</w:t>
            </w:r>
          </w:p>
        </w:tc>
        <w:tc>
          <w:tcPr>
            <w:tcW w:w="98" w:type="pct"/>
            <w:shd w:val="clear" w:color="auto" w:fill="auto"/>
            <w:noWrap/>
            <w:vAlign w:val="bottom"/>
            <w:hideMark/>
          </w:tcPr>
          <w:p w14:paraId="46F1DB05"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476C27C2" w14:textId="77777777" w:rsidR="0035380D" w:rsidRPr="00D26C28" w:rsidRDefault="0035380D" w:rsidP="00B6548B">
            <w:pPr>
              <w:jc w:val="center"/>
              <w:rPr>
                <w:color w:val="000000" w:themeColor="text1"/>
                <w:sz w:val="20"/>
                <w:szCs w:val="20"/>
              </w:rPr>
            </w:pPr>
            <w:r w:rsidRPr="00D26C28">
              <w:rPr>
                <w:color w:val="000000" w:themeColor="text1"/>
                <w:sz w:val="20"/>
                <w:szCs w:val="20"/>
              </w:rPr>
              <w:t>7.78%</w:t>
            </w:r>
          </w:p>
        </w:tc>
        <w:tc>
          <w:tcPr>
            <w:tcW w:w="363" w:type="pct"/>
            <w:shd w:val="clear" w:color="auto" w:fill="auto"/>
            <w:noWrap/>
            <w:vAlign w:val="bottom"/>
            <w:hideMark/>
          </w:tcPr>
          <w:p w14:paraId="1B3E0842" w14:textId="77777777" w:rsidR="0035380D" w:rsidRPr="00D26C28" w:rsidRDefault="0035380D" w:rsidP="00B6548B">
            <w:pPr>
              <w:jc w:val="center"/>
              <w:rPr>
                <w:color w:val="000000" w:themeColor="text1"/>
                <w:sz w:val="20"/>
                <w:szCs w:val="20"/>
              </w:rPr>
            </w:pPr>
            <w:r w:rsidRPr="00D26C28">
              <w:rPr>
                <w:color w:val="000000" w:themeColor="text1"/>
                <w:sz w:val="20"/>
                <w:szCs w:val="20"/>
              </w:rPr>
              <w:t>7.80%</w:t>
            </w:r>
          </w:p>
        </w:tc>
        <w:tc>
          <w:tcPr>
            <w:tcW w:w="363" w:type="pct"/>
            <w:shd w:val="clear" w:color="auto" w:fill="auto"/>
            <w:noWrap/>
            <w:vAlign w:val="bottom"/>
            <w:hideMark/>
          </w:tcPr>
          <w:p w14:paraId="35CF8A18" w14:textId="77777777" w:rsidR="0035380D" w:rsidRPr="00D26C28" w:rsidRDefault="0035380D" w:rsidP="00B6548B">
            <w:pPr>
              <w:jc w:val="center"/>
              <w:rPr>
                <w:color w:val="000000" w:themeColor="text1"/>
                <w:sz w:val="20"/>
                <w:szCs w:val="20"/>
              </w:rPr>
            </w:pPr>
            <w:r w:rsidRPr="00D26C28">
              <w:rPr>
                <w:color w:val="000000" w:themeColor="text1"/>
                <w:sz w:val="20"/>
                <w:szCs w:val="20"/>
              </w:rPr>
              <w:t>8.29%</w:t>
            </w:r>
          </w:p>
        </w:tc>
        <w:tc>
          <w:tcPr>
            <w:tcW w:w="363" w:type="pct"/>
            <w:shd w:val="clear" w:color="auto" w:fill="auto"/>
            <w:noWrap/>
            <w:vAlign w:val="bottom"/>
            <w:hideMark/>
          </w:tcPr>
          <w:p w14:paraId="75F18472" w14:textId="77777777" w:rsidR="0035380D" w:rsidRPr="00D26C28" w:rsidRDefault="0035380D" w:rsidP="00B6548B">
            <w:pPr>
              <w:jc w:val="center"/>
              <w:rPr>
                <w:color w:val="000000" w:themeColor="text1"/>
                <w:sz w:val="20"/>
                <w:szCs w:val="20"/>
              </w:rPr>
            </w:pPr>
            <w:r w:rsidRPr="00D26C28">
              <w:rPr>
                <w:color w:val="000000" w:themeColor="text1"/>
                <w:sz w:val="20"/>
                <w:szCs w:val="20"/>
              </w:rPr>
              <w:t>4.50%</w:t>
            </w:r>
          </w:p>
        </w:tc>
        <w:tc>
          <w:tcPr>
            <w:tcW w:w="108" w:type="pct"/>
            <w:shd w:val="clear" w:color="auto" w:fill="auto"/>
            <w:noWrap/>
            <w:vAlign w:val="bottom"/>
            <w:hideMark/>
          </w:tcPr>
          <w:p w14:paraId="4D72FF6D"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4FBDD5BC" w14:textId="77777777" w:rsidR="0035380D" w:rsidRPr="00D26C28" w:rsidRDefault="0035380D" w:rsidP="00B6548B">
            <w:pPr>
              <w:jc w:val="center"/>
              <w:rPr>
                <w:color w:val="000000" w:themeColor="text1"/>
                <w:sz w:val="20"/>
                <w:szCs w:val="20"/>
              </w:rPr>
            </w:pPr>
            <w:r w:rsidRPr="00D26C28">
              <w:rPr>
                <w:color w:val="000000" w:themeColor="text1"/>
                <w:sz w:val="20"/>
                <w:szCs w:val="20"/>
              </w:rPr>
              <w:t>6.10%</w:t>
            </w:r>
          </w:p>
        </w:tc>
        <w:tc>
          <w:tcPr>
            <w:tcW w:w="363" w:type="pct"/>
            <w:shd w:val="clear" w:color="auto" w:fill="auto"/>
            <w:noWrap/>
            <w:vAlign w:val="bottom"/>
            <w:hideMark/>
          </w:tcPr>
          <w:p w14:paraId="40BD5EAB" w14:textId="77777777" w:rsidR="0035380D" w:rsidRPr="00D26C28" w:rsidRDefault="0035380D" w:rsidP="00B6548B">
            <w:pPr>
              <w:jc w:val="center"/>
              <w:rPr>
                <w:color w:val="000000" w:themeColor="text1"/>
                <w:sz w:val="20"/>
                <w:szCs w:val="20"/>
              </w:rPr>
            </w:pPr>
            <w:r w:rsidRPr="00D26C28">
              <w:rPr>
                <w:color w:val="000000" w:themeColor="text1"/>
                <w:sz w:val="20"/>
                <w:szCs w:val="20"/>
              </w:rPr>
              <w:t>7.00%</w:t>
            </w:r>
          </w:p>
        </w:tc>
        <w:tc>
          <w:tcPr>
            <w:tcW w:w="363" w:type="pct"/>
            <w:shd w:val="clear" w:color="auto" w:fill="auto"/>
            <w:noWrap/>
            <w:vAlign w:val="bottom"/>
            <w:hideMark/>
          </w:tcPr>
          <w:p w14:paraId="3BE5AA00" w14:textId="77777777" w:rsidR="0035380D" w:rsidRPr="00D26C28" w:rsidRDefault="0035380D" w:rsidP="00B6548B">
            <w:pPr>
              <w:jc w:val="center"/>
              <w:rPr>
                <w:color w:val="000000" w:themeColor="text1"/>
                <w:sz w:val="20"/>
                <w:szCs w:val="20"/>
              </w:rPr>
            </w:pPr>
            <w:r w:rsidRPr="00D26C28">
              <w:rPr>
                <w:color w:val="000000" w:themeColor="text1"/>
                <w:sz w:val="20"/>
                <w:szCs w:val="20"/>
              </w:rPr>
              <w:t>6.62%</w:t>
            </w:r>
          </w:p>
        </w:tc>
        <w:tc>
          <w:tcPr>
            <w:tcW w:w="362" w:type="pct"/>
            <w:shd w:val="clear" w:color="auto" w:fill="auto"/>
            <w:noWrap/>
            <w:vAlign w:val="bottom"/>
            <w:hideMark/>
          </w:tcPr>
          <w:p w14:paraId="74B7A0B5" w14:textId="77777777" w:rsidR="0035380D" w:rsidRPr="00D26C28" w:rsidRDefault="0035380D" w:rsidP="00B6548B">
            <w:pPr>
              <w:jc w:val="center"/>
              <w:rPr>
                <w:color w:val="000000" w:themeColor="text1"/>
                <w:sz w:val="20"/>
                <w:szCs w:val="20"/>
              </w:rPr>
            </w:pPr>
            <w:r w:rsidRPr="00D26C28">
              <w:rPr>
                <w:color w:val="000000" w:themeColor="text1"/>
                <w:sz w:val="20"/>
                <w:szCs w:val="20"/>
              </w:rPr>
              <w:t>4.73%</w:t>
            </w:r>
          </w:p>
        </w:tc>
      </w:tr>
      <w:tr w:rsidR="0035380D" w:rsidRPr="00D26C28" w14:paraId="5E7DB20C" w14:textId="77777777" w:rsidTr="00B6548B">
        <w:trPr>
          <w:trHeight w:val="300"/>
        </w:trPr>
        <w:tc>
          <w:tcPr>
            <w:tcW w:w="469" w:type="pct"/>
            <w:shd w:val="clear" w:color="auto" w:fill="auto"/>
            <w:noWrap/>
            <w:vAlign w:val="bottom"/>
            <w:hideMark/>
          </w:tcPr>
          <w:p w14:paraId="005586A8" w14:textId="77777777" w:rsidR="0035380D" w:rsidRPr="00D26C28" w:rsidRDefault="0035380D" w:rsidP="00B6548B">
            <w:pPr>
              <w:rPr>
                <w:color w:val="000000" w:themeColor="text1"/>
                <w:sz w:val="20"/>
                <w:szCs w:val="20"/>
              </w:rPr>
            </w:pPr>
            <w:r w:rsidRPr="00D26C28">
              <w:rPr>
                <w:color w:val="000000" w:themeColor="text1"/>
                <w:sz w:val="20"/>
                <w:szCs w:val="20"/>
              </w:rPr>
              <w:t>Sharpe</w:t>
            </w:r>
          </w:p>
        </w:tc>
        <w:tc>
          <w:tcPr>
            <w:tcW w:w="344" w:type="pct"/>
            <w:shd w:val="clear" w:color="auto" w:fill="auto"/>
            <w:noWrap/>
            <w:vAlign w:val="bottom"/>
            <w:hideMark/>
          </w:tcPr>
          <w:p w14:paraId="6C1B7BD9" w14:textId="77777777" w:rsidR="0035380D" w:rsidRPr="00D26C28" w:rsidRDefault="0035380D" w:rsidP="00B6548B">
            <w:pPr>
              <w:jc w:val="center"/>
              <w:rPr>
                <w:color w:val="000000" w:themeColor="text1"/>
                <w:sz w:val="20"/>
                <w:szCs w:val="20"/>
              </w:rPr>
            </w:pPr>
            <w:r w:rsidRPr="00D26C28">
              <w:rPr>
                <w:color w:val="000000" w:themeColor="text1"/>
                <w:sz w:val="20"/>
                <w:szCs w:val="20"/>
              </w:rPr>
              <w:t>1.15</w:t>
            </w:r>
          </w:p>
        </w:tc>
        <w:tc>
          <w:tcPr>
            <w:tcW w:w="374" w:type="pct"/>
            <w:shd w:val="clear" w:color="auto" w:fill="auto"/>
            <w:noWrap/>
            <w:vAlign w:val="bottom"/>
            <w:hideMark/>
          </w:tcPr>
          <w:p w14:paraId="756B2319" w14:textId="77777777" w:rsidR="0035380D" w:rsidRPr="00D26C28" w:rsidRDefault="0035380D" w:rsidP="00B6548B">
            <w:pPr>
              <w:jc w:val="center"/>
              <w:rPr>
                <w:color w:val="000000" w:themeColor="text1"/>
                <w:sz w:val="20"/>
                <w:szCs w:val="20"/>
              </w:rPr>
            </w:pPr>
            <w:r w:rsidRPr="00D26C28">
              <w:rPr>
                <w:color w:val="000000" w:themeColor="text1"/>
                <w:sz w:val="20"/>
                <w:szCs w:val="20"/>
              </w:rPr>
              <w:t>1.13</w:t>
            </w:r>
          </w:p>
        </w:tc>
        <w:tc>
          <w:tcPr>
            <w:tcW w:w="374" w:type="pct"/>
            <w:shd w:val="clear" w:color="auto" w:fill="auto"/>
            <w:noWrap/>
            <w:vAlign w:val="bottom"/>
            <w:hideMark/>
          </w:tcPr>
          <w:p w14:paraId="2A2E7AA2" w14:textId="77777777" w:rsidR="0035380D" w:rsidRPr="00D26C28" w:rsidRDefault="0035380D" w:rsidP="00B6548B">
            <w:pPr>
              <w:jc w:val="center"/>
              <w:rPr>
                <w:color w:val="000000" w:themeColor="text1"/>
                <w:sz w:val="20"/>
                <w:szCs w:val="20"/>
              </w:rPr>
            </w:pPr>
            <w:r w:rsidRPr="00D26C28">
              <w:rPr>
                <w:color w:val="000000" w:themeColor="text1"/>
                <w:sz w:val="20"/>
                <w:szCs w:val="20"/>
              </w:rPr>
              <w:t>1.21</w:t>
            </w:r>
          </w:p>
        </w:tc>
        <w:tc>
          <w:tcPr>
            <w:tcW w:w="376" w:type="pct"/>
            <w:shd w:val="clear" w:color="auto" w:fill="auto"/>
            <w:noWrap/>
            <w:vAlign w:val="bottom"/>
            <w:hideMark/>
          </w:tcPr>
          <w:p w14:paraId="542358C4" w14:textId="77777777" w:rsidR="0035380D" w:rsidRPr="00D26C28" w:rsidRDefault="0035380D" w:rsidP="00B6548B">
            <w:pPr>
              <w:jc w:val="center"/>
              <w:rPr>
                <w:color w:val="000000" w:themeColor="text1"/>
                <w:sz w:val="20"/>
                <w:szCs w:val="20"/>
              </w:rPr>
            </w:pPr>
            <w:r w:rsidRPr="00D26C28">
              <w:rPr>
                <w:color w:val="000000" w:themeColor="text1"/>
                <w:sz w:val="20"/>
                <w:szCs w:val="20"/>
              </w:rPr>
              <w:t>1.05</w:t>
            </w:r>
          </w:p>
        </w:tc>
        <w:tc>
          <w:tcPr>
            <w:tcW w:w="98" w:type="pct"/>
            <w:shd w:val="clear" w:color="auto" w:fill="auto"/>
            <w:noWrap/>
            <w:vAlign w:val="bottom"/>
            <w:hideMark/>
          </w:tcPr>
          <w:p w14:paraId="6B112EB8"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0D3A28AE" w14:textId="77777777" w:rsidR="0035380D" w:rsidRPr="00D26C28" w:rsidRDefault="0035380D" w:rsidP="00B6548B">
            <w:pPr>
              <w:jc w:val="center"/>
              <w:rPr>
                <w:color w:val="000000" w:themeColor="text1"/>
                <w:sz w:val="20"/>
                <w:szCs w:val="20"/>
              </w:rPr>
            </w:pPr>
            <w:r w:rsidRPr="00D26C28">
              <w:rPr>
                <w:color w:val="000000" w:themeColor="text1"/>
                <w:sz w:val="20"/>
                <w:szCs w:val="20"/>
              </w:rPr>
              <w:t>0.58</w:t>
            </w:r>
          </w:p>
        </w:tc>
        <w:tc>
          <w:tcPr>
            <w:tcW w:w="363" w:type="pct"/>
            <w:shd w:val="clear" w:color="auto" w:fill="auto"/>
            <w:noWrap/>
            <w:vAlign w:val="bottom"/>
            <w:hideMark/>
          </w:tcPr>
          <w:p w14:paraId="0B375AFA" w14:textId="77777777" w:rsidR="0035380D" w:rsidRPr="00D26C28" w:rsidRDefault="0035380D" w:rsidP="00B6548B">
            <w:pPr>
              <w:jc w:val="center"/>
              <w:rPr>
                <w:color w:val="000000" w:themeColor="text1"/>
                <w:sz w:val="20"/>
                <w:szCs w:val="20"/>
              </w:rPr>
            </w:pPr>
            <w:r w:rsidRPr="00D26C28">
              <w:rPr>
                <w:color w:val="000000" w:themeColor="text1"/>
                <w:sz w:val="20"/>
                <w:szCs w:val="20"/>
              </w:rPr>
              <w:t>0.67</w:t>
            </w:r>
          </w:p>
        </w:tc>
        <w:tc>
          <w:tcPr>
            <w:tcW w:w="363" w:type="pct"/>
            <w:shd w:val="clear" w:color="auto" w:fill="auto"/>
            <w:noWrap/>
            <w:vAlign w:val="bottom"/>
            <w:hideMark/>
          </w:tcPr>
          <w:p w14:paraId="65A9F266" w14:textId="77777777" w:rsidR="0035380D" w:rsidRPr="00D26C28" w:rsidRDefault="0035380D" w:rsidP="00B6548B">
            <w:pPr>
              <w:jc w:val="center"/>
              <w:rPr>
                <w:color w:val="000000" w:themeColor="text1"/>
                <w:sz w:val="20"/>
                <w:szCs w:val="20"/>
              </w:rPr>
            </w:pPr>
            <w:r w:rsidRPr="00D26C28">
              <w:rPr>
                <w:color w:val="000000" w:themeColor="text1"/>
                <w:sz w:val="20"/>
                <w:szCs w:val="20"/>
              </w:rPr>
              <w:t>0.88</w:t>
            </w:r>
          </w:p>
        </w:tc>
        <w:tc>
          <w:tcPr>
            <w:tcW w:w="363" w:type="pct"/>
            <w:shd w:val="clear" w:color="auto" w:fill="auto"/>
            <w:noWrap/>
            <w:vAlign w:val="bottom"/>
            <w:hideMark/>
          </w:tcPr>
          <w:p w14:paraId="43C51B21" w14:textId="77777777" w:rsidR="0035380D" w:rsidRPr="00D26C28" w:rsidRDefault="0035380D" w:rsidP="00B6548B">
            <w:pPr>
              <w:jc w:val="center"/>
              <w:rPr>
                <w:color w:val="000000" w:themeColor="text1"/>
                <w:sz w:val="20"/>
                <w:szCs w:val="20"/>
              </w:rPr>
            </w:pPr>
            <w:r w:rsidRPr="00D26C28">
              <w:rPr>
                <w:color w:val="000000" w:themeColor="text1"/>
                <w:sz w:val="20"/>
                <w:szCs w:val="20"/>
              </w:rPr>
              <w:t>0.63</w:t>
            </w:r>
          </w:p>
        </w:tc>
        <w:tc>
          <w:tcPr>
            <w:tcW w:w="108" w:type="pct"/>
            <w:shd w:val="clear" w:color="auto" w:fill="auto"/>
            <w:noWrap/>
            <w:vAlign w:val="bottom"/>
            <w:hideMark/>
          </w:tcPr>
          <w:p w14:paraId="7BAEA64A"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762E54E6" w14:textId="77777777" w:rsidR="0035380D" w:rsidRPr="00D26C28" w:rsidRDefault="0035380D" w:rsidP="00B6548B">
            <w:pPr>
              <w:jc w:val="center"/>
              <w:rPr>
                <w:color w:val="000000" w:themeColor="text1"/>
                <w:sz w:val="20"/>
                <w:szCs w:val="20"/>
              </w:rPr>
            </w:pPr>
            <w:r w:rsidRPr="00D26C28">
              <w:rPr>
                <w:color w:val="000000" w:themeColor="text1"/>
                <w:sz w:val="20"/>
                <w:szCs w:val="20"/>
              </w:rPr>
              <w:t>0.65</w:t>
            </w:r>
          </w:p>
        </w:tc>
        <w:tc>
          <w:tcPr>
            <w:tcW w:w="363" w:type="pct"/>
            <w:shd w:val="clear" w:color="auto" w:fill="auto"/>
            <w:noWrap/>
            <w:vAlign w:val="bottom"/>
            <w:hideMark/>
          </w:tcPr>
          <w:p w14:paraId="6A7BEAAC" w14:textId="77777777" w:rsidR="0035380D" w:rsidRPr="00D26C28" w:rsidRDefault="0035380D" w:rsidP="00B6548B">
            <w:pPr>
              <w:jc w:val="center"/>
              <w:rPr>
                <w:color w:val="000000" w:themeColor="text1"/>
                <w:sz w:val="20"/>
                <w:szCs w:val="20"/>
              </w:rPr>
            </w:pPr>
            <w:r w:rsidRPr="00D26C28">
              <w:rPr>
                <w:color w:val="000000" w:themeColor="text1"/>
                <w:sz w:val="20"/>
                <w:szCs w:val="20"/>
              </w:rPr>
              <w:t>0.57</w:t>
            </w:r>
          </w:p>
        </w:tc>
        <w:tc>
          <w:tcPr>
            <w:tcW w:w="363" w:type="pct"/>
            <w:shd w:val="clear" w:color="auto" w:fill="auto"/>
            <w:noWrap/>
            <w:vAlign w:val="bottom"/>
            <w:hideMark/>
          </w:tcPr>
          <w:p w14:paraId="2EE6B0B6" w14:textId="77777777" w:rsidR="0035380D" w:rsidRPr="00D26C28" w:rsidRDefault="0035380D" w:rsidP="00B6548B">
            <w:pPr>
              <w:jc w:val="center"/>
              <w:rPr>
                <w:color w:val="000000" w:themeColor="text1"/>
                <w:sz w:val="20"/>
                <w:szCs w:val="20"/>
              </w:rPr>
            </w:pPr>
            <w:r w:rsidRPr="00D26C28">
              <w:rPr>
                <w:color w:val="000000" w:themeColor="text1"/>
                <w:sz w:val="20"/>
                <w:szCs w:val="20"/>
              </w:rPr>
              <w:t>0.71</w:t>
            </w:r>
          </w:p>
        </w:tc>
        <w:tc>
          <w:tcPr>
            <w:tcW w:w="362" w:type="pct"/>
            <w:shd w:val="clear" w:color="auto" w:fill="auto"/>
            <w:noWrap/>
            <w:vAlign w:val="bottom"/>
            <w:hideMark/>
          </w:tcPr>
          <w:p w14:paraId="631602FE" w14:textId="77777777" w:rsidR="0035380D" w:rsidRPr="00D26C28" w:rsidRDefault="0035380D" w:rsidP="00B6548B">
            <w:pPr>
              <w:jc w:val="center"/>
              <w:rPr>
                <w:color w:val="000000" w:themeColor="text1"/>
                <w:sz w:val="20"/>
                <w:szCs w:val="20"/>
              </w:rPr>
            </w:pPr>
            <w:r w:rsidRPr="00D26C28">
              <w:rPr>
                <w:color w:val="000000" w:themeColor="text1"/>
                <w:sz w:val="20"/>
                <w:szCs w:val="20"/>
              </w:rPr>
              <w:t>1.28</w:t>
            </w:r>
          </w:p>
        </w:tc>
      </w:tr>
      <w:tr w:rsidR="0035380D" w:rsidRPr="00D26C28" w14:paraId="1E9EC759" w14:textId="77777777" w:rsidTr="00B6548B">
        <w:trPr>
          <w:trHeight w:val="300"/>
        </w:trPr>
        <w:tc>
          <w:tcPr>
            <w:tcW w:w="469" w:type="pct"/>
            <w:shd w:val="clear" w:color="auto" w:fill="auto"/>
            <w:noWrap/>
            <w:vAlign w:val="bottom"/>
            <w:hideMark/>
          </w:tcPr>
          <w:p w14:paraId="17246628" w14:textId="77777777" w:rsidR="0035380D" w:rsidRPr="00D26C28" w:rsidRDefault="0035380D" w:rsidP="00B6548B">
            <w:pPr>
              <w:rPr>
                <w:color w:val="000000" w:themeColor="text1"/>
                <w:sz w:val="20"/>
                <w:szCs w:val="20"/>
              </w:rPr>
            </w:pPr>
            <w:r w:rsidRPr="00D26C28">
              <w:rPr>
                <w:color w:val="000000" w:themeColor="text1"/>
                <w:sz w:val="20"/>
                <w:szCs w:val="20"/>
              </w:rPr>
              <w:t>Skewness</w:t>
            </w:r>
          </w:p>
        </w:tc>
        <w:tc>
          <w:tcPr>
            <w:tcW w:w="344" w:type="pct"/>
            <w:shd w:val="clear" w:color="auto" w:fill="auto"/>
            <w:noWrap/>
            <w:vAlign w:val="bottom"/>
            <w:hideMark/>
          </w:tcPr>
          <w:p w14:paraId="6A6FC04E" w14:textId="77777777" w:rsidR="0035380D" w:rsidRPr="00D26C28" w:rsidRDefault="0035380D" w:rsidP="00B6548B">
            <w:pPr>
              <w:jc w:val="center"/>
              <w:rPr>
                <w:color w:val="000000" w:themeColor="text1"/>
                <w:sz w:val="20"/>
                <w:szCs w:val="20"/>
              </w:rPr>
            </w:pPr>
            <w:r w:rsidRPr="00D26C28">
              <w:rPr>
                <w:color w:val="000000" w:themeColor="text1"/>
                <w:sz w:val="20"/>
                <w:szCs w:val="20"/>
              </w:rPr>
              <w:t>0.66</w:t>
            </w:r>
          </w:p>
        </w:tc>
        <w:tc>
          <w:tcPr>
            <w:tcW w:w="374" w:type="pct"/>
            <w:shd w:val="clear" w:color="auto" w:fill="auto"/>
            <w:noWrap/>
            <w:vAlign w:val="bottom"/>
            <w:hideMark/>
          </w:tcPr>
          <w:p w14:paraId="5C315DE1" w14:textId="77777777" w:rsidR="0035380D" w:rsidRPr="00D26C28" w:rsidRDefault="0035380D" w:rsidP="00B6548B">
            <w:pPr>
              <w:jc w:val="center"/>
              <w:rPr>
                <w:color w:val="000000" w:themeColor="text1"/>
                <w:sz w:val="20"/>
                <w:szCs w:val="20"/>
              </w:rPr>
            </w:pPr>
            <w:r w:rsidRPr="00D26C28">
              <w:rPr>
                <w:color w:val="000000" w:themeColor="text1"/>
                <w:sz w:val="20"/>
                <w:szCs w:val="20"/>
              </w:rPr>
              <w:t>0.49</w:t>
            </w:r>
          </w:p>
        </w:tc>
        <w:tc>
          <w:tcPr>
            <w:tcW w:w="374" w:type="pct"/>
            <w:shd w:val="clear" w:color="auto" w:fill="auto"/>
            <w:noWrap/>
            <w:vAlign w:val="bottom"/>
            <w:hideMark/>
          </w:tcPr>
          <w:p w14:paraId="6CEB7001" w14:textId="77777777" w:rsidR="0035380D" w:rsidRPr="00D26C28" w:rsidRDefault="0035380D" w:rsidP="00B6548B">
            <w:pPr>
              <w:jc w:val="center"/>
              <w:rPr>
                <w:color w:val="000000" w:themeColor="text1"/>
                <w:sz w:val="20"/>
                <w:szCs w:val="20"/>
              </w:rPr>
            </w:pPr>
            <w:r w:rsidRPr="00D26C28">
              <w:rPr>
                <w:color w:val="000000" w:themeColor="text1"/>
                <w:sz w:val="20"/>
                <w:szCs w:val="20"/>
              </w:rPr>
              <w:t>0.20</w:t>
            </w:r>
          </w:p>
        </w:tc>
        <w:tc>
          <w:tcPr>
            <w:tcW w:w="376" w:type="pct"/>
            <w:shd w:val="clear" w:color="auto" w:fill="auto"/>
            <w:noWrap/>
            <w:vAlign w:val="bottom"/>
            <w:hideMark/>
          </w:tcPr>
          <w:p w14:paraId="1F34CC74" w14:textId="77777777" w:rsidR="0035380D" w:rsidRPr="00D26C28" w:rsidRDefault="0035380D" w:rsidP="00B6548B">
            <w:pPr>
              <w:jc w:val="center"/>
              <w:rPr>
                <w:color w:val="000000" w:themeColor="text1"/>
                <w:sz w:val="20"/>
                <w:szCs w:val="20"/>
              </w:rPr>
            </w:pPr>
            <w:r w:rsidRPr="00D26C28">
              <w:rPr>
                <w:color w:val="000000" w:themeColor="text1"/>
                <w:sz w:val="20"/>
                <w:szCs w:val="20"/>
              </w:rPr>
              <w:t>0.07</w:t>
            </w:r>
          </w:p>
        </w:tc>
        <w:tc>
          <w:tcPr>
            <w:tcW w:w="98" w:type="pct"/>
            <w:shd w:val="clear" w:color="auto" w:fill="auto"/>
            <w:noWrap/>
            <w:vAlign w:val="bottom"/>
            <w:hideMark/>
          </w:tcPr>
          <w:p w14:paraId="47943BCE"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1CC73A7C" w14:textId="77777777" w:rsidR="0035380D" w:rsidRPr="00D26C28" w:rsidRDefault="0035380D" w:rsidP="00B6548B">
            <w:pPr>
              <w:jc w:val="center"/>
              <w:rPr>
                <w:color w:val="000000" w:themeColor="text1"/>
                <w:sz w:val="20"/>
                <w:szCs w:val="20"/>
              </w:rPr>
            </w:pPr>
            <w:r w:rsidRPr="00D26C28">
              <w:rPr>
                <w:color w:val="000000" w:themeColor="text1"/>
                <w:sz w:val="20"/>
                <w:szCs w:val="20"/>
              </w:rPr>
              <w:t>0.12</w:t>
            </w:r>
          </w:p>
        </w:tc>
        <w:tc>
          <w:tcPr>
            <w:tcW w:w="363" w:type="pct"/>
            <w:shd w:val="clear" w:color="auto" w:fill="auto"/>
            <w:noWrap/>
            <w:vAlign w:val="bottom"/>
            <w:hideMark/>
          </w:tcPr>
          <w:p w14:paraId="221B6910" w14:textId="77777777" w:rsidR="0035380D" w:rsidRPr="00D26C28" w:rsidRDefault="0035380D" w:rsidP="00B6548B">
            <w:pPr>
              <w:jc w:val="center"/>
              <w:rPr>
                <w:color w:val="000000" w:themeColor="text1"/>
                <w:sz w:val="20"/>
                <w:szCs w:val="20"/>
              </w:rPr>
            </w:pPr>
            <w:r w:rsidRPr="00D26C28">
              <w:rPr>
                <w:color w:val="000000" w:themeColor="text1"/>
                <w:sz w:val="20"/>
                <w:szCs w:val="20"/>
              </w:rPr>
              <w:t>0.24</w:t>
            </w:r>
          </w:p>
        </w:tc>
        <w:tc>
          <w:tcPr>
            <w:tcW w:w="363" w:type="pct"/>
            <w:shd w:val="clear" w:color="auto" w:fill="auto"/>
            <w:noWrap/>
            <w:vAlign w:val="bottom"/>
            <w:hideMark/>
          </w:tcPr>
          <w:p w14:paraId="109A3F44" w14:textId="77777777" w:rsidR="0035380D" w:rsidRPr="00D26C28" w:rsidRDefault="0035380D" w:rsidP="00B6548B">
            <w:pPr>
              <w:jc w:val="center"/>
              <w:rPr>
                <w:color w:val="000000" w:themeColor="text1"/>
                <w:sz w:val="20"/>
                <w:szCs w:val="20"/>
              </w:rPr>
            </w:pPr>
            <w:r w:rsidRPr="00D26C28">
              <w:rPr>
                <w:color w:val="000000" w:themeColor="text1"/>
                <w:sz w:val="20"/>
                <w:szCs w:val="20"/>
              </w:rPr>
              <w:t>0.13</w:t>
            </w:r>
          </w:p>
        </w:tc>
        <w:tc>
          <w:tcPr>
            <w:tcW w:w="363" w:type="pct"/>
            <w:shd w:val="clear" w:color="auto" w:fill="auto"/>
            <w:noWrap/>
            <w:vAlign w:val="bottom"/>
            <w:hideMark/>
          </w:tcPr>
          <w:p w14:paraId="0879CCE1" w14:textId="77777777" w:rsidR="0035380D" w:rsidRPr="00D26C28" w:rsidRDefault="0035380D" w:rsidP="00B6548B">
            <w:pPr>
              <w:jc w:val="center"/>
              <w:rPr>
                <w:color w:val="000000" w:themeColor="text1"/>
                <w:sz w:val="20"/>
                <w:szCs w:val="20"/>
              </w:rPr>
            </w:pPr>
            <w:r w:rsidRPr="00D26C28">
              <w:rPr>
                <w:color w:val="000000" w:themeColor="text1"/>
                <w:sz w:val="20"/>
                <w:szCs w:val="20"/>
              </w:rPr>
              <w:t>-0.31</w:t>
            </w:r>
          </w:p>
        </w:tc>
        <w:tc>
          <w:tcPr>
            <w:tcW w:w="108" w:type="pct"/>
            <w:shd w:val="clear" w:color="auto" w:fill="auto"/>
            <w:noWrap/>
            <w:vAlign w:val="bottom"/>
            <w:hideMark/>
          </w:tcPr>
          <w:p w14:paraId="43B5778E"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23B855AF" w14:textId="77777777" w:rsidR="0035380D" w:rsidRPr="00D26C28" w:rsidRDefault="0035380D" w:rsidP="00B6548B">
            <w:pPr>
              <w:jc w:val="center"/>
              <w:rPr>
                <w:color w:val="000000" w:themeColor="text1"/>
                <w:sz w:val="20"/>
                <w:szCs w:val="20"/>
              </w:rPr>
            </w:pPr>
            <w:r w:rsidRPr="00D26C28">
              <w:rPr>
                <w:color w:val="000000" w:themeColor="text1"/>
                <w:sz w:val="20"/>
                <w:szCs w:val="20"/>
              </w:rPr>
              <w:t>0.04</w:t>
            </w:r>
          </w:p>
        </w:tc>
        <w:tc>
          <w:tcPr>
            <w:tcW w:w="363" w:type="pct"/>
            <w:shd w:val="clear" w:color="auto" w:fill="auto"/>
            <w:noWrap/>
            <w:vAlign w:val="bottom"/>
            <w:hideMark/>
          </w:tcPr>
          <w:p w14:paraId="71BBDEE8" w14:textId="77777777" w:rsidR="0035380D" w:rsidRPr="00D26C28" w:rsidRDefault="0035380D" w:rsidP="00B6548B">
            <w:pPr>
              <w:jc w:val="center"/>
              <w:rPr>
                <w:color w:val="000000" w:themeColor="text1"/>
                <w:sz w:val="20"/>
                <w:szCs w:val="20"/>
              </w:rPr>
            </w:pPr>
            <w:r w:rsidRPr="00D26C28">
              <w:rPr>
                <w:color w:val="000000" w:themeColor="text1"/>
                <w:sz w:val="20"/>
                <w:szCs w:val="20"/>
              </w:rPr>
              <w:t>-0.67</w:t>
            </w:r>
          </w:p>
        </w:tc>
        <w:tc>
          <w:tcPr>
            <w:tcW w:w="363" w:type="pct"/>
            <w:shd w:val="clear" w:color="auto" w:fill="auto"/>
            <w:noWrap/>
            <w:vAlign w:val="bottom"/>
            <w:hideMark/>
          </w:tcPr>
          <w:p w14:paraId="4F635D4C" w14:textId="77777777" w:rsidR="0035380D" w:rsidRPr="00D26C28" w:rsidRDefault="0035380D" w:rsidP="00B6548B">
            <w:pPr>
              <w:jc w:val="center"/>
              <w:rPr>
                <w:color w:val="000000" w:themeColor="text1"/>
                <w:sz w:val="20"/>
                <w:szCs w:val="20"/>
              </w:rPr>
            </w:pPr>
            <w:r w:rsidRPr="00D26C28">
              <w:rPr>
                <w:color w:val="000000" w:themeColor="text1"/>
                <w:sz w:val="20"/>
                <w:szCs w:val="20"/>
              </w:rPr>
              <w:t>0.23</w:t>
            </w:r>
          </w:p>
        </w:tc>
        <w:tc>
          <w:tcPr>
            <w:tcW w:w="362" w:type="pct"/>
            <w:shd w:val="clear" w:color="auto" w:fill="auto"/>
            <w:noWrap/>
            <w:vAlign w:val="bottom"/>
            <w:hideMark/>
          </w:tcPr>
          <w:p w14:paraId="31FEFF8E" w14:textId="77777777" w:rsidR="0035380D" w:rsidRPr="00D26C28" w:rsidRDefault="0035380D" w:rsidP="00B6548B">
            <w:pPr>
              <w:jc w:val="center"/>
              <w:rPr>
                <w:color w:val="000000" w:themeColor="text1"/>
                <w:sz w:val="20"/>
                <w:szCs w:val="20"/>
              </w:rPr>
            </w:pPr>
            <w:r w:rsidRPr="00D26C28">
              <w:rPr>
                <w:color w:val="000000" w:themeColor="text1"/>
                <w:sz w:val="20"/>
                <w:szCs w:val="20"/>
              </w:rPr>
              <w:t>0.11</w:t>
            </w:r>
          </w:p>
        </w:tc>
      </w:tr>
      <w:tr w:rsidR="0035380D" w:rsidRPr="00D26C28" w14:paraId="33A889AC" w14:textId="77777777" w:rsidTr="00B6548B">
        <w:trPr>
          <w:trHeight w:val="300"/>
        </w:trPr>
        <w:tc>
          <w:tcPr>
            <w:tcW w:w="469" w:type="pct"/>
            <w:shd w:val="clear" w:color="auto" w:fill="auto"/>
            <w:noWrap/>
            <w:vAlign w:val="bottom"/>
            <w:hideMark/>
          </w:tcPr>
          <w:p w14:paraId="4C52763A" w14:textId="77777777" w:rsidR="0035380D" w:rsidRPr="00D26C28" w:rsidRDefault="0035380D" w:rsidP="00B6548B">
            <w:pPr>
              <w:rPr>
                <w:color w:val="000000" w:themeColor="text1"/>
                <w:sz w:val="20"/>
                <w:szCs w:val="20"/>
              </w:rPr>
            </w:pPr>
            <w:r w:rsidRPr="00D26C28">
              <w:rPr>
                <w:color w:val="000000" w:themeColor="text1"/>
                <w:sz w:val="20"/>
                <w:szCs w:val="20"/>
              </w:rPr>
              <w:t>Kurtosis</w:t>
            </w:r>
          </w:p>
        </w:tc>
        <w:tc>
          <w:tcPr>
            <w:tcW w:w="344" w:type="pct"/>
            <w:shd w:val="clear" w:color="auto" w:fill="auto"/>
            <w:noWrap/>
            <w:vAlign w:val="bottom"/>
            <w:hideMark/>
          </w:tcPr>
          <w:p w14:paraId="128E6132" w14:textId="77777777" w:rsidR="0035380D" w:rsidRPr="00D26C28" w:rsidRDefault="0035380D" w:rsidP="00B6548B">
            <w:pPr>
              <w:jc w:val="center"/>
              <w:rPr>
                <w:color w:val="000000" w:themeColor="text1"/>
                <w:sz w:val="20"/>
                <w:szCs w:val="20"/>
              </w:rPr>
            </w:pPr>
            <w:r w:rsidRPr="00D26C28">
              <w:rPr>
                <w:color w:val="000000" w:themeColor="text1"/>
                <w:sz w:val="20"/>
                <w:szCs w:val="20"/>
              </w:rPr>
              <w:t>4.85</w:t>
            </w:r>
          </w:p>
        </w:tc>
        <w:tc>
          <w:tcPr>
            <w:tcW w:w="374" w:type="pct"/>
            <w:shd w:val="clear" w:color="auto" w:fill="auto"/>
            <w:noWrap/>
            <w:vAlign w:val="bottom"/>
            <w:hideMark/>
          </w:tcPr>
          <w:p w14:paraId="7B3371A2" w14:textId="77777777" w:rsidR="0035380D" w:rsidRPr="00D26C28" w:rsidRDefault="0035380D" w:rsidP="00B6548B">
            <w:pPr>
              <w:jc w:val="center"/>
              <w:rPr>
                <w:color w:val="000000" w:themeColor="text1"/>
                <w:sz w:val="20"/>
                <w:szCs w:val="20"/>
              </w:rPr>
            </w:pPr>
            <w:r w:rsidRPr="00D26C28">
              <w:rPr>
                <w:color w:val="000000" w:themeColor="text1"/>
                <w:sz w:val="20"/>
                <w:szCs w:val="20"/>
              </w:rPr>
              <w:t>4.02</w:t>
            </w:r>
          </w:p>
        </w:tc>
        <w:tc>
          <w:tcPr>
            <w:tcW w:w="374" w:type="pct"/>
            <w:shd w:val="clear" w:color="auto" w:fill="auto"/>
            <w:noWrap/>
            <w:vAlign w:val="bottom"/>
            <w:hideMark/>
          </w:tcPr>
          <w:p w14:paraId="7F9B5613" w14:textId="77777777" w:rsidR="0035380D" w:rsidRPr="00D26C28" w:rsidRDefault="0035380D" w:rsidP="00B6548B">
            <w:pPr>
              <w:jc w:val="center"/>
              <w:rPr>
                <w:color w:val="000000" w:themeColor="text1"/>
                <w:sz w:val="20"/>
                <w:szCs w:val="20"/>
              </w:rPr>
            </w:pPr>
            <w:r w:rsidRPr="00D26C28">
              <w:rPr>
                <w:color w:val="000000" w:themeColor="text1"/>
                <w:sz w:val="20"/>
                <w:szCs w:val="20"/>
              </w:rPr>
              <w:t>4.14</w:t>
            </w:r>
          </w:p>
        </w:tc>
        <w:tc>
          <w:tcPr>
            <w:tcW w:w="376" w:type="pct"/>
            <w:shd w:val="clear" w:color="auto" w:fill="auto"/>
            <w:noWrap/>
            <w:vAlign w:val="bottom"/>
            <w:hideMark/>
          </w:tcPr>
          <w:p w14:paraId="05420B6B" w14:textId="77777777" w:rsidR="0035380D" w:rsidRPr="00D26C28" w:rsidRDefault="0035380D" w:rsidP="00B6548B">
            <w:pPr>
              <w:jc w:val="center"/>
              <w:rPr>
                <w:color w:val="000000" w:themeColor="text1"/>
                <w:sz w:val="20"/>
                <w:szCs w:val="20"/>
              </w:rPr>
            </w:pPr>
            <w:r w:rsidRPr="00D26C28">
              <w:rPr>
                <w:color w:val="000000" w:themeColor="text1"/>
                <w:sz w:val="20"/>
                <w:szCs w:val="20"/>
              </w:rPr>
              <w:t>4.81</w:t>
            </w:r>
          </w:p>
        </w:tc>
        <w:tc>
          <w:tcPr>
            <w:tcW w:w="98" w:type="pct"/>
            <w:shd w:val="clear" w:color="auto" w:fill="auto"/>
            <w:noWrap/>
            <w:vAlign w:val="bottom"/>
            <w:hideMark/>
          </w:tcPr>
          <w:p w14:paraId="51BCCCBB"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5306F900" w14:textId="77777777" w:rsidR="0035380D" w:rsidRPr="00D26C28" w:rsidRDefault="0035380D" w:rsidP="00B6548B">
            <w:pPr>
              <w:jc w:val="center"/>
              <w:rPr>
                <w:color w:val="000000" w:themeColor="text1"/>
                <w:sz w:val="20"/>
                <w:szCs w:val="20"/>
              </w:rPr>
            </w:pPr>
            <w:r w:rsidRPr="00D26C28">
              <w:rPr>
                <w:color w:val="000000" w:themeColor="text1"/>
                <w:sz w:val="20"/>
                <w:szCs w:val="20"/>
              </w:rPr>
              <w:t>3.54</w:t>
            </w:r>
          </w:p>
        </w:tc>
        <w:tc>
          <w:tcPr>
            <w:tcW w:w="363" w:type="pct"/>
            <w:shd w:val="clear" w:color="auto" w:fill="auto"/>
            <w:noWrap/>
            <w:vAlign w:val="bottom"/>
            <w:hideMark/>
          </w:tcPr>
          <w:p w14:paraId="4D8B5163" w14:textId="77777777" w:rsidR="0035380D" w:rsidRPr="00D26C28" w:rsidRDefault="0035380D" w:rsidP="00B6548B">
            <w:pPr>
              <w:jc w:val="center"/>
              <w:rPr>
                <w:color w:val="000000" w:themeColor="text1"/>
                <w:sz w:val="20"/>
                <w:szCs w:val="20"/>
              </w:rPr>
            </w:pPr>
            <w:r w:rsidRPr="00D26C28">
              <w:rPr>
                <w:color w:val="000000" w:themeColor="text1"/>
                <w:sz w:val="20"/>
                <w:szCs w:val="20"/>
              </w:rPr>
              <w:t>3.44</w:t>
            </w:r>
          </w:p>
        </w:tc>
        <w:tc>
          <w:tcPr>
            <w:tcW w:w="363" w:type="pct"/>
            <w:shd w:val="clear" w:color="auto" w:fill="auto"/>
            <w:noWrap/>
            <w:vAlign w:val="bottom"/>
            <w:hideMark/>
          </w:tcPr>
          <w:p w14:paraId="74BE1B61" w14:textId="77777777" w:rsidR="0035380D" w:rsidRPr="00D26C28" w:rsidRDefault="0035380D" w:rsidP="00B6548B">
            <w:pPr>
              <w:jc w:val="center"/>
              <w:rPr>
                <w:color w:val="000000" w:themeColor="text1"/>
                <w:sz w:val="20"/>
                <w:szCs w:val="20"/>
              </w:rPr>
            </w:pPr>
            <w:r w:rsidRPr="00D26C28">
              <w:rPr>
                <w:color w:val="000000" w:themeColor="text1"/>
                <w:sz w:val="20"/>
                <w:szCs w:val="20"/>
              </w:rPr>
              <w:t>3.15</w:t>
            </w:r>
          </w:p>
        </w:tc>
        <w:tc>
          <w:tcPr>
            <w:tcW w:w="363" w:type="pct"/>
            <w:shd w:val="clear" w:color="auto" w:fill="auto"/>
            <w:noWrap/>
            <w:vAlign w:val="bottom"/>
            <w:hideMark/>
          </w:tcPr>
          <w:p w14:paraId="3C2D3EF7" w14:textId="77777777" w:rsidR="0035380D" w:rsidRPr="00D26C28" w:rsidRDefault="0035380D" w:rsidP="00B6548B">
            <w:pPr>
              <w:jc w:val="center"/>
              <w:rPr>
                <w:color w:val="000000" w:themeColor="text1"/>
                <w:sz w:val="20"/>
                <w:szCs w:val="20"/>
              </w:rPr>
            </w:pPr>
            <w:r w:rsidRPr="00D26C28">
              <w:rPr>
                <w:color w:val="000000" w:themeColor="text1"/>
                <w:sz w:val="20"/>
                <w:szCs w:val="20"/>
              </w:rPr>
              <w:t>4.18</w:t>
            </w:r>
          </w:p>
        </w:tc>
        <w:tc>
          <w:tcPr>
            <w:tcW w:w="108" w:type="pct"/>
            <w:shd w:val="clear" w:color="auto" w:fill="auto"/>
            <w:noWrap/>
            <w:vAlign w:val="bottom"/>
            <w:hideMark/>
          </w:tcPr>
          <w:p w14:paraId="2ED564C5"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4B87A7A4" w14:textId="77777777" w:rsidR="0035380D" w:rsidRPr="00D26C28" w:rsidRDefault="0035380D" w:rsidP="00B6548B">
            <w:pPr>
              <w:jc w:val="center"/>
              <w:rPr>
                <w:color w:val="000000" w:themeColor="text1"/>
                <w:sz w:val="20"/>
                <w:szCs w:val="20"/>
              </w:rPr>
            </w:pPr>
            <w:r w:rsidRPr="00D26C28">
              <w:rPr>
                <w:color w:val="000000" w:themeColor="text1"/>
                <w:sz w:val="20"/>
                <w:szCs w:val="20"/>
              </w:rPr>
              <w:t>3.40</w:t>
            </w:r>
          </w:p>
        </w:tc>
        <w:tc>
          <w:tcPr>
            <w:tcW w:w="363" w:type="pct"/>
            <w:shd w:val="clear" w:color="auto" w:fill="auto"/>
            <w:noWrap/>
            <w:vAlign w:val="bottom"/>
            <w:hideMark/>
          </w:tcPr>
          <w:p w14:paraId="2E3722C2" w14:textId="77777777" w:rsidR="0035380D" w:rsidRPr="00D26C28" w:rsidRDefault="0035380D" w:rsidP="00B6548B">
            <w:pPr>
              <w:jc w:val="center"/>
              <w:rPr>
                <w:color w:val="000000" w:themeColor="text1"/>
                <w:sz w:val="20"/>
                <w:szCs w:val="20"/>
              </w:rPr>
            </w:pPr>
            <w:r w:rsidRPr="00D26C28">
              <w:rPr>
                <w:color w:val="000000" w:themeColor="text1"/>
                <w:sz w:val="20"/>
                <w:szCs w:val="20"/>
              </w:rPr>
              <w:t>6.56</w:t>
            </w:r>
          </w:p>
        </w:tc>
        <w:tc>
          <w:tcPr>
            <w:tcW w:w="363" w:type="pct"/>
            <w:shd w:val="clear" w:color="auto" w:fill="auto"/>
            <w:noWrap/>
            <w:vAlign w:val="bottom"/>
            <w:hideMark/>
          </w:tcPr>
          <w:p w14:paraId="143D40B3" w14:textId="77777777" w:rsidR="0035380D" w:rsidRPr="00D26C28" w:rsidRDefault="0035380D" w:rsidP="00B6548B">
            <w:pPr>
              <w:jc w:val="center"/>
              <w:rPr>
                <w:color w:val="000000" w:themeColor="text1"/>
                <w:sz w:val="20"/>
                <w:szCs w:val="20"/>
              </w:rPr>
            </w:pPr>
            <w:r w:rsidRPr="00D26C28">
              <w:rPr>
                <w:color w:val="000000" w:themeColor="text1"/>
                <w:sz w:val="20"/>
                <w:szCs w:val="20"/>
              </w:rPr>
              <w:t>4.19</w:t>
            </w:r>
          </w:p>
        </w:tc>
        <w:tc>
          <w:tcPr>
            <w:tcW w:w="362" w:type="pct"/>
            <w:shd w:val="clear" w:color="auto" w:fill="auto"/>
            <w:noWrap/>
            <w:vAlign w:val="bottom"/>
            <w:hideMark/>
          </w:tcPr>
          <w:p w14:paraId="0CE7CCCD" w14:textId="77777777" w:rsidR="0035380D" w:rsidRPr="00D26C28" w:rsidRDefault="0035380D" w:rsidP="00B6548B">
            <w:pPr>
              <w:jc w:val="center"/>
              <w:rPr>
                <w:color w:val="000000" w:themeColor="text1"/>
                <w:sz w:val="20"/>
                <w:szCs w:val="20"/>
              </w:rPr>
            </w:pPr>
            <w:r w:rsidRPr="00D26C28">
              <w:rPr>
                <w:color w:val="000000" w:themeColor="text1"/>
                <w:sz w:val="20"/>
                <w:szCs w:val="20"/>
              </w:rPr>
              <w:t>3.82</w:t>
            </w:r>
          </w:p>
        </w:tc>
      </w:tr>
      <w:tr w:rsidR="0035380D" w:rsidRPr="00D26C28" w14:paraId="11C1AB3F" w14:textId="77777777" w:rsidTr="00B6548B">
        <w:trPr>
          <w:trHeight w:val="300"/>
        </w:trPr>
        <w:tc>
          <w:tcPr>
            <w:tcW w:w="469" w:type="pct"/>
            <w:shd w:val="clear" w:color="auto" w:fill="auto"/>
            <w:noWrap/>
            <w:vAlign w:val="bottom"/>
            <w:hideMark/>
          </w:tcPr>
          <w:p w14:paraId="63B663F9" w14:textId="77777777" w:rsidR="0035380D" w:rsidRPr="00D26C28" w:rsidRDefault="0035380D" w:rsidP="00B6548B">
            <w:pPr>
              <w:rPr>
                <w:color w:val="000000" w:themeColor="text1"/>
                <w:sz w:val="20"/>
                <w:szCs w:val="20"/>
              </w:rPr>
            </w:pPr>
            <w:r w:rsidRPr="00D26C28">
              <w:rPr>
                <w:color w:val="000000" w:themeColor="text1"/>
                <w:sz w:val="20"/>
                <w:szCs w:val="20"/>
              </w:rPr>
              <w:t>MaxDD</w:t>
            </w:r>
          </w:p>
        </w:tc>
        <w:tc>
          <w:tcPr>
            <w:tcW w:w="344" w:type="pct"/>
            <w:shd w:val="clear" w:color="auto" w:fill="auto"/>
            <w:noWrap/>
            <w:vAlign w:val="bottom"/>
            <w:hideMark/>
          </w:tcPr>
          <w:p w14:paraId="67263526" w14:textId="77777777" w:rsidR="0035380D" w:rsidRPr="00D26C28" w:rsidRDefault="0035380D" w:rsidP="00B6548B">
            <w:pPr>
              <w:jc w:val="center"/>
              <w:rPr>
                <w:color w:val="000000" w:themeColor="text1"/>
                <w:sz w:val="20"/>
                <w:szCs w:val="20"/>
              </w:rPr>
            </w:pPr>
            <w:r w:rsidRPr="00D26C28">
              <w:rPr>
                <w:color w:val="000000" w:themeColor="text1"/>
                <w:sz w:val="20"/>
                <w:szCs w:val="20"/>
              </w:rPr>
              <w:t>-0.30</w:t>
            </w:r>
          </w:p>
        </w:tc>
        <w:tc>
          <w:tcPr>
            <w:tcW w:w="374" w:type="pct"/>
            <w:shd w:val="clear" w:color="auto" w:fill="auto"/>
            <w:noWrap/>
            <w:vAlign w:val="bottom"/>
            <w:hideMark/>
          </w:tcPr>
          <w:p w14:paraId="3FD1F003" w14:textId="77777777" w:rsidR="0035380D" w:rsidRPr="00D26C28" w:rsidRDefault="0035380D" w:rsidP="00B6548B">
            <w:pPr>
              <w:jc w:val="center"/>
              <w:rPr>
                <w:color w:val="000000" w:themeColor="text1"/>
                <w:sz w:val="20"/>
                <w:szCs w:val="20"/>
              </w:rPr>
            </w:pPr>
            <w:r w:rsidRPr="00D26C28">
              <w:rPr>
                <w:color w:val="000000" w:themeColor="text1"/>
                <w:sz w:val="20"/>
                <w:szCs w:val="20"/>
              </w:rPr>
              <w:t>-0.29</w:t>
            </w:r>
          </w:p>
        </w:tc>
        <w:tc>
          <w:tcPr>
            <w:tcW w:w="374" w:type="pct"/>
            <w:shd w:val="clear" w:color="auto" w:fill="auto"/>
            <w:noWrap/>
            <w:vAlign w:val="bottom"/>
            <w:hideMark/>
          </w:tcPr>
          <w:p w14:paraId="73F16A92" w14:textId="77777777" w:rsidR="0035380D" w:rsidRPr="00D26C28" w:rsidRDefault="0035380D" w:rsidP="00B6548B">
            <w:pPr>
              <w:jc w:val="center"/>
              <w:rPr>
                <w:color w:val="000000" w:themeColor="text1"/>
                <w:sz w:val="20"/>
                <w:szCs w:val="20"/>
              </w:rPr>
            </w:pPr>
            <w:r w:rsidRPr="00D26C28">
              <w:rPr>
                <w:color w:val="000000" w:themeColor="text1"/>
                <w:sz w:val="20"/>
                <w:szCs w:val="20"/>
              </w:rPr>
              <w:t>-0.37</w:t>
            </w:r>
          </w:p>
        </w:tc>
        <w:tc>
          <w:tcPr>
            <w:tcW w:w="376" w:type="pct"/>
            <w:shd w:val="clear" w:color="auto" w:fill="auto"/>
            <w:noWrap/>
            <w:vAlign w:val="bottom"/>
            <w:hideMark/>
          </w:tcPr>
          <w:p w14:paraId="0F9247D2" w14:textId="77777777" w:rsidR="0035380D" w:rsidRPr="00D26C28" w:rsidRDefault="0035380D" w:rsidP="00B6548B">
            <w:pPr>
              <w:jc w:val="center"/>
              <w:rPr>
                <w:color w:val="000000" w:themeColor="text1"/>
                <w:sz w:val="20"/>
                <w:szCs w:val="20"/>
              </w:rPr>
            </w:pPr>
            <w:r w:rsidRPr="00D26C28">
              <w:rPr>
                <w:color w:val="000000" w:themeColor="text1"/>
                <w:sz w:val="20"/>
                <w:szCs w:val="20"/>
              </w:rPr>
              <w:t>-0.15</w:t>
            </w:r>
          </w:p>
        </w:tc>
        <w:tc>
          <w:tcPr>
            <w:tcW w:w="98" w:type="pct"/>
            <w:shd w:val="clear" w:color="auto" w:fill="auto"/>
            <w:noWrap/>
            <w:vAlign w:val="bottom"/>
            <w:hideMark/>
          </w:tcPr>
          <w:p w14:paraId="79DA029A"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3BA2BA71" w14:textId="77777777" w:rsidR="0035380D" w:rsidRPr="00D26C28" w:rsidRDefault="0035380D" w:rsidP="00B6548B">
            <w:pPr>
              <w:jc w:val="center"/>
              <w:rPr>
                <w:color w:val="000000" w:themeColor="text1"/>
                <w:sz w:val="20"/>
                <w:szCs w:val="20"/>
              </w:rPr>
            </w:pPr>
            <w:r w:rsidRPr="00D26C28">
              <w:rPr>
                <w:color w:val="000000" w:themeColor="text1"/>
                <w:sz w:val="20"/>
                <w:szCs w:val="20"/>
              </w:rPr>
              <w:t>-0.45</w:t>
            </w:r>
          </w:p>
        </w:tc>
        <w:tc>
          <w:tcPr>
            <w:tcW w:w="363" w:type="pct"/>
            <w:shd w:val="clear" w:color="auto" w:fill="auto"/>
            <w:noWrap/>
            <w:vAlign w:val="bottom"/>
            <w:hideMark/>
          </w:tcPr>
          <w:p w14:paraId="6CD75B7D" w14:textId="77777777" w:rsidR="0035380D" w:rsidRPr="00D26C28" w:rsidRDefault="0035380D" w:rsidP="00B6548B">
            <w:pPr>
              <w:jc w:val="center"/>
              <w:rPr>
                <w:color w:val="000000" w:themeColor="text1"/>
                <w:sz w:val="20"/>
                <w:szCs w:val="20"/>
              </w:rPr>
            </w:pPr>
            <w:r w:rsidRPr="00D26C28">
              <w:rPr>
                <w:color w:val="000000" w:themeColor="text1"/>
                <w:sz w:val="20"/>
                <w:szCs w:val="20"/>
              </w:rPr>
              <w:t>-0.41</w:t>
            </w:r>
          </w:p>
        </w:tc>
        <w:tc>
          <w:tcPr>
            <w:tcW w:w="363" w:type="pct"/>
            <w:shd w:val="clear" w:color="auto" w:fill="auto"/>
            <w:noWrap/>
            <w:vAlign w:val="bottom"/>
            <w:hideMark/>
          </w:tcPr>
          <w:p w14:paraId="1CDDAD78" w14:textId="77777777" w:rsidR="0035380D" w:rsidRPr="00D26C28" w:rsidRDefault="0035380D" w:rsidP="00B6548B">
            <w:pPr>
              <w:jc w:val="center"/>
              <w:rPr>
                <w:color w:val="000000" w:themeColor="text1"/>
                <w:sz w:val="20"/>
                <w:szCs w:val="20"/>
              </w:rPr>
            </w:pPr>
            <w:r w:rsidRPr="00D26C28">
              <w:rPr>
                <w:color w:val="000000" w:themeColor="text1"/>
                <w:sz w:val="20"/>
                <w:szCs w:val="20"/>
              </w:rPr>
              <w:t>-0.40</w:t>
            </w:r>
          </w:p>
        </w:tc>
        <w:tc>
          <w:tcPr>
            <w:tcW w:w="363" w:type="pct"/>
            <w:shd w:val="clear" w:color="auto" w:fill="auto"/>
            <w:noWrap/>
            <w:vAlign w:val="bottom"/>
            <w:hideMark/>
          </w:tcPr>
          <w:p w14:paraId="7F548D29" w14:textId="77777777" w:rsidR="0035380D" w:rsidRPr="00D26C28" w:rsidRDefault="0035380D" w:rsidP="00B6548B">
            <w:pPr>
              <w:jc w:val="center"/>
              <w:rPr>
                <w:color w:val="000000" w:themeColor="text1"/>
                <w:sz w:val="20"/>
                <w:szCs w:val="20"/>
              </w:rPr>
            </w:pPr>
            <w:r w:rsidRPr="00D26C28">
              <w:rPr>
                <w:color w:val="000000" w:themeColor="text1"/>
                <w:sz w:val="20"/>
                <w:szCs w:val="20"/>
              </w:rPr>
              <w:t>-0.28</w:t>
            </w:r>
          </w:p>
        </w:tc>
        <w:tc>
          <w:tcPr>
            <w:tcW w:w="108" w:type="pct"/>
            <w:shd w:val="clear" w:color="auto" w:fill="auto"/>
            <w:noWrap/>
            <w:vAlign w:val="bottom"/>
            <w:hideMark/>
          </w:tcPr>
          <w:p w14:paraId="69B8636A"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61CACDB8" w14:textId="77777777" w:rsidR="0035380D" w:rsidRPr="00D26C28" w:rsidRDefault="0035380D" w:rsidP="00B6548B">
            <w:pPr>
              <w:jc w:val="center"/>
              <w:rPr>
                <w:color w:val="000000" w:themeColor="text1"/>
                <w:sz w:val="20"/>
                <w:szCs w:val="20"/>
              </w:rPr>
            </w:pPr>
            <w:r w:rsidRPr="00D26C28">
              <w:rPr>
                <w:color w:val="000000" w:themeColor="text1"/>
                <w:sz w:val="20"/>
                <w:szCs w:val="20"/>
              </w:rPr>
              <w:t>-0.54</w:t>
            </w:r>
          </w:p>
        </w:tc>
        <w:tc>
          <w:tcPr>
            <w:tcW w:w="363" w:type="pct"/>
            <w:shd w:val="clear" w:color="auto" w:fill="auto"/>
            <w:noWrap/>
            <w:vAlign w:val="bottom"/>
            <w:hideMark/>
          </w:tcPr>
          <w:p w14:paraId="3C43017B" w14:textId="77777777" w:rsidR="0035380D" w:rsidRPr="00D26C28" w:rsidRDefault="0035380D" w:rsidP="00B6548B">
            <w:pPr>
              <w:jc w:val="center"/>
              <w:rPr>
                <w:color w:val="000000" w:themeColor="text1"/>
                <w:sz w:val="20"/>
                <w:szCs w:val="20"/>
              </w:rPr>
            </w:pPr>
            <w:r w:rsidRPr="00D26C28">
              <w:rPr>
                <w:color w:val="000000" w:themeColor="text1"/>
                <w:sz w:val="20"/>
                <w:szCs w:val="20"/>
              </w:rPr>
              <w:t>-0.64</w:t>
            </w:r>
          </w:p>
        </w:tc>
        <w:tc>
          <w:tcPr>
            <w:tcW w:w="363" w:type="pct"/>
            <w:shd w:val="clear" w:color="auto" w:fill="auto"/>
            <w:noWrap/>
            <w:vAlign w:val="bottom"/>
            <w:hideMark/>
          </w:tcPr>
          <w:p w14:paraId="719CAC43" w14:textId="77777777" w:rsidR="0035380D" w:rsidRPr="00D26C28" w:rsidRDefault="0035380D" w:rsidP="00B6548B">
            <w:pPr>
              <w:jc w:val="center"/>
              <w:rPr>
                <w:color w:val="000000" w:themeColor="text1"/>
                <w:sz w:val="20"/>
                <w:szCs w:val="20"/>
              </w:rPr>
            </w:pPr>
            <w:r w:rsidRPr="00D26C28">
              <w:rPr>
                <w:color w:val="000000" w:themeColor="text1"/>
                <w:sz w:val="20"/>
                <w:szCs w:val="20"/>
              </w:rPr>
              <w:t>-0.48</w:t>
            </w:r>
          </w:p>
        </w:tc>
        <w:tc>
          <w:tcPr>
            <w:tcW w:w="362" w:type="pct"/>
            <w:shd w:val="clear" w:color="auto" w:fill="auto"/>
            <w:noWrap/>
            <w:vAlign w:val="bottom"/>
            <w:hideMark/>
          </w:tcPr>
          <w:p w14:paraId="22898BB7" w14:textId="77777777" w:rsidR="0035380D" w:rsidRPr="00D26C28" w:rsidRDefault="0035380D" w:rsidP="00B6548B">
            <w:pPr>
              <w:jc w:val="center"/>
              <w:rPr>
                <w:color w:val="000000" w:themeColor="text1"/>
                <w:sz w:val="20"/>
                <w:szCs w:val="20"/>
              </w:rPr>
            </w:pPr>
            <w:r w:rsidRPr="00D26C28">
              <w:rPr>
                <w:color w:val="000000" w:themeColor="text1"/>
                <w:sz w:val="20"/>
                <w:szCs w:val="20"/>
              </w:rPr>
              <w:t>-0.36</w:t>
            </w:r>
          </w:p>
        </w:tc>
      </w:tr>
      <w:tr w:rsidR="0035380D" w:rsidRPr="00D26C28" w14:paraId="5C6A99E4" w14:textId="77777777" w:rsidTr="00B6548B">
        <w:trPr>
          <w:trHeight w:val="300"/>
        </w:trPr>
        <w:tc>
          <w:tcPr>
            <w:tcW w:w="469" w:type="pct"/>
            <w:shd w:val="clear" w:color="auto" w:fill="auto"/>
            <w:noWrap/>
            <w:vAlign w:val="bottom"/>
            <w:hideMark/>
          </w:tcPr>
          <w:p w14:paraId="4DD35977" w14:textId="77777777" w:rsidR="0035380D" w:rsidRPr="00D26C28" w:rsidRDefault="0035380D" w:rsidP="00B6548B">
            <w:pPr>
              <w:rPr>
                <w:color w:val="000000" w:themeColor="text1"/>
                <w:sz w:val="20"/>
                <w:szCs w:val="20"/>
              </w:rPr>
            </w:pPr>
            <w:r w:rsidRPr="00D26C28">
              <w:rPr>
                <w:color w:val="000000" w:themeColor="text1"/>
                <w:sz w:val="20"/>
                <w:szCs w:val="20"/>
              </w:rPr>
              <w:t> </w:t>
            </w:r>
          </w:p>
        </w:tc>
        <w:tc>
          <w:tcPr>
            <w:tcW w:w="1468" w:type="pct"/>
            <w:gridSpan w:val="4"/>
            <w:tcBorders>
              <w:bottom w:val="single" w:sz="4" w:space="0" w:color="auto"/>
            </w:tcBorders>
            <w:shd w:val="clear" w:color="auto" w:fill="auto"/>
            <w:noWrap/>
            <w:vAlign w:val="bottom"/>
            <w:hideMark/>
          </w:tcPr>
          <w:p w14:paraId="401C124E" w14:textId="77777777" w:rsidR="0035380D" w:rsidRPr="00D26C28" w:rsidRDefault="0035380D" w:rsidP="00B6548B">
            <w:pPr>
              <w:jc w:val="center"/>
              <w:rPr>
                <w:color w:val="000000" w:themeColor="text1"/>
                <w:sz w:val="20"/>
                <w:szCs w:val="20"/>
              </w:rPr>
            </w:pPr>
            <w:r w:rsidRPr="00D26C28">
              <w:rPr>
                <w:color w:val="000000" w:themeColor="text1"/>
                <w:sz w:val="20"/>
                <w:szCs w:val="20"/>
              </w:rPr>
              <w:t>Size</w:t>
            </w:r>
          </w:p>
        </w:tc>
        <w:tc>
          <w:tcPr>
            <w:tcW w:w="98" w:type="pct"/>
            <w:shd w:val="clear" w:color="auto" w:fill="auto"/>
            <w:noWrap/>
            <w:vAlign w:val="bottom"/>
            <w:hideMark/>
          </w:tcPr>
          <w:p w14:paraId="0FF71FA4" w14:textId="77777777" w:rsidR="0035380D" w:rsidRPr="00D26C28" w:rsidRDefault="0035380D" w:rsidP="00B6548B">
            <w:pPr>
              <w:jc w:val="center"/>
              <w:rPr>
                <w:color w:val="000000" w:themeColor="text1"/>
                <w:sz w:val="20"/>
                <w:szCs w:val="20"/>
              </w:rPr>
            </w:pPr>
          </w:p>
        </w:tc>
        <w:tc>
          <w:tcPr>
            <w:tcW w:w="1428" w:type="pct"/>
            <w:gridSpan w:val="4"/>
            <w:tcBorders>
              <w:bottom w:val="single" w:sz="4" w:space="0" w:color="auto"/>
            </w:tcBorders>
            <w:shd w:val="clear" w:color="auto" w:fill="auto"/>
            <w:noWrap/>
            <w:vAlign w:val="bottom"/>
            <w:hideMark/>
          </w:tcPr>
          <w:p w14:paraId="1685A03C" w14:textId="77777777" w:rsidR="0035380D" w:rsidRPr="00D26C28" w:rsidRDefault="0035380D" w:rsidP="00B6548B">
            <w:pPr>
              <w:jc w:val="center"/>
              <w:rPr>
                <w:color w:val="000000" w:themeColor="text1"/>
                <w:sz w:val="20"/>
                <w:szCs w:val="20"/>
              </w:rPr>
            </w:pPr>
            <w:r w:rsidRPr="00D26C28">
              <w:rPr>
                <w:color w:val="000000" w:themeColor="text1"/>
                <w:sz w:val="20"/>
                <w:szCs w:val="20"/>
              </w:rPr>
              <w:t>Value</w:t>
            </w:r>
          </w:p>
        </w:tc>
        <w:tc>
          <w:tcPr>
            <w:tcW w:w="108" w:type="pct"/>
            <w:shd w:val="clear" w:color="auto" w:fill="auto"/>
            <w:noWrap/>
            <w:vAlign w:val="bottom"/>
            <w:hideMark/>
          </w:tcPr>
          <w:p w14:paraId="1F60E67B" w14:textId="77777777" w:rsidR="0035380D" w:rsidRPr="00D26C28" w:rsidRDefault="0035380D" w:rsidP="00B6548B">
            <w:pPr>
              <w:jc w:val="center"/>
              <w:rPr>
                <w:color w:val="000000" w:themeColor="text1"/>
                <w:sz w:val="20"/>
                <w:szCs w:val="20"/>
              </w:rPr>
            </w:pPr>
          </w:p>
        </w:tc>
        <w:tc>
          <w:tcPr>
            <w:tcW w:w="1428" w:type="pct"/>
            <w:gridSpan w:val="4"/>
            <w:tcBorders>
              <w:bottom w:val="single" w:sz="4" w:space="0" w:color="auto"/>
            </w:tcBorders>
            <w:shd w:val="clear" w:color="auto" w:fill="auto"/>
            <w:noWrap/>
            <w:vAlign w:val="bottom"/>
            <w:hideMark/>
          </w:tcPr>
          <w:p w14:paraId="6376B780" w14:textId="77777777" w:rsidR="0035380D" w:rsidRPr="00D26C28" w:rsidRDefault="0035380D" w:rsidP="00B6548B">
            <w:pPr>
              <w:jc w:val="center"/>
              <w:rPr>
                <w:color w:val="000000" w:themeColor="text1"/>
                <w:sz w:val="20"/>
                <w:szCs w:val="20"/>
              </w:rPr>
            </w:pPr>
            <w:r w:rsidRPr="00D26C28">
              <w:rPr>
                <w:color w:val="000000" w:themeColor="text1"/>
                <w:sz w:val="20"/>
                <w:szCs w:val="20"/>
              </w:rPr>
              <w:t>Market</w:t>
            </w:r>
          </w:p>
        </w:tc>
      </w:tr>
      <w:tr w:rsidR="0035380D" w:rsidRPr="00D26C28" w14:paraId="1412511D" w14:textId="77777777" w:rsidTr="00B6548B">
        <w:trPr>
          <w:trHeight w:val="300"/>
        </w:trPr>
        <w:tc>
          <w:tcPr>
            <w:tcW w:w="469" w:type="pct"/>
            <w:tcBorders>
              <w:bottom w:val="single" w:sz="4" w:space="0" w:color="auto"/>
            </w:tcBorders>
            <w:shd w:val="clear" w:color="auto" w:fill="auto"/>
            <w:noWrap/>
            <w:vAlign w:val="bottom"/>
            <w:hideMark/>
          </w:tcPr>
          <w:p w14:paraId="009EAB5B" w14:textId="77777777" w:rsidR="0035380D" w:rsidRPr="00D26C28" w:rsidRDefault="0035380D" w:rsidP="00B6548B">
            <w:pPr>
              <w:rPr>
                <w:color w:val="000000" w:themeColor="text1"/>
                <w:sz w:val="20"/>
                <w:szCs w:val="20"/>
              </w:rPr>
            </w:pPr>
            <w:r w:rsidRPr="00D26C28">
              <w:rPr>
                <w:color w:val="000000" w:themeColor="text1"/>
                <w:sz w:val="20"/>
                <w:szCs w:val="20"/>
              </w:rPr>
              <w:t> </w:t>
            </w:r>
          </w:p>
        </w:tc>
        <w:tc>
          <w:tcPr>
            <w:tcW w:w="344" w:type="pct"/>
            <w:tcBorders>
              <w:top w:val="single" w:sz="4" w:space="0" w:color="auto"/>
              <w:bottom w:val="single" w:sz="4" w:space="0" w:color="auto"/>
            </w:tcBorders>
            <w:shd w:val="clear" w:color="auto" w:fill="auto"/>
            <w:noWrap/>
            <w:vAlign w:val="bottom"/>
            <w:hideMark/>
          </w:tcPr>
          <w:p w14:paraId="62206845" w14:textId="77777777" w:rsidR="0035380D" w:rsidRPr="00D26C28" w:rsidRDefault="0035380D" w:rsidP="00B6548B">
            <w:pPr>
              <w:jc w:val="center"/>
              <w:rPr>
                <w:color w:val="000000" w:themeColor="text1"/>
                <w:sz w:val="20"/>
                <w:szCs w:val="20"/>
              </w:rPr>
            </w:pPr>
            <w:r w:rsidRPr="00D26C28">
              <w:rPr>
                <w:color w:val="000000" w:themeColor="text1"/>
                <w:sz w:val="20"/>
                <w:szCs w:val="20"/>
              </w:rPr>
              <w:t>S</w:t>
            </w:r>
          </w:p>
        </w:tc>
        <w:tc>
          <w:tcPr>
            <w:tcW w:w="374" w:type="pct"/>
            <w:tcBorders>
              <w:top w:val="single" w:sz="4" w:space="0" w:color="auto"/>
              <w:bottom w:val="single" w:sz="4" w:space="0" w:color="auto"/>
            </w:tcBorders>
            <w:shd w:val="clear" w:color="auto" w:fill="auto"/>
            <w:noWrap/>
            <w:vAlign w:val="bottom"/>
            <w:hideMark/>
          </w:tcPr>
          <w:p w14:paraId="104D1156" w14:textId="77777777" w:rsidR="0035380D" w:rsidRPr="00D26C28" w:rsidRDefault="0035380D" w:rsidP="00B6548B">
            <w:pPr>
              <w:jc w:val="center"/>
              <w:rPr>
                <w:color w:val="000000" w:themeColor="text1"/>
                <w:sz w:val="20"/>
                <w:szCs w:val="20"/>
              </w:rPr>
            </w:pPr>
            <w:r w:rsidRPr="00D26C28">
              <w:rPr>
                <w:color w:val="000000" w:themeColor="text1"/>
                <w:sz w:val="20"/>
                <w:szCs w:val="20"/>
              </w:rPr>
              <w:t>M1</w:t>
            </w:r>
          </w:p>
        </w:tc>
        <w:tc>
          <w:tcPr>
            <w:tcW w:w="374" w:type="pct"/>
            <w:tcBorders>
              <w:top w:val="single" w:sz="4" w:space="0" w:color="auto"/>
              <w:bottom w:val="single" w:sz="4" w:space="0" w:color="auto"/>
            </w:tcBorders>
            <w:shd w:val="clear" w:color="auto" w:fill="auto"/>
            <w:noWrap/>
            <w:vAlign w:val="bottom"/>
            <w:hideMark/>
          </w:tcPr>
          <w:p w14:paraId="779ECF41" w14:textId="77777777" w:rsidR="0035380D" w:rsidRPr="00D26C28" w:rsidRDefault="0035380D" w:rsidP="00B6548B">
            <w:pPr>
              <w:jc w:val="center"/>
              <w:rPr>
                <w:color w:val="000000" w:themeColor="text1"/>
                <w:sz w:val="20"/>
                <w:szCs w:val="20"/>
              </w:rPr>
            </w:pPr>
            <w:r w:rsidRPr="00D26C28">
              <w:rPr>
                <w:color w:val="000000" w:themeColor="text1"/>
                <w:sz w:val="20"/>
                <w:szCs w:val="20"/>
              </w:rPr>
              <w:t>M2</w:t>
            </w:r>
          </w:p>
        </w:tc>
        <w:tc>
          <w:tcPr>
            <w:tcW w:w="376" w:type="pct"/>
            <w:tcBorders>
              <w:top w:val="single" w:sz="4" w:space="0" w:color="auto"/>
              <w:bottom w:val="single" w:sz="4" w:space="0" w:color="auto"/>
            </w:tcBorders>
            <w:shd w:val="clear" w:color="auto" w:fill="auto"/>
            <w:noWrap/>
            <w:vAlign w:val="bottom"/>
            <w:hideMark/>
          </w:tcPr>
          <w:p w14:paraId="2281E79A" w14:textId="77777777" w:rsidR="0035380D" w:rsidRPr="00D26C28" w:rsidRDefault="0035380D" w:rsidP="00B6548B">
            <w:pPr>
              <w:jc w:val="center"/>
              <w:rPr>
                <w:color w:val="000000" w:themeColor="text1"/>
                <w:sz w:val="20"/>
                <w:szCs w:val="20"/>
              </w:rPr>
            </w:pPr>
            <w:r w:rsidRPr="00D26C28">
              <w:rPr>
                <w:color w:val="000000" w:themeColor="text1"/>
                <w:sz w:val="20"/>
                <w:szCs w:val="20"/>
              </w:rPr>
              <w:t>M3</w:t>
            </w:r>
          </w:p>
        </w:tc>
        <w:tc>
          <w:tcPr>
            <w:tcW w:w="98" w:type="pct"/>
            <w:tcBorders>
              <w:bottom w:val="single" w:sz="4" w:space="0" w:color="auto"/>
            </w:tcBorders>
            <w:shd w:val="clear" w:color="auto" w:fill="auto"/>
            <w:noWrap/>
            <w:vAlign w:val="bottom"/>
            <w:hideMark/>
          </w:tcPr>
          <w:p w14:paraId="6C9EC381" w14:textId="77777777" w:rsidR="0035380D" w:rsidRPr="00D26C28" w:rsidRDefault="0035380D" w:rsidP="00B6548B">
            <w:pPr>
              <w:jc w:val="center"/>
              <w:rPr>
                <w:color w:val="000000" w:themeColor="text1"/>
                <w:sz w:val="20"/>
                <w:szCs w:val="20"/>
              </w:rPr>
            </w:pPr>
          </w:p>
        </w:tc>
        <w:tc>
          <w:tcPr>
            <w:tcW w:w="340" w:type="pct"/>
            <w:tcBorders>
              <w:top w:val="single" w:sz="4" w:space="0" w:color="auto"/>
              <w:bottom w:val="single" w:sz="4" w:space="0" w:color="auto"/>
            </w:tcBorders>
            <w:shd w:val="clear" w:color="auto" w:fill="auto"/>
            <w:noWrap/>
            <w:vAlign w:val="bottom"/>
            <w:hideMark/>
          </w:tcPr>
          <w:p w14:paraId="21BF0D6C" w14:textId="77777777" w:rsidR="0035380D" w:rsidRPr="00D26C28" w:rsidRDefault="0035380D" w:rsidP="00B6548B">
            <w:pPr>
              <w:jc w:val="center"/>
              <w:rPr>
                <w:color w:val="000000" w:themeColor="text1"/>
                <w:sz w:val="20"/>
                <w:szCs w:val="20"/>
              </w:rPr>
            </w:pPr>
            <w:r w:rsidRPr="00D26C28">
              <w:rPr>
                <w:color w:val="000000" w:themeColor="text1"/>
                <w:sz w:val="20"/>
                <w:szCs w:val="20"/>
              </w:rPr>
              <w:t>S</w:t>
            </w:r>
          </w:p>
        </w:tc>
        <w:tc>
          <w:tcPr>
            <w:tcW w:w="363" w:type="pct"/>
            <w:tcBorders>
              <w:top w:val="single" w:sz="4" w:space="0" w:color="auto"/>
              <w:bottom w:val="single" w:sz="4" w:space="0" w:color="auto"/>
            </w:tcBorders>
            <w:shd w:val="clear" w:color="auto" w:fill="auto"/>
            <w:noWrap/>
            <w:vAlign w:val="bottom"/>
            <w:hideMark/>
          </w:tcPr>
          <w:p w14:paraId="3972AEE4" w14:textId="77777777" w:rsidR="0035380D" w:rsidRPr="00D26C28" w:rsidRDefault="0035380D" w:rsidP="00B6548B">
            <w:pPr>
              <w:jc w:val="center"/>
              <w:rPr>
                <w:color w:val="000000" w:themeColor="text1"/>
                <w:sz w:val="20"/>
                <w:szCs w:val="20"/>
              </w:rPr>
            </w:pPr>
            <w:r w:rsidRPr="00D26C28">
              <w:rPr>
                <w:color w:val="000000" w:themeColor="text1"/>
                <w:sz w:val="20"/>
                <w:szCs w:val="20"/>
              </w:rPr>
              <w:t>M1</w:t>
            </w:r>
          </w:p>
        </w:tc>
        <w:tc>
          <w:tcPr>
            <w:tcW w:w="363" w:type="pct"/>
            <w:tcBorders>
              <w:top w:val="single" w:sz="4" w:space="0" w:color="auto"/>
              <w:bottom w:val="single" w:sz="4" w:space="0" w:color="auto"/>
            </w:tcBorders>
            <w:shd w:val="clear" w:color="auto" w:fill="auto"/>
            <w:noWrap/>
            <w:vAlign w:val="bottom"/>
            <w:hideMark/>
          </w:tcPr>
          <w:p w14:paraId="7FAC45AE" w14:textId="77777777" w:rsidR="0035380D" w:rsidRPr="00D26C28" w:rsidRDefault="0035380D" w:rsidP="00B6548B">
            <w:pPr>
              <w:jc w:val="center"/>
              <w:rPr>
                <w:color w:val="000000" w:themeColor="text1"/>
                <w:sz w:val="20"/>
                <w:szCs w:val="20"/>
              </w:rPr>
            </w:pPr>
            <w:r w:rsidRPr="00D26C28">
              <w:rPr>
                <w:color w:val="000000" w:themeColor="text1"/>
                <w:sz w:val="20"/>
                <w:szCs w:val="20"/>
              </w:rPr>
              <w:t>M2</w:t>
            </w:r>
          </w:p>
        </w:tc>
        <w:tc>
          <w:tcPr>
            <w:tcW w:w="363" w:type="pct"/>
            <w:tcBorders>
              <w:top w:val="single" w:sz="4" w:space="0" w:color="auto"/>
              <w:bottom w:val="single" w:sz="4" w:space="0" w:color="auto"/>
            </w:tcBorders>
            <w:shd w:val="clear" w:color="auto" w:fill="auto"/>
            <w:noWrap/>
            <w:vAlign w:val="bottom"/>
            <w:hideMark/>
          </w:tcPr>
          <w:p w14:paraId="0EFA10C9" w14:textId="77777777" w:rsidR="0035380D" w:rsidRPr="00D26C28" w:rsidRDefault="0035380D" w:rsidP="00B6548B">
            <w:pPr>
              <w:jc w:val="center"/>
              <w:rPr>
                <w:color w:val="000000" w:themeColor="text1"/>
                <w:sz w:val="20"/>
                <w:szCs w:val="20"/>
              </w:rPr>
            </w:pPr>
            <w:r w:rsidRPr="00D26C28">
              <w:rPr>
                <w:color w:val="000000" w:themeColor="text1"/>
                <w:sz w:val="20"/>
                <w:szCs w:val="20"/>
              </w:rPr>
              <w:t>M3</w:t>
            </w:r>
          </w:p>
        </w:tc>
        <w:tc>
          <w:tcPr>
            <w:tcW w:w="108" w:type="pct"/>
            <w:tcBorders>
              <w:bottom w:val="single" w:sz="4" w:space="0" w:color="auto"/>
            </w:tcBorders>
            <w:shd w:val="clear" w:color="auto" w:fill="auto"/>
            <w:noWrap/>
            <w:vAlign w:val="bottom"/>
            <w:hideMark/>
          </w:tcPr>
          <w:p w14:paraId="2A62AA24" w14:textId="77777777" w:rsidR="0035380D" w:rsidRPr="00D26C28" w:rsidRDefault="0035380D" w:rsidP="00B6548B">
            <w:pPr>
              <w:jc w:val="center"/>
              <w:rPr>
                <w:color w:val="000000" w:themeColor="text1"/>
                <w:sz w:val="20"/>
                <w:szCs w:val="20"/>
              </w:rPr>
            </w:pPr>
          </w:p>
        </w:tc>
        <w:tc>
          <w:tcPr>
            <w:tcW w:w="340" w:type="pct"/>
            <w:tcBorders>
              <w:top w:val="single" w:sz="4" w:space="0" w:color="auto"/>
              <w:bottom w:val="single" w:sz="4" w:space="0" w:color="auto"/>
            </w:tcBorders>
            <w:shd w:val="clear" w:color="auto" w:fill="auto"/>
            <w:noWrap/>
            <w:vAlign w:val="bottom"/>
            <w:hideMark/>
          </w:tcPr>
          <w:p w14:paraId="2625E69F" w14:textId="77777777" w:rsidR="0035380D" w:rsidRPr="00D26C28" w:rsidRDefault="0035380D" w:rsidP="00B6548B">
            <w:pPr>
              <w:jc w:val="center"/>
              <w:rPr>
                <w:color w:val="000000" w:themeColor="text1"/>
                <w:sz w:val="20"/>
                <w:szCs w:val="20"/>
              </w:rPr>
            </w:pPr>
            <w:r w:rsidRPr="00D26C28">
              <w:rPr>
                <w:color w:val="000000" w:themeColor="text1"/>
                <w:sz w:val="20"/>
                <w:szCs w:val="20"/>
              </w:rPr>
              <w:t>All</w:t>
            </w:r>
          </w:p>
        </w:tc>
        <w:tc>
          <w:tcPr>
            <w:tcW w:w="363" w:type="pct"/>
            <w:tcBorders>
              <w:top w:val="single" w:sz="4" w:space="0" w:color="auto"/>
              <w:bottom w:val="single" w:sz="4" w:space="0" w:color="auto"/>
            </w:tcBorders>
            <w:shd w:val="clear" w:color="auto" w:fill="auto"/>
            <w:noWrap/>
            <w:vAlign w:val="bottom"/>
            <w:hideMark/>
          </w:tcPr>
          <w:p w14:paraId="170D1670" w14:textId="77777777" w:rsidR="0035380D" w:rsidRPr="00D26C28" w:rsidRDefault="0035380D" w:rsidP="00B6548B">
            <w:pPr>
              <w:jc w:val="center"/>
              <w:rPr>
                <w:color w:val="000000" w:themeColor="text1"/>
                <w:sz w:val="20"/>
                <w:szCs w:val="20"/>
              </w:rPr>
            </w:pPr>
            <w:r w:rsidRPr="00D26C28">
              <w:rPr>
                <w:color w:val="000000" w:themeColor="text1"/>
                <w:sz w:val="20"/>
                <w:szCs w:val="20"/>
              </w:rPr>
              <w:t>Rated</w:t>
            </w:r>
          </w:p>
        </w:tc>
        <w:tc>
          <w:tcPr>
            <w:tcW w:w="363" w:type="pct"/>
            <w:tcBorders>
              <w:top w:val="single" w:sz="4" w:space="0" w:color="auto"/>
              <w:bottom w:val="single" w:sz="4" w:space="0" w:color="auto"/>
            </w:tcBorders>
            <w:shd w:val="clear" w:color="auto" w:fill="auto"/>
            <w:noWrap/>
            <w:vAlign w:val="bottom"/>
            <w:hideMark/>
          </w:tcPr>
          <w:p w14:paraId="6C2294C3" w14:textId="77777777" w:rsidR="0035380D" w:rsidRPr="00D26C28" w:rsidRDefault="0035380D" w:rsidP="00B6548B">
            <w:pPr>
              <w:jc w:val="center"/>
              <w:rPr>
                <w:color w:val="000000" w:themeColor="text1"/>
                <w:sz w:val="20"/>
                <w:szCs w:val="20"/>
              </w:rPr>
            </w:pPr>
            <w:r w:rsidRPr="00D26C28">
              <w:rPr>
                <w:color w:val="000000" w:themeColor="text1"/>
                <w:sz w:val="20"/>
                <w:szCs w:val="20"/>
              </w:rPr>
              <w:t>ASX200</w:t>
            </w:r>
          </w:p>
        </w:tc>
        <w:tc>
          <w:tcPr>
            <w:tcW w:w="362" w:type="pct"/>
            <w:tcBorders>
              <w:top w:val="single" w:sz="4" w:space="0" w:color="auto"/>
              <w:bottom w:val="single" w:sz="4" w:space="0" w:color="auto"/>
            </w:tcBorders>
            <w:shd w:val="clear" w:color="auto" w:fill="auto"/>
            <w:noWrap/>
            <w:vAlign w:val="bottom"/>
            <w:hideMark/>
          </w:tcPr>
          <w:p w14:paraId="05B1E106" w14:textId="77777777" w:rsidR="0035380D" w:rsidRPr="00D26C28" w:rsidRDefault="0035380D" w:rsidP="00B6548B">
            <w:pPr>
              <w:jc w:val="center"/>
              <w:rPr>
                <w:color w:val="000000" w:themeColor="text1"/>
                <w:sz w:val="20"/>
                <w:szCs w:val="20"/>
              </w:rPr>
            </w:pPr>
            <w:r w:rsidRPr="00D26C28">
              <w:rPr>
                <w:color w:val="000000" w:themeColor="text1"/>
                <w:sz w:val="20"/>
                <w:szCs w:val="20"/>
              </w:rPr>
              <w:t>All Ords</w:t>
            </w:r>
          </w:p>
        </w:tc>
      </w:tr>
      <w:tr w:rsidR="0035380D" w:rsidRPr="00D26C28" w14:paraId="6E7FF1ED" w14:textId="77777777" w:rsidTr="00B6548B">
        <w:trPr>
          <w:trHeight w:val="300"/>
        </w:trPr>
        <w:tc>
          <w:tcPr>
            <w:tcW w:w="469" w:type="pct"/>
            <w:tcBorders>
              <w:top w:val="single" w:sz="4" w:space="0" w:color="auto"/>
            </w:tcBorders>
            <w:shd w:val="clear" w:color="auto" w:fill="auto"/>
            <w:noWrap/>
            <w:vAlign w:val="bottom"/>
            <w:hideMark/>
          </w:tcPr>
          <w:p w14:paraId="1DBE8647" w14:textId="77777777" w:rsidR="0035380D" w:rsidRPr="00D26C28" w:rsidRDefault="0035380D" w:rsidP="00B6548B">
            <w:pPr>
              <w:rPr>
                <w:color w:val="000000" w:themeColor="text1"/>
                <w:sz w:val="20"/>
                <w:szCs w:val="20"/>
              </w:rPr>
            </w:pPr>
            <w:r w:rsidRPr="00D26C28">
              <w:rPr>
                <w:color w:val="000000" w:themeColor="text1"/>
                <w:sz w:val="20"/>
                <w:szCs w:val="20"/>
              </w:rPr>
              <w:t>Returns</w:t>
            </w:r>
          </w:p>
        </w:tc>
        <w:tc>
          <w:tcPr>
            <w:tcW w:w="344" w:type="pct"/>
            <w:tcBorders>
              <w:top w:val="single" w:sz="4" w:space="0" w:color="auto"/>
            </w:tcBorders>
            <w:shd w:val="clear" w:color="auto" w:fill="auto"/>
            <w:noWrap/>
            <w:vAlign w:val="bottom"/>
            <w:hideMark/>
          </w:tcPr>
          <w:p w14:paraId="313202DF" w14:textId="77777777" w:rsidR="0035380D" w:rsidRPr="00D26C28" w:rsidRDefault="0035380D" w:rsidP="00B6548B">
            <w:pPr>
              <w:jc w:val="center"/>
              <w:rPr>
                <w:color w:val="000000" w:themeColor="text1"/>
                <w:sz w:val="20"/>
                <w:szCs w:val="20"/>
              </w:rPr>
            </w:pPr>
            <w:r w:rsidRPr="00D26C28">
              <w:rPr>
                <w:color w:val="000000" w:themeColor="text1"/>
                <w:sz w:val="20"/>
                <w:szCs w:val="20"/>
              </w:rPr>
              <w:t>0.33%</w:t>
            </w:r>
          </w:p>
        </w:tc>
        <w:tc>
          <w:tcPr>
            <w:tcW w:w="374" w:type="pct"/>
            <w:tcBorders>
              <w:top w:val="single" w:sz="4" w:space="0" w:color="auto"/>
            </w:tcBorders>
            <w:shd w:val="clear" w:color="auto" w:fill="auto"/>
            <w:noWrap/>
            <w:vAlign w:val="bottom"/>
            <w:hideMark/>
          </w:tcPr>
          <w:p w14:paraId="66A4FDE0" w14:textId="77777777" w:rsidR="0035380D" w:rsidRPr="00D26C28" w:rsidRDefault="0035380D" w:rsidP="00B6548B">
            <w:pPr>
              <w:jc w:val="center"/>
              <w:rPr>
                <w:color w:val="000000" w:themeColor="text1"/>
                <w:sz w:val="20"/>
                <w:szCs w:val="20"/>
              </w:rPr>
            </w:pPr>
            <w:r w:rsidRPr="00D26C28">
              <w:rPr>
                <w:color w:val="000000" w:themeColor="text1"/>
                <w:sz w:val="20"/>
                <w:szCs w:val="20"/>
              </w:rPr>
              <w:t>-0.50%</w:t>
            </w:r>
          </w:p>
        </w:tc>
        <w:tc>
          <w:tcPr>
            <w:tcW w:w="374" w:type="pct"/>
            <w:tcBorders>
              <w:top w:val="single" w:sz="4" w:space="0" w:color="auto"/>
            </w:tcBorders>
            <w:shd w:val="clear" w:color="auto" w:fill="auto"/>
            <w:noWrap/>
            <w:vAlign w:val="bottom"/>
            <w:hideMark/>
          </w:tcPr>
          <w:p w14:paraId="62AC648C" w14:textId="77777777" w:rsidR="0035380D" w:rsidRPr="00D26C28" w:rsidRDefault="0035380D" w:rsidP="00B6548B">
            <w:pPr>
              <w:jc w:val="center"/>
              <w:rPr>
                <w:color w:val="000000" w:themeColor="text1"/>
                <w:sz w:val="20"/>
                <w:szCs w:val="20"/>
              </w:rPr>
            </w:pPr>
            <w:r w:rsidRPr="00D26C28">
              <w:rPr>
                <w:color w:val="000000" w:themeColor="text1"/>
                <w:sz w:val="20"/>
                <w:szCs w:val="20"/>
              </w:rPr>
              <w:t>1.34%</w:t>
            </w:r>
          </w:p>
        </w:tc>
        <w:tc>
          <w:tcPr>
            <w:tcW w:w="376" w:type="pct"/>
            <w:tcBorders>
              <w:top w:val="single" w:sz="4" w:space="0" w:color="auto"/>
            </w:tcBorders>
            <w:shd w:val="clear" w:color="auto" w:fill="auto"/>
            <w:noWrap/>
            <w:vAlign w:val="bottom"/>
            <w:hideMark/>
          </w:tcPr>
          <w:p w14:paraId="0A9A3776" w14:textId="77777777" w:rsidR="0035380D" w:rsidRPr="00D26C28" w:rsidRDefault="0035380D" w:rsidP="00B6548B">
            <w:pPr>
              <w:jc w:val="center"/>
              <w:rPr>
                <w:color w:val="000000" w:themeColor="text1"/>
                <w:sz w:val="20"/>
                <w:szCs w:val="20"/>
              </w:rPr>
            </w:pPr>
            <w:r w:rsidRPr="00D26C28">
              <w:rPr>
                <w:color w:val="000000" w:themeColor="text1"/>
                <w:sz w:val="20"/>
                <w:szCs w:val="20"/>
              </w:rPr>
              <w:t>-0.55%</w:t>
            </w:r>
          </w:p>
        </w:tc>
        <w:tc>
          <w:tcPr>
            <w:tcW w:w="98" w:type="pct"/>
            <w:tcBorders>
              <w:top w:val="single" w:sz="4" w:space="0" w:color="auto"/>
            </w:tcBorders>
            <w:shd w:val="clear" w:color="auto" w:fill="auto"/>
            <w:noWrap/>
            <w:vAlign w:val="bottom"/>
            <w:hideMark/>
          </w:tcPr>
          <w:p w14:paraId="594E7339" w14:textId="77777777" w:rsidR="0035380D" w:rsidRPr="00D26C28" w:rsidRDefault="0035380D" w:rsidP="00B6548B">
            <w:pPr>
              <w:jc w:val="center"/>
              <w:rPr>
                <w:color w:val="000000" w:themeColor="text1"/>
                <w:sz w:val="20"/>
                <w:szCs w:val="20"/>
              </w:rPr>
            </w:pPr>
          </w:p>
        </w:tc>
        <w:tc>
          <w:tcPr>
            <w:tcW w:w="340" w:type="pct"/>
            <w:tcBorders>
              <w:top w:val="single" w:sz="4" w:space="0" w:color="auto"/>
            </w:tcBorders>
            <w:shd w:val="clear" w:color="auto" w:fill="auto"/>
            <w:noWrap/>
            <w:vAlign w:val="bottom"/>
            <w:hideMark/>
          </w:tcPr>
          <w:p w14:paraId="31A724E1" w14:textId="77777777" w:rsidR="0035380D" w:rsidRPr="00D26C28" w:rsidRDefault="0035380D" w:rsidP="00B6548B">
            <w:pPr>
              <w:jc w:val="center"/>
              <w:rPr>
                <w:color w:val="000000" w:themeColor="text1"/>
                <w:sz w:val="20"/>
                <w:szCs w:val="20"/>
              </w:rPr>
            </w:pPr>
            <w:r w:rsidRPr="00D26C28">
              <w:rPr>
                <w:color w:val="000000" w:themeColor="text1"/>
                <w:sz w:val="20"/>
                <w:szCs w:val="20"/>
              </w:rPr>
              <w:t>-0.89%</w:t>
            </w:r>
          </w:p>
        </w:tc>
        <w:tc>
          <w:tcPr>
            <w:tcW w:w="363" w:type="pct"/>
            <w:tcBorders>
              <w:top w:val="single" w:sz="4" w:space="0" w:color="auto"/>
            </w:tcBorders>
            <w:shd w:val="clear" w:color="auto" w:fill="auto"/>
            <w:noWrap/>
            <w:vAlign w:val="bottom"/>
            <w:hideMark/>
          </w:tcPr>
          <w:p w14:paraId="743E970A" w14:textId="77777777" w:rsidR="0035380D" w:rsidRPr="00D26C28" w:rsidRDefault="0035380D" w:rsidP="00B6548B">
            <w:pPr>
              <w:jc w:val="center"/>
              <w:rPr>
                <w:color w:val="000000" w:themeColor="text1"/>
                <w:sz w:val="20"/>
                <w:szCs w:val="20"/>
              </w:rPr>
            </w:pPr>
            <w:r w:rsidRPr="00D26C28">
              <w:rPr>
                <w:color w:val="000000" w:themeColor="text1"/>
                <w:sz w:val="20"/>
                <w:szCs w:val="20"/>
              </w:rPr>
              <w:t>-1.13%</w:t>
            </w:r>
          </w:p>
        </w:tc>
        <w:tc>
          <w:tcPr>
            <w:tcW w:w="363" w:type="pct"/>
            <w:tcBorders>
              <w:top w:val="single" w:sz="4" w:space="0" w:color="auto"/>
            </w:tcBorders>
            <w:shd w:val="clear" w:color="auto" w:fill="auto"/>
            <w:noWrap/>
            <w:vAlign w:val="bottom"/>
            <w:hideMark/>
          </w:tcPr>
          <w:p w14:paraId="20354987" w14:textId="77777777" w:rsidR="0035380D" w:rsidRPr="00D26C28" w:rsidRDefault="0035380D" w:rsidP="00B6548B">
            <w:pPr>
              <w:jc w:val="center"/>
              <w:rPr>
                <w:color w:val="000000" w:themeColor="text1"/>
                <w:sz w:val="20"/>
                <w:szCs w:val="20"/>
              </w:rPr>
            </w:pPr>
            <w:r w:rsidRPr="00D26C28">
              <w:rPr>
                <w:color w:val="000000" w:themeColor="text1"/>
                <w:sz w:val="20"/>
                <w:szCs w:val="20"/>
              </w:rPr>
              <w:t>-0.97%</w:t>
            </w:r>
          </w:p>
        </w:tc>
        <w:tc>
          <w:tcPr>
            <w:tcW w:w="363" w:type="pct"/>
            <w:tcBorders>
              <w:top w:val="single" w:sz="4" w:space="0" w:color="auto"/>
            </w:tcBorders>
            <w:shd w:val="clear" w:color="auto" w:fill="auto"/>
            <w:noWrap/>
            <w:vAlign w:val="bottom"/>
            <w:hideMark/>
          </w:tcPr>
          <w:p w14:paraId="3752934A" w14:textId="77777777" w:rsidR="0035380D" w:rsidRPr="00D26C28" w:rsidRDefault="0035380D" w:rsidP="00B6548B">
            <w:pPr>
              <w:jc w:val="center"/>
              <w:rPr>
                <w:color w:val="000000" w:themeColor="text1"/>
                <w:sz w:val="20"/>
                <w:szCs w:val="20"/>
              </w:rPr>
            </w:pPr>
            <w:r w:rsidRPr="00D26C28">
              <w:rPr>
                <w:color w:val="000000" w:themeColor="text1"/>
                <w:sz w:val="20"/>
                <w:szCs w:val="20"/>
              </w:rPr>
              <w:t>0.00%</w:t>
            </w:r>
          </w:p>
        </w:tc>
        <w:tc>
          <w:tcPr>
            <w:tcW w:w="108" w:type="pct"/>
            <w:tcBorders>
              <w:top w:val="single" w:sz="4" w:space="0" w:color="auto"/>
            </w:tcBorders>
            <w:shd w:val="clear" w:color="auto" w:fill="auto"/>
            <w:noWrap/>
            <w:vAlign w:val="bottom"/>
            <w:hideMark/>
          </w:tcPr>
          <w:p w14:paraId="75E95027" w14:textId="77777777" w:rsidR="0035380D" w:rsidRPr="00D26C28" w:rsidRDefault="0035380D" w:rsidP="00B6548B">
            <w:pPr>
              <w:jc w:val="center"/>
              <w:rPr>
                <w:color w:val="000000" w:themeColor="text1"/>
                <w:sz w:val="20"/>
                <w:szCs w:val="20"/>
              </w:rPr>
            </w:pPr>
          </w:p>
        </w:tc>
        <w:tc>
          <w:tcPr>
            <w:tcW w:w="340" w:type="pct"/>
            <w:tcBorders>
              <w:top w:val="single" w:sz="4" w:space="0" w:color="auto"/>
            </w:tcBorders>
            <w:shd w:val="clear" w:color="auto" w:fill="auto"/>
            <w:noWrap/>
            <w:vAlign w:val="bottom"/>
            <w:hideMark/>
          </w:tcPr>
          <w:p w14:paraId="12B4D2F2" w14:textId="77777777" w:rsidR="0035380D" w:rsidRPr="00D26C28" w:rsidRDefault="0035380D" w:rsidP="00B6548B">
            <w:pPr>
              <w:jc w:val="center"/>
              <w:rPr>
                <w:color w:val="000000" w:themeColor="text1"/>
                <w:sz w:val="20"/>
                <w:szCs w:val="20"/>
              </w:rPr>
            </w:pPr>
            <w:r w:rsidRPr="00D26C28">
              <w:rPr>
                <w:color w:val="000000" w:themeColor="text1"/>
                <w:sz w:val="20"/>
                <w:szCs w:val="20"/>
              </w:rPr>
              <w:t>0.55%</w:t>
            </w:r>
          </w:p>
        </w:tc>
        <w:tc>
          <w:tcPr>
            <w:tcW w:w="363" w:type="pct"/>
            <w:tcBorders>
              <w:top w:val="single" w:sz="4" w:space="0" w:color="auto"/>
            </w:tcBorders>
            <w:shd w:val="clear" w:color="auto" w:fill="auto"/>
            <w:noWrap/>
            <w:vAlign w:val="bottom"/>
            <w:hideMark/>
          </w:tcPr>
          <w:p w14:paraId="3E0D3B3F" w14:textId="77777777" w:rsidR="0035380D" w:rsidRPr="00D26C28" w:rsidRDefault="0035380D" w:rsidP="00B6548B">
            <w:pPr>
              <w:jc w:val="center"/>
              <w:rPr>
                <w:color w:val="000000" w:themeColor="text1"/>
                <w:sz w:val="20"/>
                <w:szCs w:val="20"/>
              </w:rPr>
            </w:pPr>
            <w:r w:rsidRPr="00D26C28">
              <w:rPr>
                <w:color w:val="000000" w:themeColor="text1"/>
                <w:sz w:val="20"/>
                <w:szCs w:val="20"/>
              </w:rPr>
              <w:t>0.28%</w:t>
            </w:r>
          </w:p>
        </w:tc>
        <w:tc>
          <w:tcPr>
            <w:tcW w:w="363" w:type="pct"/>
            <w:tcBorders>
              <w:top w:val="single" w:sz="4" w:space="0" w:color="auto"/>
            </w:tcBorders>
            <w:shd w:val="clear" w:color="auto" w:fill="auto"/>
            <w:noWrap/>
            <w:vAlign w:val="bottom"/>
            <w:hideMark/>
          </w:tcPr>
          <w:p w14:paraId="1CA6B59B" w14:textId="77777777" w:rsidR="0035380D" w:rsidRPr="00D26C28" w:rsidRDefault="0035380D" w:rsidP="00B6548B">
            <w:pPr>
              <w:jc w:val="center"/>
              <w:rPr>
                <w:color w:val="000000" w:themeColor="text1"/>
                <w:sz w:val="20"/>
                <w:szCs w:val="20"/>
              </w:rPr>
            </w:pPr>
            <w:r w:rsidRPr="00D26C28">
              <w:rPr>
                <w:color w:val="000000" w:themeColor="text1"/>
                <w:sz w:val="20"/>
                <w:szCs w:val="20"/>
              </w:rPr>
              <w:t>0.20%</w:t>
            </w:r>
          </w:p>
        </w:tc>
        <w:tc>
          <w:tcPr>
            <w:tcW w:w="362" w:type="pct"/>
            <w:tcBorders>
              <w:top w:val="single" w:sz="4" w:space="0" w:color="auto"/>
            </w:tcBorders>
            <w:shd w:val="clear" w:color="auto" w:fill="auto"/>
            <w:noWrap/>
            <w:vAlign w:val="bottom"/>
            <w:hideMark/>
          </w:tcPr>
          <w:p w14:paraId="4291CD5B" w14:textId="77777777" w:rsidR="0035380D" w:rsidRPr="00D26C28" w:rsidRDefault="0035380D" w:rsidP="00B6548B">
            <w:pPr>
              <w:jc w:val="center"/>
              <w:rPr>
                <w:color w:val="000000" w:themeColor="text1"/>
                <w:sz w:val="20"/>
                <w:szCs w:val="20"/>
              </w:rPr>
            </w:pPr>
            <w:r w:rsidRPr="00D26C28">
              <w:rPr>
                <w:color w:val="000000" w:themeColor="text1"/>
                <w:sz w:val="20"/>
                <w:szCs w:val="20"/>
              </w:rPr>
              <w:t>0.20%</w:t>
            </w:r>
          </w:p>
        </w:tc>
      </w:tr>
      <w:tr w:rsidR="0035380D" w:rsidRPr="00D26C28" w14:paraId="1C4A1478" w14:textId="77777777" w:rsidTr="00B6548B">
        <w:trPr>
          <w:trHeight w:val="300"/>
        </w:trPr>
        <w:tc>
          <w:tcPr>
            <w:tcW w:w="469" w:type="pct"/>
            <w:shd w:val="clear" w:color="auto" w:fill="auto"/>
            <w:noWrap/>
            <w:vAlign w:val="bottom"/>
            <w:hideMark/>
          </w:tcPr>
          <w:p w14:paraId="3D70F115" w14:textId="77777777" w:rsidR="0035380D" w:rsidRPr="00D26C28" w:rsidRDefault="0035380D" w:rsidP="00B6548B">
            <w:pPr>
              <w:rPr>
                <w:i/>
                <w:iCs/>
                <w:color w:val="000000" w:themeColor="text1"/>
                <w:sz w:val="20"/>
                <w:szCs w:val="20"/>
              </w:rPr>
            </w:pPr>
            <w:r w:rsidRPr="00D26C28">
              <w:rPr>
                <w:i/>
                <w:iCs/>
                <w:color w:val="000000" w:themeColor="text1"/>
                <w:sz w:val="20"/>
                <w:szCs w:val="20"/>
              </w:rPr>
              <w:t>t-</w:t>
            </w:r>
            <w:r w:rsidRPr="00D26C28">
              <w:rPr>
                <w:color w:val="000000" w:themeColor="text1"/>
                <w:sz w:val="20"/>
                <w:szCs w:val="20"/>
              </w:rPr>
              <w:t>statistics</w:t>
            </w:r>
          </w:p>
        </w:tc>
        <w:tc>
          <w:tcPr>
            <w:tcW w:w="344" w:type="pct"/>
            <w:shd w:val="clear" w:color="auto" w:fill="auto"/>
            <w:noWrap/>
            <w:vAlign w:val="bottom"/>
            <w:hideMark/>
          </w:tcPr>
          <w:p w14:paraId="30DD8055" w14:textId="77777777" w:rsidR="0035380D" w:rsidRPr="00D26C28" w:rsidRDefault="0035380D" w:rsidP="00B6548B">
            <w:pPr>
              <w:jc w:val="center"/>
              <w:rPr>
                <w:color w:val="000000" w:themeColor="text1"/>
                <w:sz w:val="20"/>
                <w:szCs w:val="20"/>
              </w:rPr>
            </w:pPr>
            <w:r w:rsidRPr="00D26C28">
              <w:rPr>
                <w:color w:val="000000" w:themeColor="text1"/>
                <w:sz w:val="20"/>
                <w:szCs w:val="20"/>
              </w:rPr>
              <w:t>0.76</w:t>
            </w:r>
          </w:p>
        </w:tc>
        <w:tc>
          <w:tcPr>
            <w:tcW w:w="374" w:type="pct"/>
            <w:shd w:val="clear" w:color="auto" w:fill="auto"/>
            <w:noWrap/>
            <w:vAlign w:val="bottom"/>
            <w:hideMark/>
          </w:tcPr>
          <w:p w14:paraId="3C90FE38" w14:textId="77777777" w:rsidR="0035380D" w:rsidRPr="00D26C28" w:rsidRDefault="0035380D" w:rsidP="00B6548B">
            <w:pPr>
              <w:jc w:val="center"/>
              <w:rPr>
                <w:color w:val="000000" w:themeColor="text1"/>
                <w:sz w:val="20"/>
                <w:szCs w:val="20"/>
              </w:rPr>
            </w:pPr>
            <w:r w:rsidRPr="00D26C28">
              <w:rPr>
                <w:color w:val="000000" w:themeColor="text1"/>
                <w:sz w:val="20"/>
                <w:szCs w:val="20"/>
              </w:rPr>
              <w:t>-0.89</w:t>
            </w:r>
          </w:p>
        </w:tc>
        <w:tc>
          <w:tcPr>
            <w:tcW w:w="374" w:type="pct"/>
            <w:shd w:val="clear" w:color="auto" w:fill="auto"/>
            <w:noWrap/>
            <w:vAlign w:val="bottom"/>
            <w:hideMark/>
          </w:tcPr>
          <w:p w14:paraId="21756CCF" w14:textId="77777777" w:rsidR="0035380D" w:rsidRPr="00D26C28" w:rsidRDefault="0035380D" w:rsidP="00B6548B">
            <w:pPr>
              <w:jc w:val="center"/>
              <w:rPr>
                <w:color w:val="000000" w:themeColor="text1"/>
                <w:sz w:val="20"/>
                <w:szCs w:val="20"/>
              </w:rPr>
            </w:pPr>
            <w:r w:rsidRPr="00D26C28">
              <w:rPr>
                <w:color w:val="000000" w:themeColor="text1"/>
                <w:sz w:val="20"/>
                <w:szCs w:val="20"/>
              </w:rPr>
              <w:t>0.96</w:t>
            </w:r>
          </w:p>
        </w:tc>
        <w:tc>
          <w:tcPr>
            <w:tcW w:w="376" w:type="pct"/>
            <w:shd w:val="clear" w:color="auto" w:fill="auto"/>
            <w:noWrap/>
            <w:vAlign w:val="bottom"/>
            <w:hideMark/>
          </w:tcPr>
          <w:p w14:paraId="30DBF919" w14:textId="77777777" w:rsidR="0035380D" w:rsidRPr="00D26C28" w:rsidRDefault="0035380D" w:rsidP="00B6548B">
            <w:pPr>
              <w:jc w:val="center"/>
              <w:rPr>
                <w:color w:val="000000" w:themeColor="text1"/>
                <w:sz w:val="20"/>
                <w:szCs w:val="20"/>
              </w:rPr>
            </w:pPr>
            <w:r w:rsidRPr="00D26C28">
              <w:rPr>
                <w:color w:val="000000" w:themeColor="text1"/>
                <w:sz w:val="20"/>
                <w:szCs w:val="20"/>
              </w:rPr>
              <w:t>-1.30</w:t>
            </w:r>
          </w:p>
        </w:tc>
        <w:tc>
          <w:tcPr>
            <w:tcW w:w="98" w:type="pct"/>
            <w:shd w:val="clear" w:color="auto" w:fill="auto"/>
            <w:noWrap/>
            <w:vAlign w:val="bottom"/>
            <w:hideMark/>
          </w:tcPr>
          <w:p w14:paraId="01EFFAE5"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6E78C941" w14:textId="77777777" w:rsidR="0035380D" w:rsidRPr="00D26C28" w:rsidRDefault="0035380D" w:rsidP="00B6548B">
            <w:pPr>
              <w:jc w:val="center"/>
              <w:rPr>
                <w:color w:val="000000" w:themeColor="text1"/>
                <w:sz w:val="20"/>
                <w:szCs w:val="20"/>
              </w:rPr>
            </w:pPr>
            <w:r w:rsidRPr="00D26C28">
              <w:rPr>
                <w:color w:val="000000" w:themeColor="text1"/>
                <w:sz w:val="20"/>
                <w:szCs w:val="20"/>
              </w:rPr>
              <w:t>-2.17</w:t>
            </w:r>
          </w:p>
        </w:tc>
        <w:tc>
          <w:tcPr>
            <w:tcW w:w="363" w:type="pct"/>
            <w:shd w:val="clear" w:color="auto" w:fill="auto"/>
            <w:noWrap/>
            <w:vAlign w:val="bottom"/>
            <w:hideMark/>
          </w:tcPr>
          <w:p w14:paraId="2ACDA6F2" w14:textId="77777777" w:rsidR="0035380D" w:rsidRPr="00D26C28" w:rsidRDefault="0035380D" w:rsidP="00B6548B">
            <w:pPr>
              <w:jc w:val="center"/>
              <w:rPr>
                <w:color w:val="000000" w:themeColor="text1"/>
                <w:sz w:val="20"/>
                <w:szCs w:val="20"/>
              </w:rPr>
            </w:pPr>
            <w:r w:rsidRPr="00D26C28">
              <w:rPr>
                <w:color w:val="000000" w:themeColor="text1"/>
                <w:sz w:val="20"/>
                <w:szCs w:val="20"/>
              </w:rPr>
              <w:t>-2.52</w:t>
            </w:r>
          </w:p>
        </w:tc>
        <w:tc>
          <w:tcPr>
            <w:tcW w:w="363" w:type="pct"/>
            <w:shd w:val="clear" w:color="auto" w:fill="auto"/>
            <w:noWrap/>
            <w:vAlign w:val="bottom"/>
            <w:hideMark/>
          </w:tcPr>
          <w:p w14:paraId="2E8A64B6" w14:textId="77777777" w:rsidR="0035380D" w:rsidRPr="00D26C28" w:rsidRDefault="0035380D" w:rsidP="00B6548B">
            <w:pPr>
              <w:jc w:val="center"/>
              <w:rPr>
                <w:color w:val="000000" w:themeColor="text1"/>
                <w:sz w:val="20"/>
                <w:szCs w:val="20"/>
              </w:rPr>
            </w:pPr>
            <w:r w:rsidRPr="00D26C28">
              <w:rPr>
                <w:color w:val="000000" w:themeColor="text1"/>
                <w:sz w:val="20"/>
                <w:szCs w:val="20"/>
              </w:rPr>
              <w:t>-2.20</w:t>
            </w:r>
          </w:p>
        </w:tc>
        <w:tc>
          <w:tcPr>
            <w:tcW w:w="363" w:type="pct"/>
            <w:shd w:val="clear" w:color="auto" w:fill="auto"/>
            <w:noWrap/>
            <w:vAlign w:val="bottom"/>
            <w:hideMark/>
          </w:tcPr>
          <w:p w14:paraId="0E4668F2" w14:textId="77777777" w:rsidR="0035380D" w:rsidRPr="00D26C28" w:rsidRDefault="0035380D" w:rsidP="00B6548B">
            <w:pPr>
              <w:jc w:val="center"/>
              <w:rPr>
                <w:color w:val="000000" w:themeColor="text1"/>
                <w:sz w:val="20"/>
                <w:szCs w:val="20"/>
              </w:rPr>
            </w:pPr>
            <w:r w:rsidRPr="00D26C28">
              <w:rPr>
                <w:color w:val="000000" w:themeColor="text1"/>
                <w:sz w:val="20"/>
                <w:szCs w:val="20"/>
              </w:rPr>
              <w:t>-0.01</w:t>
            </w:r>
          </w:p>
        </w:tc>
        <w:tc>
          <w:tcPr>
            <w:tcW w:w="108" w:type="pct"/>
            <w:shd w:val="clear" w:color="auto" w:fill="auto"/>
            <w:noWrap/>
            <w:vAlign w:val="bottom"/>
            <w:hideMark/>
          </w:tcPr>
          <w:p w14:paraId="3E34C2B0"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091DAB50" w14:textId="77777777" w:rsidR="0035380D" w:rsidRPr="00D26C28" w:rsidRDefault="0035380D" w:rsidP="00B6548B">
            <w:pPr>
              <w:jc w:val="center"/>
              <w:rPr>
                <w:color w:val="000000" w:themeColor="text1"/>
                <w:sz w:val="20"/>
                <w:szCs w:val="20"/>
              </w:rPr>
            </w:pPr>
            <w:r w:rsidRPr="00D26C28">
              <w:rPr>
                <w:color w:val="000000" w:themeColor="text1"/>
                <w:sz w:val="20"/>
                <w:szCs w:val="20"/>
              </w:rPr>
              <w:t>1.39</w:t>
            </w:r>
          </w:p>
        </w:tc>
        <w:tc>
          <w:tcPr>
            <w:tcW w:w="363" w:type="pct"/>
            <w:shd w:val="clear" w:color="auto" w:fill="auto"/>
            <w:noWrap/>
            <w:vAlign w:val="bottom"/>
            <w:hideMark/>
          </w:tcPr>
          <w:p w14:paraId="5241D994" w14:textId="77777777" w:rsidR="0035380D" w:rsidRPr="00D26C28" w:rsidRDefault="0035380D" w:rsidP="00B6548B">
            <w:pPr>
              <w:jc w:val="center"/>
              <w:rPr>
                <w:color w:val="000000" w:themeColor="text1"/>
                <w:sz w:val="20"/>
                <w:szCs w:val="20"/>
              </w:rPr>
            </w:pPr>
            <w:r w:rsidRPr="00D26C28">
              <w:rPr>
                <w:color w:val="000000" w:themeColor="text1"/>
                <w:sz w:val="20"/>
                <w:szCs w:val="20"/>
              </w:rPr>
              <w:t>0.73</w:t>
            </w:r>
          </w:p>
        </w:tc>
        <w:tc>
          <w:tcPr>
            <w:tcW w:w="363" w:type="pct"/>
            <w:shd w:val="clear" w:color="auto" w:fill="auto"/>
            <w:noWrap/>
            <w:vAlign w:val="bottom"/>
            <w:hideMark/>
          </w:tcPr>
          <w:p w14:paraId="4344E17A" w14:textId="77777777" w:rsidR="0035380D" w:rsidRPr="00D26C28" w:rsidRDefault="0035380D" w:rsidP="00B6548B">
            <w:pPr>
              <w:jc w:val="center"/>
              <w:rPr>
                <w:color w:val="000000" w:themeColor="text1"/>
                <w:sz w:val="20"/>
                <w:szCs w:val="20"/>
              </w:rPr>
            </w:pPr>
            <w:r w:rsidRPr="00D26C28">
              <w:rPr>
                <w:color w:val="000000" w:themeColor="text1"/>
                <w:sz w:val="20"/>
                <w:szCs w:val="20"/>
              </w:rPr>
              <w:t>0.58</w:t>
            </w:r>
          </w:p>
        </w:tc>
        <w:tc>
          <w:tcPr>
            <w:tcW w:w="362" w:type="pct"/>
            <w:shd w:val="clear" w:color="auto" w:fill="auto"/>
            <w:noWrap/>
            <w:vAlign w:val="bottom"/>
            <w:hideMark/>
          </w:tcPr>
          <w:p w14:paraId="448ACF93" w14:textId="77777777" w:rsidR="0035380D" w:rsidRPr="00D26C28" w:rsidRDefault="0035380D" w:rsidP="00B6548B">
            <w:pPr>
              <w:jc w:val="center"/>
              <w:rPr>
                <w:color w:val="000000" w:themeColor="text1"/>
                <w:sz w:val="20"/>
                <w:szCs w:val="20"/>
              </w:rPr>
            </w:pPr>
            <w:r w:rsidRPr="00D26C28">
              <w:rPr>
                <w:color w:val="000000" w:themeColor="text1"/>
                <w:sz w:val="20"/>
                <w:szCs w:val="20"/>
              </w:rPr>
              <w:t>0.57</w:t>
            </w:r>
          </w:p>
        </w:tc>
      </w:tr>
      <w:tr w:rsidR="0035380D" w:rsidRPr="00D26C28" w14:paraId="2921EC75" w14:textId="77777777" w:rsidTr="00B6548B">
        <w:trPr>
          <w:trHeight w:val="300"/>
        </w:trPr>
        <w:tc>
          <w:tcPr>
            <w:tcW w:w="469" w:type="pct"/>
            <w:shd w:val="clear" w:color="auto" w:fill="auto"/>
            <w:noWrap/>
            <w:vAlign w:val="bottom"/>
            <w:hideMark/>
          </w:tcPr>
          <w:p w14:paraId="60FFFFCE" w14:textId="77777777" w:rsidR="0035380D" w:rsidRPr="00D26C28" w:rsidRDefault="0035380D" w:rsidP="00B6548B">
            <w:pPr>
              <w:rPr>
                <w:color w:val="000000" w:themeColor="text1"/>
                <w:sz w:val="20"/>
                <w:szCs w:val="20"/>
              </w:rPr>
            </w:pPr>
            <w:r w:rsidRPr="00D26C28">
              <w:rPr>
                <w:color w:val="000000" w:themeColor="text1"/>
                <w:sz w:val="20"/>
                <w:szCs w:val="20"/>
              </w:rPr>
              <w:t>Volatility</w:t>
            </w:r>
          </w:p>
        </w:tc>
        <w:tc>
          <w:tcPr>
            <w:tcW w:w="344" w:type="pct"/>
            <w:shd w:val="clear" w:color="auto" w:fill="auto"/>
            <w:noWrap/>
            <w:vAlign w:val="bottom"/>
            <w:hideMark/>
          </w:tcPr>
          <w:p w14:paraId="58057539" w14:textId="77777777" w:rsidR="0035380D" w:rsidRPr="00D26C28" w:rsidRDefault="0035380D" w:rsidP="00B6548B">
            <w:pPr>
              <w:jc w:val="center"/>
              <w:rPr>
                <w:color w:val="000000" w:themeColor="text1"/>
                <w:sz w:val="20"/>
                <w:szCs w:val="20"/>
              </w:rPr>
            </w:pPr>
            <w:r w:rsidRPr="00D26C28">
              <w:rPr>
                <w:color w:val="000000" w:themeColor="text1"/>
                <w:sz w:val="20"/>
                <w:szCs w:val="20"/>
              </w:rPr>
              <w:t>4.47%</w:t>
            </w:r>
          </w:p>
        </w:tc>
        <w:tc>
          <w:tcPr>
            <w:tcW w:w="374" w:type="pct"/>
            <w:shd w:val="clear" w:color="auto" w:fill="auto"/>
            <w:noWrap/>
            <w:vAlign w:val="bottom"/>
            <w:hideMark/>
          </w:tcPr>
          <w:p w14:paraId="646F016B" w14:textId="77777777" w:rsidR="0035380D" w:rsidRPr="00D26C28" w:rsidRDefault="0035380D" w:rsidP="00B6548B">
            <w:pPr>
              <w:jc w:val="center"/>
              <w:rPr>
                <w:color w:val="000000" w:themeColor="text1"/>
                <w:sz w:val="20"/>
                <w:szCs w:val="20"/>
              </w:rPr>
            </w:pPr>
            <w:r w:rsidRPr="00D26C28">
              <w:rPr>
                <w:color w:val="000000" w:themeColor="text1"/>
                <w:sz w:val="20"/>
                <w:szCs w:val="20"/>
              </w:rPr>
              <w:t>5.40%</w:t>
            </w:r>
          </w:p>
        </w:tc>
        <w:tc>
          <w:tcPr>
            <w:tcW w:w="374" w:type="pct"/>
            <w:shd w:val="clear" w:color="auto" w:fill="auto"/>
            <w:noWrap/>
            <w:vAlign w:val="bottom"/>
            <w:hideMark/>
          </w:tcPr>
          <w:p w14:paraId="11964D6D" w14:textId="77777777" w:rsidR="0035380D" w:rsidRPr="00D26C28" w:rsidRDefault="0035380D" w:rsidP="00B6548B">
            <w:pPr>
              <w:jc w:val="center"/>
              <w:rPr>
                <w:color w:val="000000" w:themeColor="text1"/>
                <w:sz w:val="20"/>
                <w:szCs w:val="20"/>
              </w:rPr>
            </w:pPr>
            <w:r w:rsidRPr="00D26C28">
              <w:rPr>
                <w:color w:val="000000" w:themeColor="text1"/>
                <w:sz w:val="20"/>
                <w:szCs w:val="20"/>
              </w:rPr>
              <w:t>11.96%</w:t>
            </w:r>
          </w:p>
        </w:tc>
        <w:tc>
          <w:tcPr>
            <w:tcW w:w="376" w:type="pct"/>
            <w:shd w:val="clear" w:color="auto" w:fill="auto"/>
            <w:noWrap/>
            <w:vAlign w:val="bottom"/>
            <w:hideMark/>
          </w:tcPr>
          <w:p w14:paraId="4E25031F" w14:textId="77777777" w:rsidR="0035380D" w:rsidRPr="00D26C28" w:rsidRDefault="0035380D" w:rsidP="00B6548B">
            <w:pPr>
              <w:jc w:val="center"/>
              <w:rPr>
                <w:color w:val="000000" w:themeColor="text1"/>
                <w:sz w:val="20"/>
                <w:szCs w:val="20"/>
              </w:rPr>
            </w:pPr>
            <w:r w:rsidRPr="00D26C28">
              <w:rPr>
                <w:color w:val="000000" w:themeColor="text1"/>
                <w:sz w:val="20"/>
                <w:szCs w:val="20"/>
              </w:rPr>
              <w:t>4.65%</w:t>
            </w:r>
          </w:p>
        </w:tc>
        <w:tc>
          <w:tcPr>
            <w:tcW w:w="98" w:type="pct"/>
            <w:shd w:val="clear" w:color="auto" w:fill="auto"/>
            <w:noWrap/>
            <w:vAlign w:val="bottom"/>
            <w:hideMark/>
          </w:tcPr>
          <w:p w14:paraId="7CF5A2C3"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7671FF42" w14:textId="77777777" w:rsidR="0035380D" w:rsidRPr="00D26C28" w:rsidRDefault="0035380D" w:rsidP="00B6548B">
            <w:pPr>
              <w:jc w:val="center"/>
              <w:rPr>
                <w:color w:val="000000" w:themeColor="text1"/>
                <w:sz w:val="20"/>
                <w:szCs w:val="20"/>
              </w:rPr>
            </w:pPr>
            <w:r w:rsidRPr="00D26C28">
              <w:rPr>
                <w:color w:val="000000" w:themeColor="text1"/>
                <w:sz w:val="20"/>
                <w:szCs w:val="20"/>
              </w:rPr>
              <w:t>4.33%</w:t>
            </w:r>
          </w:p>
        </w:tc>
        <w:tc>
          <w:tcPr>
            <w:tcW w:w="363" w:type="pct"/>
            <w:shd w:val="clear" w:color="auto" w:fill="auto"/>
            <w:noWrap/>
            <w:vAlign w:val="bottom"/>
            <w:hideMark/>
          </w:tcPr>
          <w:p w14:paraId="0E5A80E3" w14:textId="77777777" w:rsidR="0035380D" w:rsidRPr="00D26C28" w:rsidRDefault="0035380D" w:rsidP="00B6548B">
            <w:pPr>
              <w:jc w:val="center"/>
              <w:rPr>
                <w:color w:val="000000" w:themeColor="text1"/>
                <w:sz w:val="20"/>
                <w:szCs w:val="20"/>
              </w:rPr>
            </w:pPr>
            <w:r w:rsidRPr="00D26C28">
              <w:rPr>
                <w:color w:val="000000" w:themeColor="text1"/>
                <w:sz w:val="20"/>
                <w:szCs w:val="20"/>
              </w:rPr>
              <w:t>4.83%</w:t>
            </w:r>
          </w:p>
        </w:tc>
        <w:tc>
          <w:tcPr>
            <w:tcW w:w="363" w:type="pct"/>
            <w:shd w:val="clear" w:color="auto" w:fill="auto"/>
            <w:noWrap/>
            <w:vAlign w:val="bottom"/>
            <w:hideMark/>
          </w:tcPr>
          <w:p w14:paraId="410F4C52" w14:textId="77777777" w:rsidR="0035380D" w:rsidRPr="00D26C28" w:rsidRDefault="0035380D" w:rsidP="00B6548B">
            <w:pPr>
              <w:jc w:val="center"/>
              <w:rPr>
                <w:color w:val="000000" w:themeColor="text1"/>
                <w:sz w:val="20"/>
                <w:szCs w:val="20"/>
              </w:rPr>
            </w:pPr>
            <w:r w:rsidRPr="00D26C28">
              <w:rPr>
                <w:color w:val="000000" w:themeColor="text1"/>
                <w:sz w:val="20"/>
                <w:szCs w:val="20"/>
              </w:rPr>
              <w:t>4.68%</w:t>
            </w:r>
          </w:p>
        </w:tc>
        <w:tc>
          <w:tcPr>
            <w:tcW w:w="363" w:type="pct"/>
            <w:shd w:val="clear" w:color="auto" w:fill="auto"/>
            <w:noWrap/>
            <w:vAlign w:val="bottom"/>
            <w:hideMark/>
          </w:tcPr>
          <w:p w14:paraId="02EFC70D" w14:textId="77777777" w:rsidR="0035380D" w:rsidRPr="00D26C28" w:rsidRDefault="0035380D" w:rsidP="00B6548B">
            <w:pPr>
              <w:jc w:val="center"/>
              <w:rPr>
                <w:color w:val="000000" w:themeColor="text1"/>
                <w:sz w:val="20"/>
                <w:szCs w:val="20"/>
              </w:rPr>
            </w:pPr>
            <w:r w:rsidRPr="00D26C28">
              <w:rPr>
                <w:color w:val="000000" w:themeColor="text1"/>
                <w:sz w:val="20"/>
                <w:szCs w:val="20"/>
              </w:rPr>
              <w:t>3.56%</w:t>
            </w:r>
          </w:p>
        </w:tc>
        <w:tc>
          <w:tcPr>
            <w:tcW w:w="108" w:type="pct"/>
            <w:shd w:val="clear" w:color="auto" w:fill="auto"/>
            <w:noWrap/>
            <w:vAlign w:val="bottom"/>
            <w:hideMark/>
          </w:tcPr>
          <w:p w14:paraId="43B3E85B"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67E5D276" w14:textId="77777777" w:rsidR="0035380D" w:rsidRPr="00D26C28" w:rsidRDefault="0035380D" w:rsidP="00B6548B">
            <w:pPr>
              <w:jc w:val="center"/>
              <w:rPr>
                <w:color w:val="000000" w:themeColor="text1"/>
                <w:sz w:val="20"/>
                <w:szCs w:val="20"/>
              </w:rPr>
            </w:pPr>
            <w:r w:rsidRPr="00D26C28">
              <w:rPr>
                <w:color w:val="000000" w:themeColor="text1"/>
                <w:sz w:val="20"/>
                <w:szCs w:val="20"/>
              </w:rPr>
              <w:t>3.76%</w:t>
            </w:r>
          </w:p>
        </w:tc>
        <w:tc>
          <w:tcPr>
            <w:tcW w:w="363" w:type="pct"/>
            <w:shd w:val="clear" w:color="auto" w:fill="auto"/>
            <w:noWrap/>
            <w:vAlign w:val="bottom"/>
            <w:hideMark/>
          </w:tcPr>
          <w:p w14:paraId="76C7DCD2" w14:textId="77777777" w:rsidR="0035380D" w:rsidRPr="00D26C28" w:rsidRDefault="0035380D" w:rsidP="00B6548B">
            <w:pPr>
              <w:jc w:val="center"/>
              <w:rPr>
                <w:color w:val="000000" w:themeColor="text1"/>
                <w:sz w:val="20"/>
                <w:szCs w:val="20"/>
              </w:rPr>
            </w:pPr>
            <w:r w:rsidRPr="00D26C28">
              <w:rPr>
                <w:color w:val="000000" w:themeColor="text1"/>
                <w:sz w:val="20"/>
                <w:szCs w:val="20"/>
              </w:rPr>
              <w:t>3.74%</w:t>
            </w:r>
          </w:p>
        </w:tc>
        <w:tc>
          <w:tcPr>
            <w:tcW w:w="363" w:type="pct"/>
            <w:shd w:val="clear" w:color="auto" w:fill="auto"/>
            <w:noWrap/>
            <w:vAlign w:val="bottom"/>
            <w:hideMark/>
          </w:tcPr>
          <w:p w14:paraId="6C6F49F7" w14:textId="77777777" w:rsidR="0035380D" w:rsidRPr="00D26C28" w:rsidRDefault="0035380D" w:rsidP="00B6548B">
            <w:pPr>
              <w:jc w:val="center"/>
              <w:rPr>
                <w:color w:val="000000" w:themeColor="text1"/>
                <w:sz w:val="20"/>
                <w:szCs w:val="20"/>
              </w:rPr>
            </w:pPr>
            <w:r w:rsidRPr="00D26C28">
              <w:rPr>
                <w:color w:val="000000" w:themeColor="text1"/>
                <w:sz w:val="20"/>
                <w:szCs w:val="20"/>
              </w:rPr>
              <w:t>4.05%</w:t>
            </w:r>
          </w:p>
        </w:tc>
        <w:tc>
          <w:tcPr>
            <w:tcW w:w="362" w:type="pct"/>
            <w:shd w:val="clear" w:color="auto" w:fill="auto"/>
            <w:noWrap/>
            <w:vAlign w:val="bottom"/>
            <w:hideMark/>
          </w:tcPr>
          <w:p w14:paraId="0475754E" w14:textId="77777777" w:rsidR="0035380D" w:rsidRPr="00D26C28" w:rsidRDefault="0035380D" w:rsidP="00B6548B">
            <w:pPr>
              <w:jc w:val="center"/>
              <w:rPr>
                <w:color w:val="000000" w:themeColor="text1"/>
                <w:sz w:val="20"/>
                <w:szCs w:val="20"/>
              </w:rPr>
            </w:pPr>
            <w:r w:rsidRPr="00D26C28">
              <w:rPr>
                <w:color w:val="000000" w:themeColor="text1"/>
                <w:sz w:val="20"/>
                <w:szCs w:val="20"/>
              </w:rPr>
              <w:t>4.12%</w:t>
            </w:r>
          </w:p>
        </w:tc>
      </w:tr>
      <w:tr w:rsidR="0035380D" w:rsidRPr="00D26C28" w14:paraId="3E547D63" w14:textId="77777777" w:rsidTr="00B6548B">
        <w:trPr>
          <w:trHeight w:val="300"/>
        </w:trPr>
        <w:tc>
          <w:tcPr>
            <w:tcW w:w="469" w:type="pct"/>
            <w:shd w:val="clear" w:color="auto" w:fill="auto"/>
            <w:noWrap/>
            <w:vAlign w:val="bottom"/>
            <w:hideMark/>
          </w:tcPr>
          <w:p w14:paraId="1579040C" w14:textId="77777777" w:rsidR="0035380D" w:rsidRPr="00D26C28" w:rsidRDefault="0035380D" w:rsidP="00B6548B">
            <w:pPr>
              <w:rPr>
                <w:color w:val="000000" w:themeColor="text1"/>
                <w:sz w:val="20"/>
                <w:szCs w:val="20"/>
              </w:rPr>
            </w:pPr>
            <w:r w:rsidRPr="00D26C28">
              <w:rPr>
                <w:color w:val="000000" w:themeColor="text1"/>
                <w:sz w:val="20"/>
                <w:szCs w:val="20"/>
              </w:rPr>
              <w:t>Sharpe</w:t>
            </w:r>
          </w:p>
        </w:tc>
        <w:tc>
          <w:tcPr>
            <w:tcW w:w="344" w:type="pct"/>
            <w:shd w:val="clear" w:color="auto" w:fill="auto"/>
            <w:noWrap/>
            <w:vAlign w:val="bottom"/>
            <w:hideMark/>
          </w:tcPr>
          <w:p w14:paraId="5E9CF508" w14:textId="77777777" w:rsidR="0035380D" w:rsidRPr="00D26C28" w:rsidRDefault="0035380D" w:rsidP="00B6548B">
            <w:pPr>
              <w:jc w:val="center"/>
              <w:rPr>
                <w:color w:val="000000" w:themeColor="text1"/>
                <w:sz w:val="20"/>
                <w:szCs w:val="20"/>
              </w:rPr>
            </w:pPr>
            <w:r w:rsidRPr="00D26C28">
              <w:rPr>
                <w:color w:val="000000" w:themeColor="text1"/>
                <w:sz w:val="20"/>
                <w:szCs w:val="20"/>
              </w:rPr>
              <w:t>0.26</w:t>
            </w:r>
          </w:p>
        </w:tc>
        <w:tc>
          <w:tcPr>
            <w:tcW w:w="374" w:type="pct"/>
            <w:shd w:val="clear" w:color="auto" w:fill="auto"/>
            <w:noWrap/>
            <w:vAlign w:val="bottom"/>
            <w:hideMark/>
          </w:tcPr>
          <w:p w14:paraId="46712858" w14:textId="77777777" w:rsidR="0035380D" w:rsidRPr="00D26C28" w:rsidRDefault="0035380D" w:rsidP="00B6548B">
            <w:pPr>
              <w:jc w:val="center"/>
              <w:rPr>
                <w:color w:val="000000" w:themeColor="text1"/>
                <w:sz w:val="20"/>
                <w:szCs w:val="20"/>
              </w:rPr>
            </w:pPr>
            <w:r w:rsidRPr="00D26C28">
              <w:rPr>
                <w:color w:val="000000" w:themeColor="text1"/>
                <w:sz w:val="20"/>
                <w:szCs w:val="20"/>
              </w:rPr>
              <w:t>-0.31</w:t>
            </w:r>
          </w:p>
        </w:tc>
        <w:tc>
          <w:tcPr>
            <w:tcW w:w="374" w:type="pct"/>
            <w:shd w:val="clear" w:color="auto" w:fill="auto"/>
            <w:noWrap/>
            <w:vAlign w:val="bottom"/>
            <w:hideMark/>
          </w:tcPr>
          <w:p w14:paraId="7E259C25" w14:textId="77777777" w:rsidR="0035380D" w:rsidRPr="00D26C28" w:rsidRDefault="0035380D" w:rsidP="00B6548B">
            <w:pPr>
              <w:jc w:val="center"/>
              <w:rPr>
                <w:color w:val="000000" w:themeColor="text1"/>
                <w:sz w:val="20"/>
                <w:szCs w:val="20"/>
              </w:rPr>
            </w:pPr>
            <w:r w:rsidRPr="00D26C28">
              <w:rPr>
                <w:color w:val="000000" w:themeColor="text1"/>
                <w:sz w:val="20"/>
                <w:szCs w:val="20"/>
              </w:rPr>
              <w:t>0.42</w:t>
            </w:r>
          </w:p>
        </w:tc>
        <w:tc>
          <w:tcPr>
            <w:tcW w:w="376" w:type="pct"/>
            <w:shd w:val="clear" w:color="auto" w:fill="auto"/>
            <w:noWrap/>
            <w:vAlign w:val="bottom"/>
            <w:hideMark/>
          </w:tcPr>
          <w:p w14:paraId="03E43207" w14:textId="77777777" w:rsidR="0035380D" w:rsidRPr="00D26C28" w:rsidRDefault="0035380D" w:rsidP="00B6548B">
            <w:pPr>
              <w:jc w:val="center"/>
              <w:rPr>
                <w:color w:val="000000" w:themeColor="text1"/>
                <w:sz w:val="20"/>
                <w:szCs w:val="20"/>
              </w:rPr>
            </w:pPr>
            <w:r w:rsidRPr="00D26C28">
              <w:rPr>
                <w:color w:val="000000" w:themeColor="text1"/>
                <w:sz w:val="20"/>
                <w:szCs w:val="20"/>
              </w:rPr>
              <w:t>-0.40</w:t>
            </w:r>
          </w:p>
        </w:tc>
        <w:tc>
          <w:tcPr>
            <w:tcW w:w="98" w:type="pct"/>
            <w:shd w:val="clear" w:color="auto" w:fill="auto"/>
            <w:noWrap/>
            <w:vAlign w:val="bottom"/>
            <w:hideMark/>
          </w:tcPr>
          <w:p w14:paraId="645FF050"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4F9308A0" w14:textId="77777777" w:rsidR="0035380D" w:rsidRPr="00D26C28" w:rsidRDefault="0035380D" w:rsidP="00B6548B">
            <w:pPr>
              <w:jc w:val="center"/>
              <w:rPr>
                <w:color w:val="000000" w:themeColor="text1"/>
                <w:sz w:val="20"/>
                <w:szCs w:val="20"/>
              </w:rPr>
            </w:pPr>
            <w:r w:rsidRPr="00D26C28">
              <w:rPr>
                <w:color w:val="000000" w:themeColor="text1"/>
                <w:sz w:val="20"/>
                <w:szCs w:val="20"/>
              </w:rPr>
              <w:t>-0.68</w:t>
            </w:r>
          </w:p>
        </w:tc>
        <w:tc>
          <w:tcPr>
            <w:tcW w:w="363" w:type="pct"/>
            <w:shd w:val="clear" w:color="auto" w:fill="auto"/>
            <w:noWrap/>
            <w:vAlign w:val="bottom"/>
            <w:hideMark/>
          </w:tcPr>
          <w:p w14:paraId="56BEBA9D" w14:textId="77777777" w:rsidR="0035380D" w:rsidRPr="00D26C28" w:rsidRDefault="0035380D" w:rsidP="00B6548B">
            <w:pPr>
              <w:jc w:val="center"/>
              <w:rPr>
                <w:color w:val="000000" w:themeColor="text1"/>
                <w:sz w:val="20"/>
                <w:szCs w:val="20"/>
              </w:rPr>
            </w:pPr>
            <w:r w:rsidRPr="00D26C28">
              <w:rPr>
                <w:color w:val="000000" w:themeColor="text1"/>
                <w:sz w:val="20"/>
                <w:szCs w:val="20"/>
              </w:rPr>
              <w:t>-0.77</w:t>
            </w:r>
          </w:p>
        </w:tc>
        <w:tc>
          <w:tcPr>
            <w:tcW w:w="363" w:type="pct"/>
            <w:shd w:val="clear" w:color="auto" w:fill="auto"/>
            <w:noWrap/>
            <w:vAlign w:val="bottom"/>
            <w:hideMark/>
          </w:tcPr>
          <w:p w14:paraId="6E0A06BA" w14:textId="77777777" w:rsidR="0035380D" w:rsidRPr="00D26C28" w:rsidRDefault="0035380D" w:rsidP="00B6548B">
            <w:pPr>
              <w:jc w:val="center"/>
              <w:rPr>
                <w:color w:val="000000" w:themeColor="text1"/>
                <w:sz w:val="20"/>
                <w:szCs w:val="20"/>
              </w:rPr>
            </w:pPr>
            <w:r w:rsidRPr="00D26C28">
              <w:rPr>
                <w:color w:val="000000" w:themeColor="text1"/>
                <w:sz w:val="20"/>
                <w:szCs w:val="20"/>
              </w:rPr>
              <w:t>-0.68</w:t>
            </w:r>
          </w:p>
        </w:tc>
        <w:tc>
          <w:tcPr>
            <w:tcW w:w="363" w:type="pct"/>
            <w:shd w:val="clear" w:color="auto" w:fill="auto"/>
            <w:noWrap/>
            <w:vAlign w:val="bottom"/>
            <w:hideMark/>
          </w:tcPr>
          <w:p w14:paraId="11B10AC7" w14:textId="77777777" w:rsidR="0035380D" w:rsidRPr="00D26C28" w:rsidRDefault="0035380D" w:rsidP="00B6548B">
            <w:pPr>
              <w:jc w:val="center"/>
              <w:rPr>
                <w:color w:val="000000" w:themeColor="text1"/>
                <w:sz w:val="20"/>
                <w:szCs w:val="20"/>
              </w:rPr>
            </w:pPr>
            <w:r w:rsidRPr="00D26C28">
              <w:rPr>
                <w:color w:val="000000" w:themeColor="text1"/>
                <w:sz w:val="20"/>
                <w:szCs w:val="20"/>
              </w:rPr>
              <w:t>0.00</w:t>
            </w:r>
          </w:p>
        </w:tc>
        <w:tc>
          <w:tcPr>
            <w:tcW w:w="108" w:type="pct"/>
            <w:shd w:val="clear" w:color="auto" w:fill="auto"/>
            <w:noWrap/>
            <w:vAlign w:val="bottom"/>
            <w:hideMark/>
          </w:tcPr>
          <w:p w14:paraId="4FF73BD9"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5ABFDF94" w14:textId="77777777" w:rsidR="0035380D" w:rsidRPr="00D26C28" w:rsidRDefault="0035380D" w:rsidP="00B6548B">
            <w:pPr>
              <w:jc w:val="center"/>
              <w:rPr>
                <w:color w:val="000000" w:themeColor="text1"/>
                <w:sz w:val="20"/>
                <w:szCs w:val="20"/>
              </w:rPr>
            </w:pPr>
            <w:r w:rsidRPr="00D26C28">
              <w:rPr>
                <w:color w:val="000000" w:themeColor="text1"/>
                <w:sz w:val="20"/>
                <w:szCs w:val="20"/>
              </w:rPr>
              <w:t>0.25</w:t>
            </w:r>
          </w:p>
        </w:tc>
        <w:tc>
          <w:tcPr>
            <w:tcW w:w="363" w:type="pct"/>
            <w:shd w:val="clear" w:color="auto" w:fill="auto"/>
            <w:noWrap/>
            <w:vAlign w:val="bottom"/>
            <w:hideMark/>
          </w:tcPr>
          <w:p w14:paraId="0DF11240" w14:textId="77777777" w:rsidR="0035380D" w:rsidRPr="00D26C28" w:rsidRDefault="0035380D" w:rsidP="00B6548B">
            <w:pPr>
              <w:jc w:val="center"/>
              <w:rPr>
                <w:color w:val="000000" w:themeColor="text1"/>
                <w:sz w:val="20"/>
                <w:szCs w:val="20"/>
              </w:rPr>
            </w:pPr>
            <w:r w:rsidRPr="00D26C28">
              <w:rPr>
                <w:color w:val="000000" w:themeColor="text1"/>
                <w:sz w:val="20"/>
                <w:szCs w:val="20"/>
              </w:rPr>
              <w:t>-0.04</w:t>
            </w:r>
          </w:p>
        </w:tc>
        <w:tc>
          <w:tcPr>
            <w:tcW w:w="363" w:type="pct"/>
            <w:shd w:val="clear" w:color="auto" w:fill="auto"/>
            <w:noWrap/>
            <w:vAlign w:val="bottom"/>
            <w:hideMark/>
          </w:tcPr>
          <w:p w14:paraId="7455E0C9" w14:textId="77777777" w:rsidR="0035380D" w:rsidRPr="00D26C28" w:rsidRDefault="0035380D" w:rsidP="00B6548B">
            <w:pPr>
              <w:jc w:val="center"/>
              <w:rPr>
                <w:color w:val="000000" w:themeColor="text1"/>
                <w:sz w:val="20"/>
                <w:szCs w:val="20"/>
              </w:rPr>
            </w:pPr>
            <w:r w:rsidRPr="00D26C28">
              <w:rPr>
                <w:color w:val="000000" w:themeColor="text1"/>
                <w:sz w:val="20"/>
                <w:szCs w:val="20"/>
              </w:rPr>
              <w:t>-0.10</w:t>
            </w:r>
          </w:p>
        </w:tc>
        <w:tc>
          <w:tcPr>
            <w:tcW w:w="362" w:type="pct"/>
            <w:shd w:val="clear" w:color="auto" w:fill="auto"/>
            <w:noWrap/>
            <w:vAlign w:val="bottom"/>
            <w:hideMark/>
          </w:tcPr>
          <w:p w14:paraId="1D9D806C" w14:textId="77777777" w:rsidR="0035380D" w:rsidRPr="00D26C28" w:rsidRDefault="0035380D" w:rsidP="00B6548B">
            <w:pPr>
              <w:jc w:val="center"/>
              <w:rPr>
                <w:color w:val="000000" w:themeColor="text1"/>
                <w:sz w:val="20"/>
                <w:szCs w:val="20"/>
              </w:rPr>
            </w:pPr>
            <w:r w:rsidRPr="00D26C28">
              <w:rPr>
                <w:color w:val="000000" w:themeColor="text1"/>
                <w:sz w:val="20"/>
                <w:szCs w:val="20"/>
              </w:rPr>
              <w:t>-0.09</w:t>
            </w:r>
          </w:p>
        </w:tc>
      </w:tr>
      <w:tr w:rsidR="0035380D" w:rsidRPr="00D26C28" w14:paraId="12A6263C" w14:textId="77777777" w:rsidTr="00B6548B">
        <w:trPr>
          <w:trHeight w:val="300"/>
        </w:trPr>
        <w:tc>
          <w:tcPr>
            <w:tcW w:w="469" w:type="pct"/>
            <w:shd w:val="clear" w:color="auto" w:fill="auto"/>
            <w:noWrap/>
            <w:vAlign w:val="bottom"/>
            <w:hideMark/>
          </w:tcPr>
          <w:p w14:paraId="4A5B03C0" w14:textId="77777777" w:rsidR="0035380D" w:rsidRPr="00D26C28" w:rsidRDefault="0035380D" w:rsidP="00B6548B">
            <w:pPr>
              <w:rPr>
                <w:color w:val="000000" w:themeColor="text1"/>
                <w:sz w:val="20"/>
                <w:szCs w:val="20"/>
              </w:rPr>
            </w:pPr>
            <w:r w:rsidRPr="00D26C28">
              <w:rPr>
                <w:color w:val="000000" w:themeColor="text1"/>
                <w:sz w:val="20"/>
                <w:szCs w:val="20"/>
              </w:rPr>
              <w:t>Skewness</w:t>
            </w:r>
          </w:p>
        </w:tc>
        <w:tc>
          <w:tcPr>
            <w:tcW w:w="344" w:type="pct"/>
            <w:shd w:val="clear" w:color="auto" w:fill="auto"/>
            <w:noWrap/>
            <w:vAlign w:val="bottom"/>
            <w:hideMark/>
          </w:tcPr>
          <w:p w14:paraId="20ABACDA" w14:textId="77777777" w:rsidR="0035380D" w:rsidRPr="00D26C28" w:rsidRDefault="0035380D" w:rsidP="00B6548B">
            <w:pPr>
              <w:jc w:val="center"/>
              <w:rPr>
                <w:color w:val="000000" w:themeColor="text1"/>
                <w:sz w:val="20"/>
                <w:szCs w:val="20"/>
              </w:rPr>
            </w:pPr>
            <w:r w:rsidRPr="00D26C28">
              <w:rPr>
                <w:color w:val="000000" w:themeColor="text1"/>
                <w:sz w:val="20"/>
                <w:szCs w:val="20"/>
              </w:rPr>
              <w:t>-0.24</w:t>
            </w:r>
          </w:p>
        </w:tc>
        <w:tc>
          <w:tcPr>
            <w:tcW w:w="374" w:type="pct"/>
            <w:shd w:val="clear" w:color="auto" w:fill="auto"/>
            <w:noWrap/>
            <w:vAlign w:val="bottom"/>
            <w:hideMark/>
          </w:tcPr>
          <w:p w14:paraId="7512E156" w14:textId="77777777" w:rsidR="0035380D" w:rsidRPr="00D26C28" w:rsidRDefault="0035380D" w:rsidP="00B6548B">
            <w:pPr>
              <w:jc w:val="center"/>
              <w:rPr>
                <w:color w:val="000000" w:themeColor="text1"/>
                <w:sz w:val="20"/>
                <w:szCs w:val="20"/>
              </w:rPr>
            </w:pPr>
            <w:r w:rsidRPr="00D26C28">
              <w:rPr>
                <w:color w:val="000000" w:themeColor="text1"/>
                <w:sz w:val="20"/>
                <w:szCs w:val="20"/>
              </w:rPr>
              <w:t>0.70</w:t>
            </w:r>
          </w:p>
        </w:tc>
        <w:tc>
          <w:tcPr>
            <w:tcW w:w="374" w:type="pct"/>
            <w:shd w:val="clear" w:color="auto" w:fill="auto"/>
            <w:noWrap/>
            <w:vAlign w:val="bottom"/>
            <w:hideMark/>
          </w:tcPr>
          <w:p w14:paraId="705B9EA5" w14:textId="77777777" w:rsidR="0035380D" w:rsidRPr="00D26C28" w:rsidRDefault="0035380D" w:rsidP="00B6548B">
            <w:pPr>
              <w:jc w:val="center"/>
              <w:rPr>
                <w:color w:val="000000" w:themeColor="text1"/>
                <w:sz w:val="20"/>
                <w:szCs w:val="20"/>
              </w:rPr>
            </w:pPr>
            <w:r w:rsidRPr="00D26C28">
              <w:rPr>
                <w:color w:val="000000" w:themeColor="text1"/>
                <w:sz w:val="20"/>
                <w:szCs w:val="20"/>
              </w:rPr>
              <w:t>2.47</w:t>
            </w:r>
          </w:p>
        </w:tc>
        <w:tc>
          <w:tcPr>
            <w:tcW w:w="376" w:type="pct"/>
            <w:shd w:val="clear" w:color="auto" w:fill="auto"/>
            <w:noWrap/>
            <w:vAlign w:val="bottom"/>
            <w:hideMark/>
          </w:tcPr>
          <w:p w14:paraId="05E20A45" w14:textId="77777777" w:rsidR="0035380D" w:rsidRPr="00D26C28" w:rsidRDefault="0035380D" w:rsidP="00B6548B">
            <w:pPr>
              <w:jc w:val="center"/>
              <w:rPr>
                <w:color w:val="000000" w:themeColor="text1"/>
                <w:sz w:val="20"/>
                <w:szCs w:val="20"/>
              </w:rPr>
            </w:pPr>
            <w:r w:rsidRPr="00D26C28">
              <w:rPr>
                <w:color w:val="000000" w:themeColor="text1"/>
                <w:sz w:val="20"/>
                <w:szCs w:val="20"/>
              </w:rPr>
              <w:t>0.33</w:t>
            </w:r>
          </w:p>
        </w:tc>
        <w:tc>
          <w:tcPr>
            <w:tcW w:w="98" w:type="pct"/>
            <w:shd w:val="clear" w:color="auto" w:fill="auto"/>
            <w:noWrap/>
            <w:vAlign w:val="bottom"/>
            <w:hideMark/>
          </w:tcPr>
          <w:p w14:paraId="4BB0A2F3"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526832B9" w14:textId="77777777" w:rsidR="0035380D" w:rsidRPr="00D26C28" w:rsidRDefault="0035380D" w:rsidP="00B6548B">
            <w:pPr>
              <w:jc w:val="center"/>
              <w:rPr>
                <w:color w:val="000000" w:themeColor="text1"/>
                <w:sz w:val="20"/>
                <w:szCs w:val="20"/>
              </w:rPr>
            </w:pPr>
            <w:r w:rsidRPr="00D26C28">
              <w:rPr>
                <w:color w:val="000000" w:themeColor="text1"/>
                <w:sz w:val="20"/>
                <w:szCs w:val="20"/>
              </w:rPr>
              <w:t>0.26</w:t>
            </w:r>
          </w:p>
        </w:tc>
        <w:tc>
          <w:tcPr>
            <w:tcW w:w="363" w:type="pct"/>
            <w:shd w:val="clear" w:color="auto" w:fill="auto"/>
            <w:noWrap/>
            <w:vAlign w:val="bottom"/>
            <w:hideMark/>
          </w:tcPr>
          <w:p w14:paraId="026EB302" w14:textId="77777777" w:rsidR="0035380D" w:rsidRPr="00D26C28" w:rsidRDefault="0035380D" w:rsidP="00B6548B">
            <w:pPr>
              <w:jc w:val="center"/>
              <w:rPr>
                <w:color w:val="000000" w:themeColor="text1"/>
                <w:sz w:val="20"/>
                <w:szCs w:val="20"/>
              </w:rPr>
            </w:pPr>
            <w:r w:rsidRPr="00D26C28">
              <w:rPr>
                <w:color w:val="000000" w:themeColor="text1"/>
                <w:sz w:val="20"/>
                <w:szCs w:val="20"/>
              </w:rPr>
              <w:t>-0.29</w:t>
            </w:r>
          </w:p>
        </w:tc>
        <w:tc>
          <w:tcPr>
            <w:tcW w:w="363" w:type="pct"/>
            <w:shd w:val="clear" w:color="auto" w:fill="auto"/>
            <w:noWrap/>
            <w:vAlign w:val="bottom"/>
            <w:hideMark/>
          </w:tcPr>
          <w:p w14:paraId="6BD6185C" w14:textId="77777777" w:rsidR="0035380D" w:rsidRPr="00D26C28" w:rsidRDefault="0035380D" w:rsidP="00B6548B">
            <w:pPr>
              <w:jc w:val="center"/>
              <w:rPr>
                <w:color w:val="000000" w:themeColor="text1"/>
                <w:sz w:val="20"/>
                <w:szCs w:val="20"/>
              </w:rPr>
            </w:pPr>
            <w:r w:rsidRPr="00D26C28">
              <w:rPr>
                <w:color w:val="000000" w:themeColor="text1"/>
                <w:sz w:val="20"/>
                <w:szCs w:val="20"/>
              </w:rPr>
              <w:t>-0.03</w:t>
            </w:r>
          </w:p>
        </w:tc>
        <w:tc>
          <w:tcPr>
            <w:tcW w:w="363" w:type="pct"/>
            <w:shd w:val="clear" w:color="auto" w:fill="auto"/>
            <w:noWrap/>
            <w:vAlign w:val="bottom"/>
            <w:hideMark/>
          </w:tcPr>
          <w:p w14:paraId="0F7169F4" w14:textId="77777777" w:rsidR="0035380D" w:rsidRPr="00D26C28" w:rsidRDefault="0035380D" w:rsidP="00B6548B">
            <w:pPr>
              <w:jc w:val="center"/>
              <w:rPr>
                <w:color w:val="000000" w:themeColor="text1"/>
                <w:sz w:val="20"/>
                <w:szCs w:val="20"/>
              </w:rPr>
            </w:pPr>
            <w:r w:rsidRPr="00D26C28">
              <w:rPr>
                <w:color w:val="000000" w:themeColor="text1"/>
                <w:sz w:val="20"/>
                <w:szCs w:val="20"/>
              </w:rPr>
              <w:t>0.29</w:t>
            </w:r>
          </w:p>
        </w:tc>
        <w:tc>
          <w:tcPr>
            <w:tcW w:w="108" w:type="pct"/>
            <w:shd w:val="clear" w:color="auto" w:fill="auto"/>
            <w:noWrap/>
            <w:vAlign w:val="bottom"/>
            <w:hideMark/>
          </w:tcPr>
          <w:p w14:paraId="0CFA68AC"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7D8E3658" w14:textId="77777777" w:rsidR="0035380D" w:rsidRPr="00D26C28" w:rsidRDefault="0035380D" w:rsidP="00B6548B">
            <w:pPr>
              <w:jc w:val="center"/>
              <w:rPr>
                <w:color w:val="000000" w:themeColor="text1"/>
                <w:sz w:val="20"/>
                <w:szCs w:val="20"/>
              </w:rPr>
            </w:pPr>
            <w:r w:rsidRPr="00D26C28">
              <w:rPr>
                <w:color w:val="000000" w:themeColor="text1"/>
                <w:sz w:val="20"/>
                <w:szCs w:val="20"/>
              </w:rPr>
              <w:t>-0.76</w:t>
            </w:r>
          </w:p>
        </w:tc>
        <w:tc>
          <w:tcPr>
            <w:tcW w:w="363" w:type="pct"/>
            <w:shd w:val="clear" w:color="auto" w:fill="auto"/>
            <w:noWrap/>
            <w:vAlign w:val="bottom"/>
            <w:hideMark/>
          </w:tcPr>
          <w:p w14:paraId="53C7C015" w14:textId="77777777" w:rsidR="0035380D" w:rsidRPr="00D26C28" w:rsidRDefault="0035380D" w:rsidP="00B6548B">
            <w:pPr>
              <w:jc w:val="center"/>
              <w:rPr>
                <w:color w:val="000000" w:themeColor="text1"/>
                <w:sz w:val="20"/>
                <w:szCs w:val="20"/>
              </w:rPr>
            </w:pPr>
            <w:r w:rsidRPr="00D26C28">
              <w:rPr>
                <w:color w:val="000000" w:themeColor="text1"/>
                <w:sz w:val="20"/>
                <w:szCs w:val="20"/>
              </w:rPr>
              <w:t>0.33</w:t>
            </w:r>
          </w:p>
        </w:tc>
        <w:tc>
          <w:tcPr>
            <w:tcW w:w="363" w:type="pct"/>
            <w:shd w:val="clear" w:color="auto" w:fill="auto"/>
            <w:noWrap/>
            <w:vAlign w:val="bottom"/>
            <w:hideMark/>
          </w:tcPr>
          <w:p w14:paraId="3120D80C" w14:textId="77777777" w:rsidR="0035380D" w:rsidRPr="00D26C28" w:rsidRDefault="0035380D" w:rsidP="00B6548B">
            <w:pPr>
              <w:jc w:val="center"/>
              <w:rPr>
                <w:color w:val="000000" w:themeColor="text1"/>
                <w:sz w:val="20"/>
                <w:szCs w:val="20"/>
              </w:rPr>
            </w:pPr>
            <w:r w:rsidRPr="00D26C28">
              <w:rPr>
                <w:color w:val="000000" w:themeColor="text1"/>
                <w:sz w:val="20"/>
                <w:szCs w:val="20"/>
              </w:rPr>
              <w:t>-0.66</w:t>
            </w:r>
          </w:p>
        </w:tc>
        <w:tc>
          <w:tcPr>
            <w:tcW w:w="362" w:type="pct"/>
            <w:shd w:val="clear" w:color="auto" w:fill="auto"/>
            <w:noWrap/>
            <w:vAlign w:val="bottom"/>
            <w:hideMark/>
          </w:tcPr>
          <w:p w14:paraId="540D05D9" w14:textId="77777777" w:rsidR="0035380D" w:rsidRPr="00D26C28" w:rsidRDefault="0035380D" w:rsidP="00B6548B">
            <w:pPr>
              <w:jc w:val="center"/>
              <w:rPr>
                <w:color w:val="000000" w:themeColor="text1"/>
                <w:sz w:val="20"/>
                <w:szCs w:val="20"/>
              </w:rPr>
            </w:pPr>
            <w:r w:rsidRPr="00D26C28">
              <w:rPr>
                <w:color w:val="000000" w:themeColor="text1"/>
                <w:sz w:val="20"/>
                <w:szCs w:val="20"/>
              </w:rPr>
              <w:t>-0.75</w:t>
            </w:r>
          </w:p>
        </w:tc>
      </w:tr>
      <w:tr w:rsidR="0035380D" w:rsidRPr="00D26C28" w14:paraId="203EDC48" w14:textId="77777777" w:rsidTr="00B6548B">
        <w:trPr>
          <w:trHeight w:val="300"/>
        </w:trPr>
        <w:tc>
          <w:tcPr>
            <w:tcW w:w="469" w:type="pct"/>
            <w:shd w:val="clear" w:color="auto" w:fill="auto"/>
            <w:noWrap/>
            <w:vAlign w:val="bottom"/>
            <w:hideMark/>
          </w:tcPr>
          <w:p w14:paraId="0B157B74" w14:textId="77777777" w:rsidR="0035380D" w:rsidRPr="00D26C28" w:rsidRDefault="0035380D" w:rsidP="00B6548B">
            <w:pPr>
              <w:rPr>
                <w:color w:val="000000" w:themeColor="text1"/>
                <w:sz w:val="20"/>
                <w:szCs w:val="20"/>
              </w:rPr>
            </w:pPr>
            <w:r w:rsidRPr="00D26C28">
              <w:rPr>
                <w:color w:val="000000" w:themeColor="text1"/>
                <w:sz w:val="20"/>
                <w:szCs w:val="20"/>
              </w:rPr>
              <w:t>Kurtosis</w:t>
            </w:r>
          </w:p>
        </w:tc>
        <w:tc>
          <w:tcPr>
            <w:tcW w:w="344" w:type="pct"/>
            <w:shd w:val="clear" w:color="auto" w:fill="auto"/>
            <w:noWrap/>
            <w:vAlign w:val="bottom"/>
            <w:hideMark/>
          </w:tcPr>
          <w:p w14:paraId="522DD8B2" w14:textId="77777777" w:rsidR="0035380D" w:rsidRPr="00D26C28" w:rsidRDefault="0035380D" w:rsidP="00B6548B">
            <w:pPr>
              <w:jc w:val="center"/>
              <w:rPr>
                <w:color w:val="000000" w:themeColor="text1"/>
                <w:sz w:val="20"/>
                <w:szCs w:val="20"/>
              </w:rPr>
            </w:pPr>
            <w:r w:rsidRPr="00D26C28">
              <w:rPr>
                <w:color w:val="000000" w:themeColor="text1"/>
                <w:sz w:val="20"/>
                <w:szCs w:val="20"/>
              </w:rPr>
              <w:t>3.46</w:t>
            </w:r>
          </w:p>
        </w:tc>
        <w:tc>
          <w:tcPr>
            <w:tcW w:w="374" w:type="pct"/>
            <w:shd w:val="clear" w:color="auto" w:fill="auto"/>
            <w:noWrap/>
            <w:vAlign w:val="bottom"/>
            <w:hideMark/>
          </w:tcPr>
          <w:p w14:paraId="43DF1069" w14:textId="77777777" w:rsidR="0035380D" w:rsidRPr="00D26C28" w:rsidRDefault="0035380D" w:rsidP="00B6548B">
            <w:pPr>
              <w:jc w:val="center"/>
              <w:rPr>
                <w:color w:val="000000" w:themeColor="text1"/>
                <w:sz w:val="20"/>
                <w:szCs w:val="20"/>
              </w:rPr>
            </w:pPr>
            <w:r w:rsidRPr="00D26C28">
              <w:rPr>
                <w:color w:val="000000" w:themeColor="text1"/>
                <w:sz w:val="20"/>
                <w:szCs w:val="20"/>
              </w:rPr>
              <w:t>6.86</w:t>
            </w:r>
          </w:p>
        </w:tc>
        <w:tc>
          <w:tcPr>
            <w:tcW w:w="374" w:type="pct"/>
            <w:shd w:val="clear" w:color="auto" w:fill="auto"/>
            <w:noWrap/>
            <w:vAlign w:val="bottom"/>
            <w:hideMark/>
          </w:tcPr>
          <w:p w14:paraId="5F856DA0" w14:textId="77777777" w:rsidR="0035380D" w:rsidRPr="00D26C28" w:rsidRDefault="0035380D" w:rsidP="00B6548B">
            <w:pPr>
              <w:jc w:val="center"/>
              <w:rPr>
                <w:color w:val="000000" w:themeColor="text1"/>
                <w:sz w:val="20"/>
                <w:szCs w:val="20"/>
              </w:rPr>
            </w:pPr>
            <w:r w:rsidRPr="00D26C28">
              <w:rPr>
                <w:color w:val="000000" w:themeColor="text1"/>
                <w:sz w:val="20"/>
                <w:szCs w:val="20"/>
              </w:rPr>
              <w:t>13.47</w:t>
            </w:r>
          </w:p>
        </w:tc>
        <w:tc>
          <w:tcPr>
            <w:tcW w:w="376" w:type="pct"/>
            <w:shd w:val="clear" w:color="auto" w:fill="auto"/>
            <w:noWrap/>
            <w:vAlign w:val="bottom"/>
            <w:hideMark/>
          </w:tcPr>
          <w:p w14:paraId="1CCB7908" w14:textId="77777777" w:rsidR="0035380D" w:rsidRPr="00D26C28" w:rsidRDefault="0035380D" w:rsidP="00B6548B">
            <w:pPr>
              <w:jc w:val="center"/>
              <w:rPr>
                <w:color w:val="000000" w:themeColor="text1"/>
                <w:sz w:val="20"/>
                <w:szCs w:val="20"/>
              </w:rPr>
            </w:pPr>
            <w:r w:rsidRPr="00D26C28">
              <w:rPr>
                <w:color w:val="000000" w:themeColor="text1"/>
                <w:sz w:val="20"/>
                <w:szCs w:val="20"/>
              </w:rPr>
              <w:t>4.24</w:t>
            </w:r>
          </w:p>
        </w:tc>
        <w:tc>
          <w:tcPr>
            <w:tcW w:w="98" w:type="pct"/>
            <w:shd w:val="clear" w:color="auto" w:fill="auto"/>
            <w:noWrap/>
            <w:vAlign w:val="bottom"/>
            <w:hideMark/>
          </w:tcPr>
          <w:p w14:paraId="44EEDC95"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1A910E35" w14:textId="77777777" w:rsidR="0035380D" w:rsidRPr="00D26C28" w:rsidRDefault="0035380D" w:rsidP="00B6548B">
            <w:pPr>
              <w:jc w:val="center"/>
              <w:rPr>
                <w:color w:val="000000" w:themeColor="text1"/>
                <w:sz w:val="20"/>
                <w:szCs w:val="20"/>
              </w:rPr>
            </w:pPr>
            <w:r w:rsidRPr="00D26C28">
              <w:rPr>
                <w:color w:val="000000" w:themeColor="text1"/>
                <w:sz w:val="20"/>
                <w:szCs w:val="20"/>
              </w:rPr>
              <w:t>3.38</w:t>
            </w:r>
          </w:p>
        </w:tc>
        <w:tc>
          <w:tcPr>
            <w:tcW w:w="363" w:type="pct"/>
            <w:shd w:val="clear" w:color="auto" w:fill="auto"/>
            <w:noWrap/>
            <w:vAlign w:val="bottom"/>
            <w:hideMark/>
          </w:tcPr>
          <w:p w14:paraId="49DAC512" w14:textId="77777777" w:rsidR="0035380D" w:rsidRPr="00D26C28" w:rsidRDefault="0035380D" w:rsidP="00B6548B">
            <w:pPr>
              <w:jc w:val="center"/>
              <w:rPr>
                <w:color w:val="000000" w:themeColor="text1"/>
                <w:sz w:val="20"/>
                <w:szCs w:val="20"/>
              </w:rPr>
            </w:pPr>
            <w:r w:rsidRPr="00D26C28">
              <w:rPr>
                <w:color w:val="000000" w:themeColor="text1"/>
                <w:sz w:val="20"/>
                <w:szCs w:val="20"/>
              </w:rPr>
              <w:t>4.76</w:t>
            </w:r>
          </w:p>
        </w:tc>
        <w:tc>
          <w:tcPr>
            <w:tcW w:w="363" w:type="pct"/>
            <w:shd w:val="clear" w:color="auto" w:fill="auto"/>
            <w:noWrap/>
            <w:vAlign w:val="bottom"/>
            <w:hideMark/>
          </w:tcPr>
          <w:p w14:paraId="68C717C2" w14:textId="77777777" w:rsidR="0035380D" w:rsidRPr="00D26C28" w:rsidRDefault="0035380D" w:rsidP="00B6548B">
            <w:pPr>
              <w:jc w:val="center"/>
              <w:rPr>
                <w:color w:val="000000" w:themeColor="text1"/>
                <w:sz w:val="20"/>
                <w:szCs w:val="20"/>
              </w:rPr>
            </w:pPr>
            <w:r w:rsidRPr="00D26C28">
              <w:rPr>
                <w:color w:val="000000" w:themeColor="text1"/>
                <w:sz w:val="20"/>
                <w:szCs w:val="20"/>
              </w:rPr>
              <w:t>4.00</w:t>
            </w:r>
          </w:p>
        </w:tc>
        <w:tc>
          <w:tcPr>
            <w:tcW w:w="363" w:type="pct"/>
            <w:shd w:val="clear" w:color="auto" w:fill="auto"/>
            <w:noWrap/>
            <w:vAlign w:val="bottom"/>
            <w:hideMark/>
          </w:tcPr>
          <w:p w14:paraId="38E74D9C" w14:textId="77777777" w:rsidR="0035380D" w:rsidRPr="00D26C28" w:rsidRDefault="0035380D" w:rsidP="00B6548B">
            <w:pPr>
              <w:jc w:val="center"/>
              <w:rPr>
                <w:color w:val="000000" w:themeColor="text1"/>
                <w:sz w:val="20"/>
                <w:szCs w:val="20"/>
              </w:rPr>
            </w:pPr>
            <w:r w:rsidRPr="00D26C28">
              <w:rPr>
                <w:color w:val="000000" w:themeColor="text1"/>
                <w:sz w:val="20"/>
                <w:szCs w:val="20"/>
              </w:rPr>
              <w:t>2.90</w:t>
            </w:r>
          </w:p>
        </w:tc>
        <w:tc>
          <w:tcPr>
            <w:tcW w:w="108" w:type="pct"/>
            <w:shd w:val="clear" w:color="auto" w:fill="auto"/>
            <w:noWrap/>
            <w:vAlign w:val="bottom"/>
            <w:hideMark/>
          </w:tcPr>
          <w:p w14:paraId="1C99353D" w14:textId="77777777" w:rsidR="0035380D" w:rsidRPr="00D26C28" w:rsidRDefault="0035380D" w:rsidP="00B6548B">
            <w:pPr>
              <w:jc w:val="center"/>
              <w:rPr>
                <w:color w:val="000000" w:themeColor="text1"/>
                <w:sz w:val="20"/>
                <w:szCs w:val="20"/>
              </w:rPr>
            </w:pPr>
          </w:p>
        </w:tc>
        <w:tc>
          <w:tcPr>
            <w:tcW w:w="340" w:type="pct"/>
            <w:shd w:val="clear" w:color="auto" w:fill="auto"/>
            <w:noWrap/>
            <w:vAlign w:val="bottom"/>
            <w:hideMark/>
          </w:tcPr>
          <w:p w14:paraId="3C9C174A" w14:textId="77777777" w:rsidR="0035380D" w:rsidRPr="00D26C28" w:rsidRDefault="0035380D" w:rsidP="00B6548B">
            <w:pPr>
              <w:jc w:val="center"/>
              <w:rPr>
                <w:color w:val="000000" w:themeColor="text1"/>
                <w:sz w:val="20"/>
                <w:szCs w:val="20"/>
              </w:rPr>
            </w:pPr>
            <w:r w:rsidRPr="00D26C28">
              <w:rPr>
                <w:color w:val="000000" w:themeColor="text1"/>
                <w:sz w:val="20"/>
                <w:szCs w:val="20"/>
              </w:rPr>
              <w:t>3.53</w:t>
            </w:r>
          </w:p>
        </w:tc>
        <w:tc>
          <w:tcPr>
            <w:tcW w:w="363" w:type="pct"/>
            <w:shd w:val="clear" w:color="auto" w:fill="auto"/>
            <w:noWrap/>
            <w:vAlign w:val="bottom"/>
            <w:hideMark/>
          </w:tcPr>
          <w:p w14:paraId="4B363937" w14:textId="77777777" w:rsidR="0035380D" w:rsidRPr="00D26C28" w:rsidRDefault="0035380D" w:rsidP="00B6548B">
            <w:pPr>
              <w:jc w:val="center"/>
              <w:rPr>
                <w:color w:val="000000" w:themeColor="text1"/>
                <w:sz w:val="20"/>
                <w:szCs w:val="20"/>
              </w:rPr>
            </w:pPr>
            <w:r w:rsidRPr="00D26C28">
              <w:rPr>
                <w:color w:val="000000" w:themeColor="text1"/>
                <w:sz w:val="20"/>
                <w:szCs w:val="20"/>
              </w:rPr>
              <w:t>3.59</w:t>
            </w:r>
          </w:p>
        </w:tc>
        <w:tc>
          <w:tcPr>
            <w:tcW w:w="363" w:type="pct"/>
            <w:shd w:val="clear" w:color="auto" w:fill="auto"/>
            <w:noWrap/>
            <w:vAlign w:val="bottom"/>
            <w:hideMark/>
          </w:tcPr>
          <w:p w14:paraId="7A3DC9D2" w14:textId="77777777" w:rsidR="0035380D" w:rsidRPr="00D26C28" w:rsidRDefault="0035380D" w:rsidP="00B6548B">
            <w:pPr>
              <w:jc w:val="center"/>
              <w:rPr>
                <w:color w:val="000000" w:themeColor="text1"/>
                <w:sz w:val="20"/>
                <w:szCs w:val="20"/>
              </w:rPr>
            </w:pPr>
            <w:r w:rsidRPr="00D26C28">
              <w:rPr>
                <w:color w:val="000000" w:themeColor="text1"/>
                <w:sz w:val="20"/>
                <w:szCs w:val="20"/>
              </w:rPr>
              <w:t>3.14</w:t>
            </w:r>
          </w:p>
        </w:tc>
        <w:tc>
          <w:tcPr>
            <w:tcW w:w="362" w:type="pct"/>
            <w:shd w:val="clear" w:color="auto" w:fill="auto"/>
            <w:noWrap/>
            <w:vAlign w:val="bottom"/>
            <w:hideMark/>
          </w:tcPr>
          <w:p w14:paraId="2F746B23" w14:textId="77777777" w:rsidR="0035380D" w:rsidRPr="00D26C28" w:rsidRDefault="0035380D" w:rsidP="00B6548B">
            <w:pPr>
              <w:jc w:val="center"/>
              <w:rPr>
                <w:color w:val="000000" w:themeColor="text1"/>
                <w:sz w:val="20"/>
                <w:szCs w:val="20"/>
              </w:rPr>
            </w:pPr>
            <w:r w:rsidRPr="00D26C28">
              <w:rPr>
                <w:color w:val="000000" w:themeColor="text1"/>
                <w:sz w:val="20"/>
                <w:szCs w:val="20"/>
              </w:rPr>
              <w:t>3.52</w:t>
            </w:r>
          </w:p>
        </w:tc>
      </w:tr>
      <w:tr w:rsidR="0035380D" w:rsidRPr="00D26C28" w14:paraId="54D16BFE" w14:textId="77777777" w:rsidTr="00B6548B">
        <w:trPr>
          <w:trHeight w:val="315"/>
        </w:trPr>
        <w:tc>
          <w:tcPr>
            <w:tcW w:w="469" w:type="pct"/>
            <w:tcBorders>
              <w:bottom w:val="single" w:sz="4" w:space="0" w:color="auto"/>
            </w:tcBorders>
            <w:shd w:val="clear" w:color="auto" w:fill="auto"/>
            <w:noWrap/>
            <w:vAlign w:val="bottom"/>
            <w:hideMark/>
          </w:tcPr>
          <w:p w14:paraId="26958356" w14:textId="77777777" w:rsidR="0035380D" w:rsidRPr="00D26C28" w:rsidRDefault="0035380D" w:rsidP="00B6548B">
            <w:pPr>
              <w:rPr>
                <w:color w:val="000000" w:themeColor="text1"/>
                <w:sz w:val="20"/>
                <w:szCs w:val="20"/>
              </w:rPr>
            </w:pPr>
            <w:r w:rsidRPr="00D26C28">
              <w:rPr>
                <w:color w:val="000000" w:themeColor="text1"/>
                <w:sz w:val="20"/>
                <w:szCs w:val="20"/>
              </w:rPr>
              <w:t>MaxDD</w:t>
            </w:r>
          </w:p>
        </w:tc>
        <w:tc>
          <w:tcPr>
            <w:tcW w:w="344" w:type="pct"/>
            <w:tcBorders>
              <w:bottom w:val="single" w:sz="4" w:space="0" w:color="auto"/>
            </w:tcBorders>
            <w:shd w:val="clear" w:color="auto" w:fill="auto"/>
            <w:noWrap/>
            <w:vAlign w:val="bottom"/>
            <w:hideMark/>
          </w:tcPr>
          <w:p w14:paraId="50DC312A" w14:textId="77777777" w:rsidR="0035380D" w:rsidRPr="00D26C28" w:rsidRDefault="0035380D" w:rsidP="00B6548B">
            <w:pPr>
              <w:jc w:val="center"/>
              <w:rPr>
                <w:color w:val="000000" w:themeColor="text1"/>
                <w:sz w:val="20"/>
                <w:szCs w:val="20"/>
              </w:rPr>
            </w:pPr>
            <w:r w:rsidRPr="00D26C28">
              <w:rPr>
                <w:color w:val="000000" w:themeColor="text1"/>
                <w:sz w:val="20"/>
                <w:szCs w:val="20"/>
              </w:rPr>
              <w:t>-0.38</w:t>
            </w:r>
          </w:p>
        </w:tc>
        <w:tc>
          <w:tcPr>
            <w:tcW w:w="374" w:type="pct"/>
            <w:tcBorders>
              <w:bottom w:val="single" w:sz="4" w:space="0" w:color="auto"/>
            </w:tcBorders>
            <w:shd w:val="clear" w:color="auto" w:fill="auto"/>
            <w:noWrap/>
            <w:vAlign w:val="bottom"/>
            <w:hideMark/>
          </w:tcPr>
          <w:p w14:paraId="2A56F791" w14:textId="77777777" w:rsidR="0035380D" w:rsidRPr="00D26C28" w:rsidRDefault="0035380D" w:rsidP="00B6548B">
            <w:pPr>
              <w:jc w:val="center"/>
              <w:rPr>
                <w:color w:val="000000" w:themeColor="text1"/>
                <w:sz w:val="20"/>
                <w:szCs w:val="20"/>
              </w:rPr>
            </w:pPr>
            <w:r w:rsidRPr="00D26C28">
              <w:rPr>
                <w:color w:val="000000" w:themeColor="text1"/>
                <w:sz w:val="20"/>
                <w:szCs w:val="20"/>
              </w:rPr>
              <w:t>-0.78</w:t>
            </w:r>
          </w:p>
        </w:tc>
        <w:tc>
          <w:tcPr>
            <w:tcW w:w="374" w:type="pct"/>
            <w:tcBorders>
              <w:bottom w:val="single" w:sz="4" w:space="0" w:color="auto"/>
            </w:tcBorders>
            <w:shd w:val="clear" w:color="auto" w:fill="auto"/>
            <w:noWrap/>
            <w:vAlign w:val="bottom"/>
            <w:hideMark/>
          </w:tcPr>
          <w:p w14:paraId="65645150" w14:textId="77777777" w:rsidR="0035380D" w:rsidRPr="00D26C28" w:rsidRDefault="0035380D" w:rsidP="00B6548B">
            <w:pPr>
              <w:jc w:val="center"/>
              <w:rPr>
                <w:color w:val="000000" w:themeColor="text1"/>
                <w:sz w:val="20"/>
                <w:szCs w:val="20"/>
              </w:rPr>
            </w:pPr>
            <w:r w:rsidRPr="00D26C28">
              <w:rPr>
                <w:color w:val="000000" w:themeColor="text1"/>
                <w:sz w:val="20"/>
                <w:szCs w:val="20"/>
              </w:rPr>
              <w:t>-0.82</w:t>
            </w:r>
          </w:p>
        </w:tc>
        <w:tc>
          <w:tcPr>
            <w:tcW w:w="376" w:type="pct"/>
            <w:tcBorders>
              <w:bottom w:val="single" w:sz="4" w:space="0" w:color="auto"/>
            </w:tcBorders>
            <w:shd w:val="clear" w:color="auto" w:fill="auto"/>
            <w:noWrap/>
            <w:vAlign w:val="bottom"/>
            <w:hideMark/>
          </w:tcPr>
          <w:p w14:paraId="54904985" w14:textId="77777777" w:rsidR="0035380D" w:rsidRPr="00D26C28" w:rsidRDefault="0035380D" w:rsidP="00B6548B">
            <w:pPr>
              <w:jc w:val="center"/>
              <w:rPr>
                <w:color w:val="000000" w:themeColor="text1"/>
                <w:sz w:val="20"/>
                <w:szCs w:val="20"/>
              </w:rPr>
            </w:pPr>
            <w:r w:rsidRPr="00D26C28">
              <w:rPr>
                <w:color w:val="000000" w:themeColor="text1"/>
                <w:sz w:val="20"/>
                <w:szCs w:val="20"/>
              </w:rPr>
              <w:t>-0.67</w:t>
            </w:r>
          </w:p>
        </w:tc>
        <w:tc>
          <w:tcPr>
            <w:tcW w:w="98" w:type="pct"/>
            <w:tcBorders>
              <w:bottom w:val="single" w:sz="4" w:space="0" w:color="auto"/>
            </w:tcBorders>
            <w:shd w:val="clear" w:color="auto" w:fill="auto"/>
            <w:noWrap/>
            <w:vAlign w:val="bottom"/>
            <w:hideMark/>
          </w:tcPr>
          <w:p w14:paraId="3E615CE4" w14:textId="77777777" w:rsidR="0035380D" w:rsidRPr="00D26C28" w:rsidRDefault="0035380D" w:rsidP="00B6548B">
            <w:pPr>
              <w:jc w:val="center"/>
              <w:rPr>
                <w:color w:val="000000" w:themeColor="text1"/>
                <w:sz w:val="20"/>
                <w:szCs w:val="20"/>
              </w:rPr>
            </w:pPr>
            <w:r w:rsidRPr="00D26C28">
              <w:rPr>
                <w:color w:val="000000" w:themeColor="text1"/>
                <w:sz w:val="20"/>
                <w:szCs w:val="20"/>
              </w:rPr>
              <w:t> </w:t>
            </w:r>
          </w:p>
        </w:tc>
        <w:tc>
          <w:tcPr>
            <w:tcW w:w="340" w:type="pct"/>
            <w:tcBorders>
              <w:bottom w:val="single" w:sz="4" w:space="0" w:color="auto"/>
            </w:tcBorders>
            <w:shd w:val="clear" w:color="auto" w:fill="auto"/>
            <w:noWrap/>
            <w:vAlign w:val="bottom"/>
            <w:hideMark/>
          </w:tcPr>
          <w:p w14:paraId="38356E0C" w14:textId="77777777" w:rsidR="0035380D" w:rsidRPr="00D26C28" w:rsidRDefault="0035380D" w:rsidP="00B6548B">
            <w:pPr>
              <w:jc w:val="center"/>
              <w:rPr>
                <w:color w:val="000000" w:themeColor="text1"/>
                <w:sz w:val="20"/>
                <w:szCs w:val="20"/>
              </w:rPr>
            </w:pPr>
            <w:r w:rsidRPr="00D26C28">
              <w:rPr>
                <w:color w:val="000000" w:themeColor="text1"/>
                <w:sz w:val="20"/>
                <w:szCs w:val="20"/>
              </w:rPr>
              <w:t>-0.82</w:t>
            </w:r>
          </w:p>
        </w:tc>
        <w:tc>
          <w:tcPr>
            <w:tcW w:w="363" w:type="pct"/>
            <w:tcBorders>
              <w:bottom w:val="single" w:sz="4" w:space="0" w:color="auto"/>
            </w:tcBorders>
            <w:shd w:val="clear" w:color="auto" w:fill="auto"/>
            <w:noWrap/>
            <w:vAlign w:val="bottom"/>
            <w:hideMark/>
          </w:tcPr>
          <w:p w14:paraId="74CB8651" w14:textId="77777777" w:rsidR="0035380D" w:rsidRPr="00D26C28" w:rsidRDefault="0035380D" w:rsidP="00B6548B">
            <w:pPr>
              <w:jc w:val="center"/>
              <w:rPr>
                <w:color w:val="000000" w:themeColor="text1"/>
                <w:sz w:val="20"/>
                <w:szCs w:val="20"/>
              </w:rPr>
            </w:pPr>
            <w:r w:rsidRPr="00D26C28">
              <w:rPr>
                <w:color w:val="000000" w:themeColor="text1"/>
                <w:sz w:val="20"/>
                <w:szCs w:val="20"/>
              </w:rPr>
              <w:t>-0.88</w:t>
            </w:r>
          </w:p>
        </w:tc>
        <w:tc>
          <w:tcPr>
            <w:tcW w:w="363" w:type="pct"/>
            <w:tcBorders>
              <w:bottom w:val="single" w:sz="4" w:space="0" w:color="auto"/>
            </w:tcBorders>
            <w:shd w:val="clear" w:color="auto" w:fill="auto"/>
            <w:noWrap/>
            <w:vAlign w:val="bottom"/>
            <w:hideMark/>
          </w:tcPr>
          <w:p w14:paraId="3EECC7F6" w14:textId="77777777" w:rsidR="0035380D" w:rsidRPr="00D26C28" w:rsidRDefault="0035380D" w:rsidP="00B6548B">
            <w:pPr>
              <w:jc w:val="center"/>
              <w:rPr>
                <w:color w:val="000000" w:themeColor="text1"/>
                <w:sz w:val="20"/>
                <w:szCs w:val="20"/>
              </w:rPr>
            </w:pPr>
            <w:r w:rsidRPr="00D26C28">
              <w:rPr>
                <w:color w:val="000000" w:themeColor="text1"/>
                <w:sz w:val="20"/>
                <w:szCs w:val="20"/>
              </w:rPr>
              <w:t>-0.86</w:t>
            </w:r>
          </w:p>
        </w:tc>
        <w:tc>
          <w:tcPr>
            <w:tcW w:w="363" w:type="pct"/>
            <w:tcBorders>
              <w:bottom w:val="single" w:sz="4" w:space="0" w:color="auto"/>
            </w:tcBorders>
            <w:shd w:val="clear" w:color="auto" w:fill="auto"/>
            <w:noWrap/>
            <w:vAlign w:val="bottom"/>
            <w:hideMark/>
          </w:tcPr>
          <w:p w14:paraId="1CC00FFF" w14:textId="77777777" w:rsidR="0035380D" w:rsidRPr="00D26C28" w:rsidRDefault="0035380D" w:rsidP="00B6548B">
            <w:pPr>
              <w:jc w:val="center"/>
              <w:rPr>
                <w:color w:val="000000" w:themeColor="text1"/>
                <w:sz w:val="20"/>
                <w:szCs w:val="20"/>
              </w:rPr>
            </w:pPr>
            <w:r w:rsidRPr="00D26C28">
              <w:rPr>
                <w:color w:val="000000" w:themeColor="text1"/>
                <w:sz w:val="20"/>
                <w:szCs w:val="20"/>
              </w:rPr>
              <w:t>-0.36</w:t>
            </w:r>
          </w:p>
        </w:tc>
        <w:tc>
          <w:tcPr>
            <w:tcW w:w="108" w:type="pct"/>
            <w:tcBorders>
              <w:bottom w:val="single" w:sz="4" w:space="0" w:color="auto"/>
            </w:tcBorders>
            <w:shd w:val="clear" w:color="auto" w:fill="auto"/>
            <w:noWrap/>
            <w:vAlign w:val="bottom"/>
            <w:hideMark/>
          </w:tcPr>
          <w:p w14:paraId="0F326522" w14:textId="77777777" w:rsidR="0035380D" w:rsidRPr="00D26C28" w:rsidRDefault="0035380D" w:rsidP="00B6548B">
            <w:pPr>
              <w:jc w:val="center"/>
              <w:rPr>
                <w:color w:val="000000" w:themeColor="text1"/>
                <w:sz w:val="20"/>
                <w:szCs w:val="20"/>
              </w:rPr>
            </w:pPr>
            <w:r w:rsidRPr="00D26C28">
              <w:rPr>
                <w:color w:val="000000" w:themeColor="text1"/>
                <w:sz w:val="20"/>
                <w:szCs w:val="20"/>
              </w:rPr>
              <w:t> </w:t>
            </w:r>
          </w:p>
        </w:tc>
        <w:tc>
          <w:tcPr>
            <w:tcW w:w="340" w:type="pct"/>
            <w:tcBorders>
              <w:bottom w:val="single" w:sz="4" w:space="0" w:color="auto"/>
            </w:tcBorders>
            <w:shd w:val="clear" w:color="auto" w:fill="auto"/>
            <w:noWrap/>
            <w:vAlign w:val="bottom"/>
            <w:hideMark/>
          </w:tcPr>
          <w:p w14:paraId="1B5E855F" w14:textId="77777777" w:rsidR="0035380D" w:rsidRPr="00D26C28" w:rsidRDefault="0035380D" w:rsidP="00B6548B">
            <w:pPr>
              <w:jc w:val="center"/>
              <w:rPr>
                <w:color w:val="000000" w:themeColor="text1"/>
                <w:sz w:val="20"/>
                <w:szCs w:val="20"/>
              </w:rPr>
            </w:pPr>
            <w:r w:rsidRPr="00D26C28">
              <w:rPr>
                <w:color w:val="000000" w:themeColor="text1"/>
                <w:sz w:val="20"/>
                <w:szCs w:val="20"/>
              </w:rPr>
              <w:t>-0.45</w:t>
            </w:r>
          </w:p>
        </w:tc>
        <w:tc>
          <w:tcPr>
            <w:tcW w:w="363" w:type="pct"/>
            <w:tcBorders>
              <w:bottom w:val="single" w:sz="4" w:space="0" w:color="auto"/>
            </w:tcBorders>
            <w:shd w:val="clear" w:color="auto" w:fill="auto"/>
            <w:noWrap/>
            <w:vAlign w:val="bottom"/>
            <w:hideMark/>
          </w:tcPr>
          <w:p w14:paraId="142F53F3" w14:textId="77777777" w:rsidR="0035380D" w:rsidRPr="00D26C28" w:rsidRDefault="0035380D" w:rsidP="00B6548B">
            <w:pPr>
              <w:jc w:val="center"/>
              <w:rPr>
                <w:color w:val="000000" w:themeColor="text1"/>
                <w:sz w:val="20"/>
                <w:szCs w:val="20"/>
              </w:rPr>
            </w:pPr>
            <w:r w:rsidRPr="00D26C28">
              <w:rPr>
                <w:color w:val="000000" w:themeColor="text1"/>
                <w:sz w:val="20"/>
                <w:szCs w:val="20"/>
              </w:rPr>
              <w:t>-0.31</w:t>
            </w:r>
          </w:p>
        </w:tc>
        <w:tc>
          <w:tcPr>
            <w:tcW w:w="363" w:type="pct"/>
            <w:tcBorders>
              <w:bottom w:val="single" w:sz="4" w:space="0" w:color="auto"/>
            </w:tcBorders>
            <w:shd w:val="clear" w:color="auto" w:fill="auto"/>
            <w:noWrap/>
            <w:vAlign w:val="bottom"/>
            <w:hideMark/>
          </w:tcPr>
          <w:p w14:paraId="76B43ADC" w14:textId="77777777" w:rsidR="0035380D" w:rsidRPr="00D26C28" w:rsidRDefault="0035380D" w:rsidP="00B6548B">
            <w:pPr>
              <w:jc w:val="center"/>
              <w:rPr>
                <w:color w:val="000000" w:themeColor="text1"/>
                <w:sz w:val="20"/>
                <w:szCs w:val="20"/>
              </w:rPr>
            </w:pPr>
            <w:r w:rsidRPr="00D26C28">
              <w:rPr>
                <w:color w:val="000000" w:themeColor="text1"/>
                <w:sz w:val="20"/>
                <w:szCs w:val="20"/>
              </w:rPr>
              <w:t>-0.50</w:t>
            </w:r>
          </w:p>
        </w:tc>
        <w:tc>
          <w:tcPr>
            <w:tcW w:w="362" w:type="pct"/>
            <w:tcBorders>
              <w:bottom w:val="single" w:sz="4" w:space="0" w:color="auto"/>
            </w:tcBorders>
            <w:shd w:val="clear" w:color="auto" w:fill="auto"/>
            <w:noWrap/>
            <w:vAlign w:val="bottom"/>
            <w:hideMark/>
          </w:tcPr>
          <w:p w14:paraId="7B4302DA" w14:textId="77777777" w:rsidR="0035380D" w:rsidRPr="00D26C28" w:rsidRDefault="0035380D" w:rsidP="00B6548B">
            <w:pPr>
              <w:jc w:val="center"/>
              <w:rPr>
                <w:color w:val="000000" w:themeColor="text1"/>
                <w:sz w:val="20"/>
                <w:szCs w:val="20"/>
              </w:rPr>
            </w:pPr>
            <w:r w:rsidRPr="00D26C28">
              <w:rPr>
                <w:color w:val="000000" w:themeColor="text1"/>
                <w:sz w:val="20"/>
                <w:szCs w:val="20"/>
              </w:rPr>
              <w:t>-0.51</w:t>
            </w:r>
          </w:p>
        </w:tc>
      </w:tr>
    </w:tbl>
    <w:p w14:paraId="7D441B3F" w14:textId="77777777" w:rsidR="0035380D" w:rsidRPr="00D26C28" w:rsidRDefault="0035380D" w:rsidP="00A17D4F">
      <w:pPr>
        <w:shd w:val="clear" w:color="auto" w:fill="FFFFFF"/>
        <w:spacing w:after="120" w:line="293" w:lineRule="atLeast"/>
        <w:jc w:val="both"/>
        <w:rPr>
          <w:i/>
          <w:color w:val="000000" w:themeColor="text1"/>
          <w:sz w:val="22"/>
          <w:szCs w:val="22"/>
        </w:rPr>
        <w:sectPr w:rsidR="0035380D" w:rsidRPr="00D26C28" w:rsidSect="0035380D">
          <w:pgSz w:w="16840" w:h="11900" w:orient="landscape"/>
          <w:pgMar w:top="1440" w:right="1440" w:bottom="1440" w:left="1440" w:header="708" w:footer="708" w:gutter="0"/>
          <w:cols w:space="708"/>
          <w:docGrid w:linePitch="360"/>
        </w:sectPr>
      </w:pPr>
    </w:p>
    <w:p w14:paraId="41F47F6C" w14:textId="77777777" w:rsidR="0035380D" w:rsidRPr="00D26C28" w:rsidRDefault="0035380D" w:rsidP="0066659A">
      <w:pPr>
        <w:shd w:val="clear" w:color="auto" w:fill="FFFFFF"/>
        <w:contextualSpacing/>
        <w:jc w:val="both"/>
        <w:rPr>
          <w:b/>
          <w:bCs/>
          <w:color w:val="000000" w:themeColor="text1"/>
          <w:sz w:val="22"/>
          <w:szCs w:val="22"/>
        </w:rPr>
      </w:pPr>
      <w:r w:rsidRPr="00D26C28">
        <w:rPr>
          <w:b/>
          <w:bCs/>
          <w:color w:val="000000" w:themeColor="text1"/>
          <w:sz w:val="22"/>
          <w:szCs w:val="22"/>
        </w:rPr>
        <w:lastRenderedPageBreak/>
        <w:t>Comment 3:</w:t>
      </w:r>
    </w:p>
    <w:p w14:paraId="04DD34AC" w14:textId="77777777" w:rsidR="0066659A" w:rsidRPr="00D26C28" w:rsidRDefault="0066659A" w:rsidP="0066659A">
      <w:pPr>
        <w:shd w:val="clear" w:color="auto" w:fill="FFFFFF"/>
        <w:contextualSpacing/>
        <w:jc w:val="both"/>
        <w:rPr>
          <w:i/>
          <w:color w:val="000000" w:themeColor="text1"/>
        </w:rPr>
      </w:pPr>
    </w:p>
    <w:p w14:paraId="5BC925DA" w14:textId="726AC38F" w:rsidR="0035380D" w:rsidRPr="00D26C28" w:rsidRDefault="0035380D" w:rsidP="0066659A">
      <w:pPr>
        <w:shd w:val="clear" w:color="auto" w:fill="FFFFFF"/>
        <w:contextualSpacing/>
        <w:jc w:val="both"/>
        <w:rPr>
          <w:i/>
          <w:color w:val="000000" w:themeColor="text1"/>
          <w:sz w:val="22"/>
          <w:szCs w:val="22"/>
        </w:rPr>
      </w:pPr>
      <w:r w:rsidRPr="00D26C28">
        <w:rPr>
          <w:i/>
          <w:color w:val="000000" w:themeColor="text1"/>
          <w:sz w:val="22"/>
          <w:szCs w:val="22"/>
        </w:rPr>
        <w:t> A main difficulty to conduct this study is to decide how to integrate or combine existing investment strategies.  The potential number of combinations is unlimited, and there is not a clear reason to choose one specific investment strategy other than it worked well in the past.  This manuscript proposes three methods of integration, that occasionally yield different results (see Table 2 and 4).  Furthermore, in the process the authors discard alternatives because they do not work:</w:t>
      </w:r>
    </w:p>
    <w:p w14:paraId="4EBE114F" w14:textId="77777777" w:rsidR="0035380D" w:rsidRPr="00D26C28" w:rsidRDefault="0035380D" w:rsidP="0066659A">
      <w:pPr>
        <w:shd w:val="clear" w:color="auto" w:fill="FFFFFF"/>
        <w:ind w:left="810"/>
        <w:contextualSpacing/>
        <w:jc w:val="both"/>
        <w:rPr>
          <w:i/>
          <w:color w:val="000000" w:themeColor="text1"/>
          <w:sz w:val="22"/>
          <w:szCs w:val="22"/>
        </w:rPr>
      </w:pPr>
      <w:r w:rsidRPr="00D26C28">
        <w:rPr>
          <w:i/>
          <w:color w:val="000000" w:themeColor="text1"/>
          <w:sz w:val="22"/>
          <w:szCs w:val="22"/>
        </w:rPr>
        <w:t>·            In foot note 9: </w:t>
      </w:r>
      <w:r w:rsidRPr="00D26C28">
        <w:rPr>
          <w:i/>
          <w:iCs/>
          <w:color w:val="000000" w:themeColor="text1"/>
          <w:sz w:val="22"/>
          <w:szCs w:val="22"/>
        </w:rPr>
        <w:t>“A fourth method of integration, ESG momentum (i.e. changes in ESG ratings), similar to the second method outlined in Melas, Nagy and Kulkarni (2018) was also investigated. We fail to find significant returns after integrating ESG momentum into quality, minimum volatility, momentum, value and size strategies”.</w:t>
      </w:r>
    </w:p>
    <w:p w14:paraId="6CAAD9DD" w14:textId="77777777" w:rsidR="0035380D" w:rsidRPr="00D26C28" w:rsidRDefault="0035380D" w:rsidP="0066659A">
      <w:pPr>
        <w:shd w:val="clear" w:color="auto" w:fill="FFFFFF"/>
        <w:ind w:left="810"/>
        <w:contextualSpacing/>
        <w:jc w:val="both"/>
        <w:rPr>
          <w:i/>
          <w:color w:val="000000" w:themeColor="text1"/>
          <w:sz w:val="22"/>
          <w:szCs w:val="22"/>
        </w:rPr>
      </w:pPr>
      <w:r w:rsidRPr="00D26C28">
        <w:rPr>
          <w:i/>
          <w:color w:val="000000" w:themeColor="text1"/>
          <w:sz w:val="22"/>
          <w:szCs w:val="22"/>
        </w:rPr>
        <w:t>·            In page 14 </w:t>
      </w:r>
      <w:r w:rsidRPr="00D26C28">
        <w:rPr>
          <w:i/>
          <w:iCs/>
          <w:color w:val="000000" w:themeColor="text1"/>
          <w:sz w:val="22"/>
          <w:szCs w:val="22"/>
        </w:rPr>
        <w:t>“Since minimum volatility and value strategies do not report statistically significant returns before or after integration, we focus on quality, momentum and size for the remainder of the</w:t>
      </w:r>
      <w:r w:rsidRPr="00D26C28">
        <w:rPr>
          <w:i/>
          <w:iCs/>
          <w:color w:val="000000" w:themeColor="text1"/>
          <w:spacing w:val="-3"/>
          <w:sz w:val="22"/>
          <w:szCs w:val="22"/>
        </w:rPr>
        <w:t> </w:t>
      </w:r>
      <w:r w:rsidRPr="00D26C28">
        <w:rPr>
          <w:i/>
          <w:iCs/>
          <w:color w:val="000000" w:themeColor="text1"/>
          <w:sz w:val="22"/>
          <w:szCs w:val="22"/>
        </w:rPr>
        <w:t>paper”</w:t>
      </w:r>
      <w:r w:rsidRPr="00D26C28">
        <w:rPr>
          <w:i/>
          <w:color w:val="000000" w:themeColor="text1"/>
          <w:sz w:val="22"/>
          <w:szCs w:val="22"/>
        </w:rPr>
        <w:t>.  </w:t>
      </w:r>
    </w:p>
    <w:p w14:paraId="7174EF24" w14:textId="77777777" w:rsidR="0035380D" w:rsidRPr="00D26C28" w:rsidRDefault="0035380D" w:rsidP="0066659A">
      <w:pPr>
        <w:shd w:val="clear" w:color="auto" w:fill="FFFFFF"/>
        <w:contextualSpacing/>
        <w:jc w:val="both"/>
        <w:rPr>
          <w:i/>
          <w:color w:val="000000" w:themeColor="text1"/>
          <w:sz w:val="22"/>
          <w:szCs w:val="22"/>
        </w:rPr>
      </w:pPr>
      <w:r w:rsidRPr="00D26C28">
        <w:rPr>
          <w:i/>
          <w:color w:val="000000" w:themeColor="text1"/>
          <w:sz w:val="22"/>
          <w:szCs w:val="22"/>
        </w:rPr>
        <w:t>The authors also acknowledge, in footnote 10, that the choices of specific benchmarks is arbitrary, and mention that they conduct robustness checks using alternative benchmarks. Of special relevance, given the good performance of the third method, is the construction of M3.  The authors combine</w:t>
      </w:r>
      <w:r w:rsidRPr="00D26C28">
        <w:rPr>
          <w:i/>
          <w:color w:val="000000" w:themeColor="text1"/>
          <w:spacing w:val="-10"/>
          <w:sz w:val="22"/>
          <w:szCs w:val="22"/>
        </w:rPr>
        <w:t> </w:t>
      </w:r>
      <w:r w:rsidRPr="00D26C28">
        <w:rPr>
          <w:i/>
          <w:color w:val="000000" w:themeColor="text1"/>
          <w:sz w:val="22"/>
          <w:szCs w:val="22"/>
        </w:rPr>
        <w:t>signal</w:t>
      </w:r>
      <w:r w:rsidRPr="00D26C28">
        <w:rPr>
          <w:i/>
          <w:color w:val="000000" w:themeColor="text1"/>
          <w:spacing w:val="-11"/>
          <w:sz w:val="22"/>
          <w:szCs w:val="22"/>
        </w:rPr>
        <w:t> </w:t>
      </w:r>
      <w:r w:rsidRPr="00D26C28">
        <w:rPr>
          <w:i/>
          <w:color w:val="000000" w:themeColor="text1"/>
          <w:sz w:val="22"/>
          <w:szCs w:val="22"/>
        </w:rPr>
        <w:t>for</w:t>
      </w:r>
      <w:r w:rsidRPr="00D26C28">
        <w:rPr>
          <w:i/>
          <w:color w:val="000000" w:themeColor="text1"/>
          <w:spacing w:val="-11"/>
          <w:sz w:val="22"/>
          <w:szCs w:val="22"/>
        </w:rPr>
        <w:t> </w:t>
      </w:r>
      <w:r w:rsidRPr="00D26C28">
        <w:rPr>
          <w:i/>
          <w:color w:val="000000" w:themeColor="text1"/>
          <w:sz w:val="22"/>
          <w:szCs w:val="22"/>
        </w:rPr>
        <w:t>each</w:t>
      </w:r>
      <w:r w:rsidRPr="00D26C28">
        <w:rPr>
          <w:i/>
          <w:color w:val="000000" w:themeColor="text1"/>
          <w:spacing w:val="-10"/>
          <w:sz w:val="22"/>
          <w:szCs w:val="22"/>
        </w:rPr>
        <w:t> </w:t>
      </w:r>
      <w:r w:rsidRPr="00D26C28">
        <w:rPr>
          <w:i/>
          <w:color w:val="000000" w:themeColor="text1"/>
          <w:sz w:val="22"/>
          <w:szCs w:val="22"/>
        </w:rPr>
        <w:t>stock</w:t>
      </w:r>
      <w:r w:rsidRPr="00D26C28">
        <w:rPr>
          <w:i/>
          <w:color w:val="000000" w:themeColor="text1"/>
          <w:spacing w:val="-11"/>
          <w:sz w:val="22"/>
          <w:szCs w:val="22"/>
        </w:rPr>
        <w:t> </w:t>
      </w:r>
      <w:r w:rsidRPr="00D26C28">
        <w:rPr>
          <w:i/>
          <w:iCs/>
          <w:color w:val="000000" w:themeColor="text1"/>
          <w:sz w:val="22"/>
          <w:szCs w:val="22"/>
        </w:rPr>
        <w:t>i</w:t>
      </w:r>
      <w:r w:rsidRPr="00D26C28">
        <w:rPr>
          <w:i/>
          <w:iCs/>
          <w:color w:val="000000" w:themeColor="text1"/>
          <w:spacing w:val="-12"/>
          <w:sz w:val="22"/>
          <w:szCs w:val="22"/>
        </w:rPr>
        <w:t> </w:t>
      </w:r>
      <w:r w:rsidRPr="00D26C28">
        <w:rPr>
          <w:i/>
          <w:color w:val="000000" w:themeColor="text1"/>
          <w:sz w:val="22"/>
          <w:szCs w:val="22"/>
        </w:rPr>
        <w:t>as: [0.5 × ESG_score</w:t>
      </w:r>
      <w:r w:rsidRPr="00D26C28">
        <w:rPr>
          <w:i/>
          <w:iCs/>
          <w:color w:val="000000" w:themeColor="text1"/>
          <w:sz w:val="22"/>
          <w:szCs w:val="22"/>
        </w:rPr>
        <w:t>i </w:t>
      </w:r>
      <w:r w:rsidRPr="00D26C28">
        <w:rPr>
          <w:i/>
          <w:color w:val="000000" w:themeColor="text1"/>
          <w:sz w:val="22"/>
          <w:szCs w:val="22"/>
        </w:rPr>
        <w:t>+ 0.5 × Signal_score</w:t>
      </w:r>
      <w:r w:rsidRPr="00D26C28">
        <w:rPr>
          <w:i/>
          <w:iCs/>
          <w:color w:val="000000" w:themeColor="text1"/>
          <w:sz w:val="22"/>
          <w:szCs w:val="22"/>
        </w:rPr>
        <w:t>i</w:t>
      </w:r>
      <w:r w:rsidRPr="00D26C28">
        <w:rPr>
          <w:i/>
          <w:color w:val="000000" w:themeColor="text1"/>
          <w:sz w:val="22"/>
          <w:szCs w:val="22"/>
        </w:rPr>
        <w:t>].  The authors acknowledge the subjectivity in choosing this 50-50 weighting, and they explain that “we assign alternative weightings (0.1 – 0.9) to ESG scores relative to factor signals under M3. The results remain qualitatively similar, however, the performance is generally weaker when higher weightings are assigned to ESG scores.” </w:t>
      </w:r>
    </w:p>
    <w:p w14:paraId="2E071BA9" w14:textId="32ADB109" w:rsidR="0035380D" w:rsidRPr="00D26C28" w:rsidRDefault="0035380D" w:rsidP="0066659A">
      <w:pPr>
        <w:shd w:val="clear" w:color="auto" w:fill="FFFFFF"/>
        <w:ind w:firstLine="720"/>
        <w:contextualSpacing/>
        <w:jc w:val="both"/>
        <w:rPr>
          <w:i/>
          <w:color w:val="000000" w:themeColor="text1"/>
          <w:sz w:val="22"/>
          <w:szCs w:val="22"/>
        </w:rPr>
      </w:pPr>
      <w:r w:rsidRPr="00D26C28">
        <w:rPr>
          <w:i/>
          <w:color w:val="000000" w:themeColor="text1"/>
          <w:sz w:val="22"/>
          <w:szCs w:val="22"/>
        </w:rPr>
        <w:t>An interested reader may wonder, why did the authors chose to report the results using 50-50 weighs?, how weak are the results when using different weights?, why do the results become weaker?, Is there a non-subjective criteria to choose these weights?</w:t>
      </w:r>
    </w:p>
    <w:p w14:paraId="20D86F57" w14:textId="353A575E" w:rsidR="00FD2F27" w:rsidRPr="00D26C28" w:rsidRDefault="00FD2F27" w:rsidP="0066659A">
      <w:pPr>
        <w:shd w:val="clear" w:color="auto" w:fill="FFFFFF"/>
        <w:ind w:firstLine="720"/>
        <w:contextualSpacing/>
        <w:jc w:val="both"/>
        <w:rPr>
          <w:i/>
          <w:color w:val="000000" w:themeColor="text1"/>
          <w:sz w:val="22"/>
          <w:szCs w:val="22"/>
        </w:rPr>
      </w:pPr>
      <w:r w:rsidRPr="00D26C28">
        <w:rPr>
          <w:i/>
          <w:color w:val="000000" w:themeColor="text1"/>
          <w:sz w:val="22"/>
          <w:szCs w:val="22"/>
        </w:rPr>
        <w:t>These comments have a common root: This type of research lacks a theoretical motivation.  Not only there is not a good reason for building portfolios based on terciles, instead of quintiles, etc, but there is also not a good justification for not using a combination of the factors, or changing these strategies overtime.</w:t>
      </w:r>
      <w:bookmarkStart w:id="3" w:name="m_2893546895986280586__ftnref3"/>
      <w:r w:rsidRPr="00D26C28">
        <w:rPr>
          <w:i/>
          <w:color w:val="000000" w:themeColor="text1"/>
          <w:sz w:val="22"/>
          <w:szCs w:val="22"/>
        </w:rPr>
        <w:t>[3]</w:t>
      </w:r>
      <w:bookmarkEnd w:id="3"/>
      <w:r w:rsidRPr="00D26C28">
        <w:rPr>
          <w:i/>
          <w:color w:val="000000" w:themeColor="text1"/>
          <w:sz w:val="22"/>
          <w:szCs w:val="22"/>
        </w:rPr>
        <w:t>  The authors present several methods of integration, some of them work better than others in the sense that they produce better returns than other strategies using historical information.  This line of research involves a process of choosing the strategy that works better ex-post, and does not tell us much about the drivers of these returns, and thus about the functioning of stock markets. </w:t>
      </w:r>
    </w:p>
    <w:p w14:paraId="1A36836C" w14:textId="385C8AA5" w:rsidR="0066659A" w:rsidRPr="00D26C28" w:rsidRDefault="0066659A" w:rsidP="0066659A">
      <w:pPr>
        <w:shd w:val="clear" w:color="auto" w:fill="FFFFFF"/>
        <w:contextualSpacing/>
        <w:jc w:val="both"/>
        <w:rPr>
          <w:i/>
          <w:color w:val="000000" w:themeColor="text1"/>
        </w:rPr>
      </w:pPr>
    </w:p>
    <w:p w14:paraId="67BCE415" w14:textId="27ECC684" w:rsidR="004444B2" w:rsidRPr="00D26C28" w:rsidRDefault="0066659A" w:rsidP="0066659A">
      <w:pPr>
        <w:shd w:val="clear" w:color="auto" w:fill="FFFFFF"/>
        <w:contextualSpacing/>
        <w:jc w:val="both"/>
        <w:rPr>
          <w:iCs/>
          <w:color w:val="000000" w:themeColor="text1"/>
        </w:rPr>
      </w:pPr>
      <w:r w:rsidRPr="00D26C28">
        <w:rPr>
          <w:iCs/>
          <w:color w:val="000000" w:themeColor="text1"/>
        </w:rPr>
        <w:t>This comment is well</w:t>
      </w:r>
      <w:r w:rsidR="00046E27" w:rsidRPr="00D26C28">
        <w:rPr>
          <w:iCs/>
          <w:color w:val="000000" w:themeColor="text1"/>
        </w:rPr>
        <w:t>-</w:t>
      </w:r>
      <w:r w:rsidRPr="00D26C28">
        <w:rPr>
          <w:iCs/>
          <w:color w:val="000000" w:themeColor="text1"/>
        </w:rPr>
        <w:t>taken.</w:t>
      </w:r>
      <w:r w:rsidR="00046E27" w:rsidRPr="00D26C28">
        <w:rPr>
          <w:iCs/>
          <w:color w:val="000000" w:themeColor="text1"/>
        </w:rPr>
        <w:t xml:space="preserve"> Once again, we wish to think the referee for giving us the opportunity to think deeply again about “sustainable factor investing”.</w:t>
      </w:r>
      <w:r w:rsidR="004444B2" w:rsidRPr="00D26C28">
        <w:rPr>
          <w:iCs/>
          <w:color w:val="000000" w:themeColor="text1"/>
        </w:rPr>
        <w:t xml:space="preserve"> In summary, the referee has raised three issues including </w:t>
      </w:r>
      <w:r w:rsidR="004444B2" w:rsidRPr="00D26C28">
        <w:rPr>
          <w:i/>
          <w:color w:val="000000" w:themeColor="text1"/>
        </w:rPr>
        <w:t>i</w:t>
      </w:r>
      <w:r w:rsidR="004444B2" w:rsidRPr="00D26C28">
        <w:rPr>
          <w:iCs/>
          <w:color w:val="000000" w:themeColor="text1"/>
        </w:rPr>
        <w:t xml:space="preserve">) the weighting between factor and ESG scores; </w:t>
      </w:r>
      <w:r w:rsidR="004444B2" w:rsidRPr="00D26C28">
        <w:rPr>
          <w:i/>
          <w:color w:val="000000" w:themeColor="text1"/>
        </w:rPr>
        <w:t>ii</w:t>
      </w:r>
      <w:r w:rsidR="004444B2" w:rsidRPr="00D26C28">
        <w:rPr>
          <w:iCs/>
          <w:color w:val="000000" w:themeColor="text1"/>
        </w:rPr>
        <w:t xml:space="preserve">) multi-factor ESG integration; </w:t>
      </w:r>
      <w:r w:rsidR="004444B2" w:rsidRPr="00D26C28">
        <w:rPr>
          <w:i/>
          <w:color w:val="000000" w:themeColor="text1"/>
        </w:rPr>
        <w:t>iii</w:t>
      </w:r>
      <w:r w:rsidR="004444B2" w:rsidRPr="00D26C28">
        <w:rPr>
          <w:iCs/>
          <w:color w:val="000000" w:themeColor="text1"/>
        </w:rPr>
        <w:t xml:space="preserve">) </w:t>
      </w:r>
      <w:r w:rsidR="00367149" w:rsidRPr="00D26C28">
        <w:rPr>
          <w:iCs/>
          <w:color w:val="000000" w:themeColor="text1"/>
        </w:rPr>
        <w:t>theoretical</w:t>
      </w:r>
      <w:r w:rsidR="004444B2" w:rsidRPr="00D26C28">
        <w:rPr>
          <w:iCs/>
          <w:color w:val="000000" w:themeColor="text1"/>
        </w:rPr>
        <w:t xml:space="preserve"> motivation. We address each issue separately as follows.</w:t>
      </w:r>
    </w:p>
    <w:p w14:paraId="5352F9C6" w14:textId="31450E8D" w:rsidR="004444B2" w:rsidRPr="00D26C28" w:rsidRDefault="004444B2" w:rsidP="0066659A">
      <w:pPr>
        <w:shd w:val="clear" w:color="auto" w:fill="FFFFFF"/>
        <w:contextualSpacing/>
        <w:jc w:val="both"/>
        <w:rPr>
          <w:iCs/>
          <w:color w:val="000000" w:themeColor="text1"/>
        </w:rPr>
      </w:pPr>
    </w:p>
    <w:p w14:paraId="4CD4396F" w14:textId="5C92BC02" w:rsidR="00FD2F27" w:rsidRPr="00D26C28" w:rsidRDefault="004444B2" w:rsidP="0066659A">
      <w:pPr>
        <w:shd w:val="clear" w:color="auto" w:fill="FFFFFF"/>
        <w:contextualSpacing/>
        <w:jc w:val="both"/>
        <w:rPr>
          <w:color w:val="000000" w:themeColor="text1"/>
        </w:rPr>
      </w:pPr>
      <w:r w:rsidRPr="00D26C28">
        <w:rPr>
          <w:iCs/>
          <w:color w:val="000000" w:themeColor="text1"/>
        </w:rPr>
        <w:t xml:space="preserve">First, we </w:t>
      </w:r>
      <w:r w:rsidR="00287D16" w:rsidRPr="00D26C28">
        <w:rPr>
          <w:iCs/>
          <w:color w:val="000000" w:themeColor="text1"/>
        </w:rPr>
        <w:t>believe</w:t>
      </w:r>
      <w:r w:rsidRPr="00D26C28">
        <w:rPr>
          <w:iCs/>
          <w:color w:val="000000" w:themeColor="text1"/>
        </w:rPr>
        <w:t xml:space="preserve"> that a 50/50 weighting scheme is the least </w:t>
      </w:r>
      <w:r w:rsidR="00F95706" w:rsidRPr="00D26C28">
        <w:rPr>
          <w:iCs/>
          <w:color w:val="000000" w:themeColor="text1"/>
        </w:rPr>
        <w:t>arbitrary (or most non-subjective)</w:t>
      </w:r>
      <w:r w:rsidRPr="00D26C28">
        <w:rPr>
          <w:iCs/>
          <w:color w:val="000000" w:themeColor="text1"/>
        </w:rPr>
        <w:t xml:space="preserve"> </w:t>
      </w:r>
      <w:r w:rsidR="00F95706" w:rsidRPr="00D26C28">
        <w:rPr>
          <w:iCs/>
          <w:color w:val="000000" w:themeColor="text1"/>
        </w:rPr>
        <w:t>scheme</w:t>
      </w:r>
      <w:r w:rsidR="00F95706" w:rsidRPr="00D26C28">
        <w:rPr>
          <w:color w:val="000000" w:themeColor="text1"/>
        </w:rPr>
        <w:t xml:space="preserve"> that can be applied to the integration of ESG with a factor signal</w:t>
      </w:r>
      <w:r w:rsidRPr="00D26C28">
        <w:rPr>
          <w:iCs/>
          <w:color w:val="000000" w:themeColor="text1"/>
        </w:rPr>
        <w:t xml:space="preserve">. </w:t>
      </w:r>
      <w:r w:rsidR="00F95706" w:rsidRPr="00D26C28">
        <w:rPr>
          <w:iCs/>
          <w:color w:val="000000" w:themeColor="text1"/>
        </w:rPr>
        <w:t>This is because</w:t>
      </w:r>
      <w:r w:rsidRPr="00D26C28">
        <w:rPr>
          <w:iCs/>
          <w:color w:val="000000" w:themeColor="text1"/>
        </w:rPr>
        <w:t xml:space="preserve"> </w:t>
      </w:r>
      <w:r w:rsidR="00F95706" w:rsidRPr="00D26C28">
        <w:rPr>
          <w:iCs/>
          <w:color w:val="000000" w:themeColor="text1"/>
        </w:rPr>
        <w:t xml:space="preserve">unlike </w:t>
      </w:r>
      <w:r w:rsidRPr="00D26C28">
        <w:rPr>
          <w:iCs/>
          <w:color w:val="000000" w:themeColor="text1"/>
        </w:rPr>
        <w:t>any other weight</w:t>
      </w:r>
      <w:r w:rsidR="0076055A" w:rsidRPr="00D26C28">
        <w:rPr>
          <w:iCs/>
          <w:color w:val="000000" w:themeColor="text1"/>
        </w:rPr>
        <w:t>ing combinations</w:t>
      </w:r>
      <w:r w:rsidRPr="00D26C28">
        <w:rPr>
          <w:iCs/>
          <w:color w:val="000000" w:themeColor="text1"/>
        </w:rPr>
        <w:t xml:space="preserve">, an equally weighted signal implies that one does not take </w:t>
      </w:r>
      <w:r w:rsidR="00F95706" w:rsidRPr="00D26C28">
        <w:rPr>
          <w:iCs/>
          <w:color w:val="000000" w:themeColor="text1"/>
        </w:rPr>
        <w:t>any</w:t>
      </w:r>
      <w:r w:rsidRPr="00D26C28">
        <w:rPr>
          <w:iCs/>
          <w:color w:val="000000" w:themeColor="text1"/>
        </w:rPr>
        <w:t xml:space="preserve"> stand on the information being weighted.</w:t>
      </w:r>
      <w:r w:rsidR="00F95706" w:rsidRPr="00D26C28">
        <w:rPr>
          <w:iCs/>
          <w:color w:val="000000" w:themeColor="text1"/>
        </w:rPr>
        <w:t xml:space="preserve"> </w:t>
      </w:r>
      <w:r w:rsidR="0076055A" w:rsidRPr="00D26C28">
        <w:rPr>
          <w:iCs/>
          <w:color w:val="000000" w:themeColor="text1"/>
        </w:rPr>
        <w:t>Another</w:t>
      </w:r>
      <w:r w:rsidR="00F95706" w:rsidRPr="00D26C28">
        <w:rPr>
          <w:iCs/>
          <w:color w:val="000000" w:themeColor="text1"/>
        </w:rPr>
        <w:t xml:space="preserve"> reason why 50/50 </w:t>
      </w:r>
      <w:r w:rsidR="0076055A" w:rsidRPr="00D26C28">
        <w:rPr>
          <w:iCs/>
          <w:color w:val="000000" w:themeColor="text1"/>
        </w:rPr>
        <w:t>is</w:t>
      </w:r>
      <w:r w:rsidR="00F95706" w:rsidRPr="00D26C28">
        <w:rPr>
          <w:iCs/>
          <w:color w:val="000000" w:themeColor="text1"/>
        </w:rPr>
        <w:t xml:space="preserve"> preferred is that previous studies have found that a naïve 1/N strategy always </w:t>
      </w:r>
      <w:r w:rsidR="00F95706" w:rsidRPr="00D26C28">
        <w:rPr>
          <w:color w:val="000000" w:themeColor="text1"/>
        </w:rPr>
        <w:t>outperforms mean-variance optimization and its extensions in terms of Sharpe ratio, certainty-equivalent return, or turnover (</w:t>
      </w:r>
      <w:r w:rsidR="00FD2F27" w:rsidRPr="00D26C28">
        <w:rPr>
          <w:iCs/>
          <w:noProof/>
          <w:color w:val="000000"/>
          <w:shd w:val="clear" w:color="auto" w:fill="FFFFFF"/>
        </w:rPr>
        <w:t>DeMiguel, Garlappi &amp; Uppal</w:t>
      </w:r>
      <w:r w:rsidR="00F95706" w:rsidRPr="00D26C28">
        <w:rPr>
          <w:iCs/>
          <w:noProof/>
          <w:color w:val="000000"/>
          <w:shd w:val="clear" w:color="auto" w:fill="FFFFFF"/>
        </w:rPr>
        <w:t xml:space="preserve">, </w:t>
      </w:r>
      <w:r w:rsidR="00FD2F27" w:rsidRPr="00D26C28">
        <w:rPr>
          <w:iCs/>
          <w:noProof/>
          <w:color w:val="000000"/>
          <w:shd w:val="clear" w:color="auto" w:fill="FFFFFF"/>
        </w:rPr>
        <w:t>2007)</w:t>
      </w:r>
      <w:r w:rsidR="00F95706" w:rsidRPr="00D26C28">
        <w:rPr>
          <w:iCs/>
          <w:noProof/>
          <w:color w:val="000000"/>
          <w:shd w:val="clear" w:color="auto" w:fill="FFFFFF"/>
        </w:rPr>
        <w:t>.</w:t>
      </w:r>
      <w:r w:rsidR="00F95706" w:rsidRPr="00D26C28">
        <w:rPr>
          <w:color w:val="000000" w:themeColor="text1"/>
        </w:rPr>
        <w:t xml:space="preserve"> However, we </w:t>
      </w:r>
      <w:r w:rsidR="00182AA1" w:rsidRPr="00D26C28">
        <w:rPr>
          <w:color w:val="000000" w:themeColor="text1"/>
        </w:rPr>
        <w:t>have</w:t>
      </w:r>
      <w:r w:rsidR="00F95706" w:rsidRPr="00D26C28">
        <w:rPr>
          <w:color w:val="000000" w:themeColor="text1"/>
        </w:rPr>
        <w:t xml:space="preserve"> computed </w:t>
      </w:r>
      <w:r w:rsidR="009D30E0" w:rsidRPr="00D26C28">
        <w:rPr>
          <w:color w:val="000000" w:themeColor="text1"/>
        </w:rPr>
        <w:t xml:space="preserve">the results based on </w:t>
      </w:r>
      <w:r w:rsidR="00F95706" w:rsidRPr="00D26C28">
        <w:rPr>
          <w:color w:val="000000" w:themeColor="text1"/>
        </w:rPr>
        <w:t>alternative weight</w:t>
      </w:r>
      <w:r w:rsidR="00175A72" w:rsidRPr="00D26C28">
        <w:rPr>
          <w:color w:val="000000" w:themeColor="text1"/>
        </w:rPr>
        <w:t>s</w:t>
      </w:r>
      <w:r w:rsidR="00F95706" w:rsidRPr="00D26C28">
        <w:rPr>
          <w:color w:val="000000" w:themeColor="text1"/>
        </w:rPr>
        <w:t xml:space="preserve"> as a robustness test (not reported in the manuscript). For the referee’s information,</w:t>
      </w:r>
      <w:r w:rsidR="00175A72" w:rsidRPr="00D26C28">
        <w:rPr>
          <w:color w:val="000000" w:themeColor="text1"/>
        </w:rPr>
        <w:t xml:space="preserve"> we plot these results as below in Figure I, where Panels A, B and C represent the returns, </w:t>
      </w:r>
      <w:r w:rsidR="00175A72" w:rsidRPr="00D26C28">
        <w:rPr>
          <w:i/>
          <w:iCs/>
          <w:color w:val="000000" w:themeColor="text1"/>
        </w:rPr>
        <w:t>t</w:t>
      </w:r>
      <w:r w:rsidR="00175A72" w:rsidRPr="00D26C28">
        <w:rPr>
          <w:color w:val="000000" w:themeColor="text1"/>
        </w:rPr>
        <w:t xml:space="preserve">-statistics and Sharpe ratios </w:t>
      </w:r>
      <w:r w:rsidR="00741E35" w:rsidRPr="00D26C28">
        <w:rPr>
          <w:color w:val="000000" w:themeColor="text1"/>
        </w:rPr>
        <w:t xml:space="preserve">respectively, </w:t>
      </w:r>
      <w:r w:rsidR="00175A72" w:rsidRPr="00D26C28">
        <w:rPr>
          <w:color w:val="000000" w:themeColor="text1"/>
        </w:rPr>
        <w:t xml:space="preserve">when ESG scores are weighted as </w:t>
      </w:r>
      <w:r w:rsidR="00175A72" w:rsidRPr="00D26C28">
        <w:rPr>
          <w:i/>
          <w:iCs/>
          <w:color w:val="000000" w:themeColor="text1"/>
        </w:rPr>
        <w:t>w</w:t>
      </w:r>
      <w:r w:rsidR="00182AA1" w:rsidRPr="00D26C28">
        <w:rPr>
          <w:color w:val="000000" w:themeColor="text1"/>
        </w:rPr>
        <w:t>={</w:t>
      </w:r>
      <w:r w:rsidR="00175A72" w:rsidRPr="00D26C28">
        <w:rPr>
          <w:color w:val="000000" w:themeColor="text1"/>
        </w:rPr>
        <w:t>0.1</w:t>
      </w:r>
      <w:r w:rsidR="00182AA1" w:rsidRPr="00D26C28">
        <w:rPr>
          <w:color w:val="000000" w:themeColor="text1"/>
        </w:rPr>
        <w:t>, 0.2…0.9</w:t>
      </w:r>
      <w:r w:rsidR="00907D7A" w:rsidRPr="00D26C28">
        <w:rPr>
          <w:color w:val="000000" w:themeColor="text1"/>
        </w:rPr>
        <w:t>}</w:t>
      </w:r>
      <w:r w:rsidR="00175A72" w:rsidRPr="00D26C28">
        <w:rPr>
          <w:color w:val="000000" w:themeColor="text1"/>
        </w:rPr>
        <w:t xml:space="preserve"> versus the factor signal</w:t>
      </w:r>
      <w:r w:rsidR="00182AA1" w:rsidRPr="00D26C28">
        <w:rPr>
          <w:color w:val="000000" w:themeColor="text1"/>
        </w:rPr>
        <w:t xml:space="preserve">. </w:t>
      </w:r>
      <w:r w:rsidR="005D20F4" w:rsidRPr="00D26C28">
        <w:rPr>
          <w:color w:val="000000" w:themeColor="text1"/>
        </w:rPr>
        <w:t xml:space="preserve">The returns for </w:t>
      </w:r>
      <w:r w:rsidR="00375B30" w:rsidRPr="00D26C28">
        <w:rPr>
          <w:color w:val="000000" w:themeColor="text1"/>
        </w:rPr>
        <w:t xml:space="preserve">quality and momentum </w:t>
      </w:r>
      <w:r w:rsidR="009D30E0" w:rsidRPr="00D26C28">
        <w:rPr>
          <w:color w:val="000000" w:themeColor="text1"/>
        </w:rPr>
        <w:t xml:space="preserve">range </w:t>
      </w:r>
      <w:r w:rsidR="00684468" w:rsidRPr="00D26C28">
        <w:rPr>
          <w:color w:val="000000" w:themeColor="text1"/>
        </w:rPr>
        <w:t xml:space="preserve">between 1-2% </w:t>
      </w:r>
      <w:r w:rsidR="008C1951" w:rsidRPr="00D26C28">
        <w:rPr>
          <w:color w:val="000000" w:themeColor="text1"/>
        </w:rPr>
        <w:t>per month across weighting schemes</w:t>
      </w:r>
      <w:r w:rsidR="007E651E" w:rsidRPr="00D26C28">
        <w:rPr>
          <w:color w:val="000000" w:themeColor="text1"/>
        </w:rPr>
        <w:t xml:space="preserve">, with </w:t>
      </w:r>
      <w:r w:rsidR="007E651E" w:rsidRPr="00D26C28">
        <w:rPr>
          <w:i/>
          <w:iCs/>
          <w:color w:val="000000" w:themeColor="text1"/>
        </w:rPr>
        <w:t>t</w:t>
      </w:r>
      <w:r w:rsidR="007E651E" w:rsidRPr="00D26C28">
        <w:rPr>
          <w:color w:val="000000" w:themeColor="text1"/>
        </w:rPr>
        <w:t xml:space="preserve">-stats and returns increasing </w:t>
      </w:r>
      <w:r w:rsidR="00954FB4" w:rsidRPr="00D26C28">
        <w:rPr>
          <w:color w:val="000000" w:themeColor="text1"/>
        </w:rPr>
        <w:t xml:space="preserve">(decreasing) </w:t>
      </w:r>
      <w:r w:rsidR="007E651E" w:rsidRPr="00D26C28">
        <w:rPr>
          <w:color w:val="000000" w:themeColor="text1"/>
        </w:rPr>
        <w:t>for momentum</w:t>
      </w:r>
      <w:r w:rsidR="00954FB4" w:rsidRPr="00D26C28">
        <w:rPr>
          <w:color w:val="000000" w:themeColor="text1"/>
        </w:rPr>
        <w:t xml:space="preserve"> (quality)</w:t>
      </w:r>
      <w:r w:rsidR="007E651E" w:rsidRPr="00D26C28">
        <w:rPr>
          <w:color w:val="000000" w:themeColor="text1"/>
        </w:rPr>
        <w:t xml:space="preserve"> when higher convicted to </w:t>
      </w:r>
      <w:r w:rsidR="00954FB4" w:rsidRPr="00D26C28">
        <w:rPr>
          <w:color w:val="000000" w:themeColor="text1"/>
        </w:rPr>
        <w:t>ESG</w:t>
      </w:r>
      <w:r w:rsidR="00EB4D4D" w:rsidRPr="00D26C28">
        <w:rPr>
          <w:color w:val="000000" w:themeColor="text1"/>
        </w:rPr>
        <w:t>.</w:t>
      </w:r>
      <w:r w:rsidR="00741E35" w:rsidRPr="00D26C28">
        <w:rPr>
          <w:color w:val="000000" w:themeColor="text1"/>
        </w:rPr>
        <w:t xml:space="preserve"> For precision, </w:t>
      </w:r>
      <w:r w:rsidR="002B21B9" w:rsidRPr="00D26C28">
        <w:rPr>
          <w:color w:val="000000" w:themeColor="text1"/>
        </w:rPr>
        <w:t>we</w:t>
      </w:r>
      <w:r w:rsidR="00741E35" w:rsidRPr="00D26C28">
        <w:rPr>
          <w:color w:val="000000" w:themeColor="text1"/>
        </w:rPr>
        <w:t xml:space="preserve"> also updated footnote 13 on page 12 to reflect these discussions.</w:t>
      </w:r>
    </w:p>
    <w:p w14:paraId="5D8136BE" w14:textId="02BC9B5F" w:rsidR="003C14AC" w:rsidRPr="00D26C28" w:rsidRDefault="003C14AC" w:rsidP="002C1D66">
      <w:pPr>
        <w:shd w:val="clear" w:color="auto" w:fill="FFFFFF"/>
        <w:spacing w:after="120" w:line="293" w:lineRule="atLeast"/>
        <w:jc w:val="center"/>
        <w:rPr>
          <w:color w:val="000000" w:themeColor="text1"/>
          <w:sz w:val="22"/>
          <w:szCs w:val="22"/>
        </w:rPr>
      </w:pPr>
      <w:r w:rsidRPr="00D26C28">
        <w:rPr>
          <w:noProof/>
          <w:color w:val="000000" w:themeColor="text1"/>
          <w:lang w:val="en-GB"/>
        </w:rPr>
        <w:lastRenderedPageBreak/>
        <w:drawing>
          <wp:inline distT="0" distB="0" distL="0" distR="0" wp14:anchorId="691D5DB3" wp14:editId="641C3E54">
            <wp:extent cx="5677535" cy="2758440"/>
            <wp:effectExtent l="0" t="0" r="0" b="0"/>
            <wp:docPr id="1" name="Chart 1">
              <a:extLst xmlns:a="http://schemas.openxmlformats.org/drawingml/2006/main">
                <a:ext uri="{FF2B5EF4-FFF2-40B4-BE49-F238E27FC236}">
                  <a16:creationId xmlns:a16="http://schemas.microsoft.com/office/drawing/2014/main" id="{36ACB49B-7F69-AF46-BE04-1562E5736F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B6FBF5" w14:textId="0DE88F6C" w:rsidR="002C1D66" w:rsidRPr="00D26C28" w:rsidRDefault="002C1D66" w:rsidP="002C1D66">
      <w:pPr>
        <w:shd w:val="clear" w:color="auto" w:fill="FFFFFF"/>
        <w:spacing w:after="120" w:line="293" w:lineRule="atLeast"/>
        <w:jc w:val="center"/>
        <w:rPr>
          <w:color w:val="000000" w:themeColor="text1"/>
          <w:sz w:val="22"/>
          <w:szCs w:val="22"/>
        </w:rPr>
      </w:pPr>
      <w:r w:rsidRPr="00D26C28">
        <w:rPr>
          <w:noProof/>
          <w:color w:val="000000" w:themeColor="text1"/>
          <w:lang w:val="en-GB"/>
        </w:rPr>
        <w:drawing>
          <wp:inline distT="0" distB="0" distL="0" distR="0" wp14:anchorId="402FC426" wp14:editId="2A9019F2">
            <wp:extent cx="5654040" cy="2910840"/>
            <wp:effectExtent l="0" t="0" r="3810" b="0"/>
            <wp:docPr id="2" name="Chart 2">
              <a:extLst xmlns:a="http://schemas.openxmlformats.org/drawingml/2006/main">
                <a:ext uri="{FF2B5EF4-FFF2-40B4-BE49-F238E27FC236}">
                  <a16:creationId xmlns:a16="http://schemas.microsoft.com/office/drawing/2014/main" id="{7D188A94-FC2B-624D-8DD4-F6A510DD4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A4C05C" w14:textId="3EABC634" w:rsidR="002C1D66" w:rsidRPr="00D26C28" w:rsidRDefault="002C1D66" w:rsidP="002C1D66">
      <w:pPr>
        <w:shd w:val="clear" w:color="auto" w:fill="FFFFFF"/>
        <w:spacing w:after="120" w:line="293" w:lineRule="atLeast"/>
        <w:jc w:val="center"/>
        <w:rPr>
          <w:color w:val="000000" w:themeColor="text1"/>
          <w:sz w:val="22"/>
          <w:szCs w:val="22"/>
        </w:rPr>
      </w:pPr>
      <w:r w:rsidRPr="00D26C28">
        <w:rPr>
          <w:noProof/>
          <w:color w:val="000000" w:themeColor="text1"/>
          <w:lang w:val="en-GB"/>
        </w:rPr>
        <w:drawing>
          <wp:inline distT="0" distB="0" distL="0" distR="0" wp14:anchorId="036F71E0" wp14:editId="7540354C">
            <wp:extent cx="5568315" cy="3022600"/>
            <wp:effectExtent l="0" t="0" r="0" b="6350"/>
            <wp:docPr id="3" name="Chart 3">
              <a:extLst xmlns:a="http://schemas.openxmlformats.org/drawingml/2006/main">
                <a:ext uri="{FF2B5EF4-FFF2-40B4-BE49-F238E27FC236}">
                  <a16:creationId xmlns:a16="http://schemas.microsoft.com/office/drawing/2014/main" id="{47176A08-03D4-024B-BB86-BDD5AC8FEE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C7AA7B" w14:textId="1D948ABF" w:rsidR="00DD72A4" w:rsidRPr="00D26C28" w:rsidRDefault="0095135A" w:rsidP="00771882">
      <w:pPr>
        <w:shd w:val="clear" w:color="auto" w:fill="FFFFFF"/>
        <w:ind w:right="249"/>
        <w:contextualSpacing/>
        <w:jc w:val="both"/>
        <w:rPr>
          <w:iCs/>
          <w:noProof/>
          <w:color w:val="000000"/>
          <w:shd w:val="clear" w:color="auto" w:fill="FFFFFF"/>
        </w:rPr>
      </w:pPr>
      <w:r w:rsidRPr="00D26C28">
        <w:rPr>
          <w:color w:val="000000" w:themeColor="text1"/>
        </w:rPr>
        <w:lastRenderedPageBreak/>
        <w:t xml:space="preserve">Second, </w:t>
      </w:r>
      <w:r w:rsidR="006B6CB5" w:rsidRPr="00D26C28">
        <w:rPr>
          <w:color w:val="000000" w:themeColor="text1"/>
        </w:rPr>
        <w:t xml:space="preserve">the comment </w:t>
      </w:r>
      <w:r w:rsidR="00274C84" w:rsidRPr="00D26C28">
        <w:rPr>
          <w:color w:val="000000" w:themeColor="text1"/>
        </w:rPr>
        <w:t>on</w:t>
      </w:r>
      <w:r w:rsidR="006B6CB5" w:rsidRPr="00D26C28">
        <w:rPr>
          <w:color w:val="000000" w:themeColor="text1"/>
        </w:rPr>
        <w:t xml:space="preserve"> multi-factor integration</w:t>
      </w:r>
      <w:r w:rsidRPr="00D26C28">
        <w:rPr>
          <w:color w:val="000000" w:themeColor="text1"/>
        </w:rPr>
        <w:t xml:space="preserve"> is </w:t>
      </w:r>
      <w:r w:rsidR="006B6CB5" w:rsidRPr="00D26C28">
        <w:rPr>
          <w:color w:val="000000" w:themeColor="text1"/>
        </w:rPr>
        <w:t>well-taken.</w:t>
      </w:r>
      <w:r w:rsidR="00924B8D" w:rsidRPr="00D26C28">
        <w:rPr>
          <w:color w:val="000000" w:themeColor="text1"/>
        </w:rPr>
        <w:t xml:space="preserve"> Following the </w:t>
      </w:r>
      <w:r w:rsidR="007716D0" w:rsidRPr="00D26C28">
        <w:rPr>
          <w:color w:val="000000" w:themeColor="text1"/>
        </w:rPr>
        <w:t>suggestion</w:t>
      </w:r>
      <w:r w:rsidR="00924B8D" w:rsidRPr="00D26C28">
        <w:rPr>
          <w:color w:val="000000" w:themeColor="text1"/>
        </w:rPr>
        <w:t xml:space="preserve"> of the referee, we conduct additional tests by integrating ESG scores </w:t>
      </w:r>
      <w:r w:rsidR="00A121CA" w:rsidRPr="00D26C28">
        <w:rPr>
          <w:color w:val="000000" w:themeColor="text1"/>
        </w:rPr>
        <w:t>with multiple</w:t>
      </w:r>
      <w:r w:rsidR="003C0BB8" w:rsidRPr="00D26C28">
        <w:rPr>
          <w:color w:val="000000" w:themeColor="text1"/>
        </w:rPr>
        <w:t xml:space="preserve"> </w:t>
      </w:r>
      <w:r w:rsidR="00924B8D" w:rsidRPr="00D26C28">
        <w:rPr>
          <w:color w:val="000000" w:themeColor="text1"/>
        </w:rPr>
        <w:t>factors</w:t>
      </w:r>
      <w:r w:rsidR="00E40598" w:rsidRPr="00D26C28">
        <w:rPr>
          <w:color w:val="000000" w:themeColor="text1"/>
        </w:rPr>
        <w:t xml:space="preserve"> simultaneously</w:t>
      </w:r>
      <w:r w:rsidR="00924B8D" w:rsidRPr="00D26C28">
        <w:rPr>
          <w:color w:val="000000" w:themeColor="text1"/>
        </w:rPr>
        <w:t>.</w:t>
      </w:r>
      <w:r w:rsidR="00274C84" w:rsidRPr="00D26C28">
        <w:rPr>
          <w:color w:val="000000" w:themeColor="text1"/>
        </w:rPr>
        <w:t xml:space="preserve"> </w:t>
      </w:r>
      <w:r w:rsidRPr="00D26C28">
        <w:rPr>
          <w:color w:val="000000" w:themeColor="text1"/>
        </w:rPr>
        <w:t xml:space="preserve">Table </w:t>
      </w:r>
      <w:r w:rsidR="007716D0" w:rsidRPr="00D26C28">
        <w:rPr>
          <w:color w:val="000000" w:themeColor="text1"/>
        </w:rPr>
        <w:t>II</w:t>
      </w:r>
      <w:r w:rsidRPr="00D26C28">
        <w:rPr>
          <w:color w:val="000000" w:themeColor="text1"/>
        </w:rPr>
        <w:t xml:space="preserve"> below</w:t>
      </w:r>
      <w:r w:rsidR="006B6CB5" w:rsidRPr="00D26C28">
        <w:rPr>
          <w:color w:val="000000" w:themeColor="text1"/>
        </w:rPr>
        <w:t xml:space="preserve"> reports</w:t>
      </w:r>
      <w:r w:rsidRPr="00D26C28">
        <w:rPr>
          <w:color w:val="000000" w:themeColor="text1"/>
        </w:rPr>
        <w:t xml:space="preserve"> the</w:t>
      </w:r>
      <w:r w:rsidR="00924B8D" w:rsidRPr="00D26C28">
        <w:rPr>
          <w:color w:val="000000" w:themeColor="text1"/>
        </w:rPr>
        <w:t>se</w:t>
      </w:r>
      <w:r w:rsidRPr="00D26C28">
        <w:rPr>
          <w:color w:val="000000" w:themeColor="text1"/>
        </w:rPr>
        <w:t xml:space="preserve"> results</w:t>
      </w:r>
      <w:r w:rsidR="006B6CB5" w:rsidRPr="00D26C28">
        <w:rPr>
          <w:color w:val="000000" w:themeColor="text1"/>
        </w:rPr>
        <w:t>.</w:t>
      </w:r>
      <w:r w:rsidR="00924B8D" w:rsidRPr="00D26C28">
        <w:rPr>
          <w:color w:val="000000" w:themeColor="text1"/>
        </w:rPr>
        <w:t xml:space="preserve"> We first </w:t>
      </w:r>
      <w:r w:rsidR="00F46208" w:rsidRPr="00D26C28">
        <w:rPr>
          <w:color w:val="000000" w:themeColor="text1"/>
        </w:rPr>
        <w:t xml:space="preserve">consider </w:t>
      </w:r>
      <w:r w:rsidR="00F00DCB" w:rsidRPr="00D26C28">
        <w:rPr>
          <w:color w:val="000000" w:themeColor="text1"/>
        </w:rPr>
        <w:t>the combination of quality and momentum factors</w:t>
      </w:r>
      <w:r w:rsidR="00E76B70" w:rsidRPr="00D26C28">
        <w:rPr>
          <w:color w:val="000000" w:themeColor="text1"/>
        </w:rPr>
        <w:t xml:space="preserve"> (Panel A)</w:t>
      </w:r>
      <w:r w:rsidR="00F00DCB" w:rsidRPr="00D26C28">
        <w:rPr>
          <w:color w:val="000000" w:themeColor="text1"/>
        </w:rPr>
        <w:t xml:space="preserve"> since they report the strongest results post-ESG integration in our main tests.</w:t>
      </w:r>
      <w:r w:rsidR="00F46208" w:rsidRPr="00D26C28">
        <w:rPr>
          <w:color w:val="000000" w:themeColor="text1"/>
        </w:rPr>
        <w:t xml:space="preserve"> Subsequently, </w:t>
      </w:r>
      <w:r w:rsidR="00F00DCB" w:rsidRPr="00D26C28">
        <w:rPr>
          <w:color w:val="000000" w:themeColor="text1"/>
        </w:rPr>
        <w:t>we add the size factor</w:t>
      </w:r>
      <w:r w:rsidR="00E76B70" w:rsidRPr="00D26C28">
        <w:rPr>
          <w:color w:val="000000" w:themeColor="text1"/>
        </w:rPr>
        <w:t xml:space="preserve"> </w:t>
      </w:r>
      <w:r w:rsidR="00F76167" w:rsidRPr="00D26C28">
        <w:rPr>
          <w:color w:val="000000" w:themeColor="text1"/>
        </w:rPr>
        <w:t xml:space="preserve">to the mix </w:t>
      </w:r>
      <w:r w:rsidR="00E76B70" w:rsidRPr="00D26C28">
        <w:rPr>
          <w:color w:val="000000" w:themeColor="text1"/>
        </w:rPr>
        <w:t>in Panel B</w:t>
      </w:r>
      <w:r w:rsidR="00F00DCB" w:rsidRPr="00D26C28">
        <w:rPr>
          <w:color w:val="000000" w:themeColor="text1"/>
        </w:rPr>
        <w:t xml:space="preserve"> due to its significance (albeit being weaker)</w:t>
      </w:r>
      <w:r w:rsidR="007716D0" w:rsidRPr="00D26C28">
        <w:rPr>
          <w:color w:val="000000" w:themeColor="text1"/>
        </w:rPr>
        <w:t>.</w:t>
      </w:r>
      <w:r w:rsidR="00F00DCB" w:rsidRPr="00D26C28">
        <w:rPr>
          <w:color w:val="000000" w:themeColor="text1"/>
        </w:rPr>
        <w:t xml:space="preserve"> </w:t>
      </w:r>
      <w:r w:rsidR="007716D0" w:rsidRPr="00D26C28">
        <w:rPr>
          <w:color w:val="000000" w:themeColor="text1"/>
        </w:rPr>
        <w:t>F</w:t>
      </w:r>
      <w:r w:rsidR="00F00DCB" w:rsidRPr="00D26C28">
        <w:rPr>
          <w:color w:val="000000" w:themeColor="text1"/>
        </w:rPr>
        <w:t>inally</w:t>
      </w:r>
      <w:r w:rsidR="007716D0" w:rsidRPr="00D26C28">
        <w:rPr>
          <w:color w:val="000000" w:themeColor="text1"/>
        </w:rPr>
        <w:t>,</w:t>
      </w:r>
      <w:r w:rsidR="00F00DCB" w:rsidRPr="00D26C28">
        <w:rPr>
          <w:color w:val="000000" w:themeColor="text1"/>
        </w:rPr>
        <w:t xml:space="preserve"> </w:t>
      </w:r>
      <w:r w:rsidR="00F46208" w:rsidRPr="00D26C28">
        <w:rPr>
          <w:color w:val="000000" w:themeColor="text1"/>
        </w:rPr>
        <w:t>all factors are combined in one framework including value and minimum volatility</w:t>
      </w:r>
      <w:r w:rsidR="00E76B70" w:rsidRPr="00D26C28">
        <w:rPr>
          <w:color w:val="000000" w:themeColor="text1"/>
        </w:rPr>
        <w:t xml:space="preserve"> (Panel C)</w:t>
      </w:r>
      <w:r w:rsidR="00F46208" w:rsidRPr="00D26C28">
        <w:rPr>
          <w:color w:val="000000" w:themeColor="text1"/>
        </w:rPr>
        <w:t>.</w:t>
      </w:r>
      <w:r w:rsidR="006B6CB5" w:rsidRPr="00D26C28">
        <w:rPr>
          <w:color w:val="000000" w:themeColor="text1"/>
        </w:rPr>
        <w:t xml:space="preserve"> </w:t>
      </w:r>
      <w:r w:rsidR="00F76167" w:rsidRPr="00D26C28">
        <w:rPr>
          <w:color w:val="000000" w:themeColor="text1"/>
        </w:rPr>
        <w:t>The results in Table II reveal that</w:t>
      </w:r>
      <w:r w:rsidR="00F46208" w:rsidRPr="00D26C28">
        <w:rPr>
          <w:color w:val="000000" w:themeColor="text1"/>
        </w:rPr>
        <w:t xml:space="preserve"> </w:t>
      </w:r>
      <w:r w:rsidR="006B6CB5" w:rsidRPr="00D26C28">
        <w:rPr>
          <w:color w:val="000000" w:themeColor="text1"/>
        </w:rPr>
        <w:t>non-ESG integrated multi-factor</w:t>
      </w:r>
      <w:r w:rsidR="00F46208" w:rsidRPr="00D26C28">
        <w:rPr>
          <w:color w:val="000000" w:themeColor="text1"/>
        </w:rPr>
        <w:t xml:space="preserve"> strategies</w:t>
      </w:r>
      <w:r w:rsidR="006B6CB5" w:rsidRPr="00D26C28">
        <w:rPr>
          <w:color w:val="000000" w:themeColor="text1"/>
        </w:rPr>
        <w:t xml:space="preserve"> consistently outperform various ESG integrated methods, </w:t>
      </w:r>
      <w:r w:rsidR="00E76B70" w:rsidRPr="00D26C28">
        <w:rPr>
          <w:color w:val="000000" w:themeColor="text1"/>
        </w:rPr>
        <w:t>except for</w:t>
      </w:r>
      <w:r w:rsidR="00F00DCB" w:rsidRPr="00D26C28">
        <w:rPr>
          <w:color w:val="000000" w:themeColor="text1"/>
        </w:rPr>
        <w:t xml:space="preserve"> </w:t>
      </w:r>
      <w:r w:rsidR="00E76B70" w:rsidRPr="00D26C28">
        <w:rPr>
          <w:color w:val="000000" w:themeColor="text1"/>
        </w:rPr>
        <w:t xml:space="preserve">the </w:t>
      </w:r>
      <w:r w:rsidR="00F00DCB" w:rsidRPr="00D26C28">
        <w:rPr>
          <w:color w:val="000000" w:themeColor="text1"/>
        </w:rPr>
        <w:t>combination of all</w:t>
      </w:r>
      <w:r w:rsidR="006B6CB5" w:rsidRPr="00D26C28">
        <w:rPr>
          <w:color w:val="000000" w:themeColor="text1"/>
        </w:rPr>
        <w:t xml:space="preserve"> five factors</w:t>
      </w:r>
      <w:r w:rsidR="00E76B70" w:rsidRPr="00D26C28">
        <w:rPr>
          <w:color w:val="000000" w:themeColor="text1"/>
        </w:rPr>
        <w:t xml:space="preserve"> as it</w:t>
      </w:r>
      <w:r w:rsidR="009D4587" w:rsidRPr="00D26C28">
        <w:rPr>
          <w:color w:val="000000" w:themeColor="text1"/>
        </w:rPr>
        <w:t xml:space="preserve"> reports almost identical Sharpe ratios compared to the non-ESG integrated strategy</w:t>
      </w:r>
      <w:r w:rsidR="006B6CB5" w:rsidRPr="00D26C28">
        <w:rPr>
          <w:color w:val="000000" w:themeColor="text1"/>
        </w:rPr>
        <w:t>.</w:t>
      </w:r>
      <w:r w:rsidR="00E76B70" w:rsidRPr="00D26C28">
        <w:rPr>
          <w:color w:val="000000" w:themeColor="text1"/>
        </w:rPr>
        <w:t xml:space="preserve"> Interestingly, </w:t>
      </w:r>
      <w:r w:rsidR="00943781" w:rsidRPr="00D26C28">
        <w:rPr>
          <w:color w:val="000000" w:themeColor="text1"/>
        </w:rPr>
        <w:t>regardless of factor combination</w:t>
      </w:r>
      <w:r w:rsidR="00F76167" w:rsidRPr="00D26C28">
        <w:rPr>
          <w:color w:val="000000" w:themeColor="text1"/>
        </w:rPr>
        <w:t>,</w:t>
      </w:r>
      <w:r w:rsidR="00943781" w:rsidRPr="00D26C28">
        <w:rPr>
          <w:color w:val="000000" w:themeColor="text1"/>
        </w:rPr>
        <w:t xml:space="preserve"> a higher weighting towards ESG</w:t>
      </w:r>
      <w:r w:rsidR="00E76955" w:rsidRPr="00D26C28">
        <w:rPr>
          <w:color w:val="000000" w:themeColor="text1"/>
        </w:rPr>
        <w:t xml:space="preserve"> in the integration process consistently reduces the volatility of the strategy. However, </w:t>
      </w:r>
      <w:r w:rsidR="002B064A" w:rsidRPr="00D26C28">
        <w:rPr>
          <w:color w:val="000000" w:themeColor="text1"/>
        </w:rPr>
        <w:t>this</w:t>
      </w:r>
      <w:r w:rsidR="00E76955" w:rsidRPr="00D26C28">
        <w:rPr>
          <w:color w:val="000000" w:themeColor="text1"/>
        </w:rPr>
        <w:t xml:space="preserve"> does not translate to a higher Sharpe ratio compared to non-integrated multi-factor strategies. These results suggest that in a multi-factor setting</w:t>
      </w:r>
      <w:r w:rsidR="00692033" w:rsidRPr="00D26C28">
        <w:rPr>
          <w:color w:val="000000" w:themeColor="text1"/>
        </w:rPr>
        <w:t xml:space="preserve"> (</w:t>
      </w:r>
      <w:r w:rsidR="002B064A" w:rsidRPr="00D26C28">
        <w:rPr>
          <w:color w:val="000000" w:themeColor="text1"/>
        </w:rPr>
        <w:t xml:space="preserve">as </w:t>
      </w:r>
      <w:r w:rsidR="00692033" w:rsidRPr="00D26C28">
        <w:rPr>
          <w:color w:val="000000" w:themeColor="text1"/>
        </w:rPr>
        <w:t>in Panel C)</w:t>
      </w:r>
      <w:r w:rsidR="00E76955" w:rsidRPr="00D26C28">
        <w:rPr>
          <w:color w:val="000000" w:themeColor="text1"/>
        </w:rPr>
        <w:t>, ESG score</w:t>
      </w:r>
      <w:r w:rsidR="00692033" w:rsidRPr="00D26C28">
        <w:rPr>
          <w:color w:val="000000" w:themeColor="text1"/>
        </w:rPr>
        <w:t>s are</w:t>
      </w:r>
      <w:r w:rsidR="00E76955" w:rsidRPr="00D26C28">
        <w:rPr>
          <w:color w:val="000000" w:themeColor="text1"/>
        </w:rPr>
        <w:t xml:space="preserve"> best treated as a signal like other fundamental variable</w:t>
      </w:r>
      <w:r w:rsidR="002B064A" w:rsidRPr="00D26C28">
        <w:rPr>
          <w:color w:val="000000" w:themeColor="text1"/>
        </w:rPr>
        <w:t>s</w:t>
      </w:r>
      <w:r w:rsidR="00E76955" w:rsidRPr="00D26C28">
        <w:rPr>
          <w:color w:val="000000" w:themeColor="text1"/>
        </w:rPr>
        <w:t xml:space="preserve"> (ESG1/N)</w:t>
      </w:r>
      <w:r w:rsidR="00692033" w:rsidRPr="00D26C28">
        <w:rPr>
          <w:color w:val="000000" w:themeColor="text1"/>
        </w:rPr>
        <w:t>.</w:t>
      </w:r>
      <w:r w:rsidR="00E76955" w:rsidRPr="00D26C28">
        <w:rPr>
          <w:color w:val="000000" w:themeColor="text1"/>
        </w:rPr>
        <w:t xml:space="preserve"> </w:t>
      </w:r>
      <w:r w:rsidR="00692033" w:rsidRPr="00D26C28">
        <w:rPr>
          <w:color w:val="000000" w:themeColor="text1"/>
        </w:rPr>
        <w:t xml:space="preserve">As discussed previously, the </w:t>
      </w:r>
      <w:r w:rsidR="006B6CB5" w:rsidRPr="00D26C28">
        <w:rPr>
          <w:color w:val="000000" w:themeColor="text1"/>
        </w:rPr>
        <w:t>ESG1/N</w:t>
      </w:r>
      <w:r w:rsidR="00692033" w:rsidRPr="00D26C28">
        <w:rPr>
          <w:color w:val="000000" w:themeColor="text1"/>
        </w:rPr>
        <w:t xml:space="preserve"> approach should be</w:t>
      </w:r>
      <w:r w:rsidR="006B6CB5" w:rsidRPr="00D26C28">
        <w:rPr>
          <w:color w:val="000000" w:themeColor="text1"/>
        </w:rPr>
        <w:t xml:space="preserve"> considered </w:t>
      </w:r>
      <w:r w:rsidR="00692033" w:rsidRPr="00D26C28">
        <w:rPr>
          <w:color w:val="000000" w:themeColor="text1"/>
        </w:rPr>
        <w:t xml:space="preserve">as </w:t>
      </w:r>
      <w:r w:rsidR="006B6CB5" w:rsidRPr="00D26C28">
        <w:rPr>
          <w:color w:val="000000" w:themeColor="text1"/>
        </w:rPr>
        <w:t>the least subjective method</w:t>
      </w:r>
      <w:r w:rsidR="00692033" w:rsidRPr="00D26C28">
        <w:rPr>
          <w:color w:val="000000" w:themeColor="text1"/>
        </w:rPr>
        <w:t>. This</w:t>
      </w:r>
      <w:r w:rsidR="006B6CB5" w:rsidRPr="00D26C28">
        <w:rPr>
          <w:color w:val="000000" w:themeColor="text1"/>
        </w:rPr>
        <w:t xml:space="preserve"> is</w:t>
      </w:r>
      <w:r w:rsidR="00692033" w:rsidRPr="00D26C28">
        <w:rPr>
          <w:color w:val="000000" w:themeColor="text1"/>
        </w:rPr>
        <w:t xml:space="preserve"> also</w:t>
      </w:r>
      <w:r w:rsidR="006B6CB5" w:rsidRPr="00D26C28">
        <w:rPr>
          <w:color w:val="000000" w:themeColor="text1"/>
        </w:rPr>
        <w:t xml:space="preserve"> consistent with </w:t>
      </w:r>
      <w:r w:rsidR="006B6CB5" w:rsidRPr="00D26C28">
        <w:rPr>
          <w:iCs/>
          <w:noProof/>
          <w:color w:val="000000"/>
          <w:shd w:val="clear" w:color="auto" w:fill="FFFFFF"/>
        </w:rPr>
        <w:t xml:space="preserve">DeMiguel </w:t>
      </w:r>
      <w:r w:rsidR="00F46208" w:rsidRPr="00D26C28">
        <w:rPr>
          <w:iCs/>
          <w:noProof/>
          <w:color w:val="000000"/>
          <w:shd w:val="clear" w:color="auto" w:fill="FFFFFF"/>
        </w:rPr>
        <w:t>et al.</w:t>
      </w:r>
      <w:r w:rsidR="006B6CB5" w:rsidRPr="00D26C28">
        <w:rPr>
          <w:iCs/>
          <w:noProof/>
          <w:color w:val="000000"/>
          <w:shd w:val="clear" w:color="auto" w:fill="FFFFFF"/>
        </w:rPr>
        <w:t xml:space="preserve"> (2007).</w:t>
      </w:r>
    </w:p>
    <w:p w14:paraId="67BF09D9" w14:textId="77777777" w:rsidR="00771882" w:rsidRPr="00D26C28" w:rsidRDefault="00771882" w:rsidP="00771882">
      <w:pPr>
        <w:shd w:val="clear" w:color="auto" w:fill="FFFFFF"/>
        <w:ind w:right="249"/>
        <w:contextualSpacing/>
        <w:jc w:val="both"/>
        <w:rPr>
          <w:iCs/>
          <w:noProof/>
          <w:color w:val="000000"/>
          <w:shd w:val="clear" w:color="auto" w:fill="FFFFFF"/>
        </w:rPr>
      </w:pPr>
    </w:p>
    <w:p w14:paraId="58D52C0C" w14:textId="72454246" w:rsidR="006B6CB5" w:rsidRPr="00D26C28" w:rsidRDefault="006B6CB5" w:rsidP="006B6CB5">
      <w:pPr>
        <w:jc w:val="center"/>
        <w:rPr>
          <w:b/>
        </w:rPr>
      </w:pPr>
      <w:r w:rsidRPr="00D26C28">
        <w:rPr>
          <w:b/>
        </w:rPr>
        <w:t xml:space="preserve">Table </w:t>
      </w:r>
      <w:r w:rsidR="007716D0" w:rsidRPr="00D26C28">
        <w:rPr>
          <w:b/>
        </w:rPr>
        <w:t>II</w:t>
      </w:r>
      <w:r w:rsidRPr="00D26C28">
        <w:rPr>
          <w:b/>
        </w:rPr>
        <w:t xml:space="preserve"> </w:t>
      </w:r>
      <w:r w:rsidR="0095135A" w:rsidRPr="00D26C28">
        <w:rPr>
          <w:b/>
        </w:rPr>
        <w:t xml:space="preserve">ESG Integrated </w:t>
      </w:r>
      <w:r w:rsidRPr="00D26C28">
        <w:rPr>
          <w:b/>
        </w:rPr>
        <w:t>Multi-factors</w:t>
      </w:r>
    </w:p>
    <w:p w14:paraId="66AED1EF" w14:textId="3E4DF981" w:rsidR="006B6CB5" w:rsidRPr="00D26C28" w:rsidRDefault="006B6CB5" w:rsidP="00771882">
      <w:pPr>
        <w:shd w:val="clear" w:color="auto" w:fill="FFFFFF"/>
        <w:spacing w:after="120" w:line="276" w:lineRule="auto"/>
        <w:ind w:left="993" w:right="1082"/>
        <w:jc w:val="both"/>
        <w:rPr>
          <w:color w:val="000000" w:themeColor="text1"/>
          <w:sz w:val="18"/>
          <w:szCs w:val="18"/>
        </w:rPr>
      </w:pPr>
      <w:r w:rsidRPr="00D26C28">
        <w:rPr>
          <w:color w:val="000000" w:themeColor="text1"/>
          <w:sz w:val="18"/>
          <w:szCs w:val="18"/>
        </w:rPr>
        <w:t xml:space="preserve">This table reports the performance of standard (S), equal weighted factor and ESG integration (ESG1/N), 50% ESG weighting and 50% equal weighted factors (ESG1/2) and 75% ESG weighted and 25% equal weighted factors. For instance, in ESG1/N integrated quality and momentum, 33.33% weighting is applied to each signal. Furthermore, in ESG1/2 integrated quality, momentum and size, 50% weighting is applied to ESG and 16.67% weighting applied to remaining factors. </w:t>
      </w:r>
      <w:r w:rsidRPr="00D26C28">
        <w:rPr>
          <w:color w:val="000000" w:themeColor="text1"/>
          <w:sz w:val="18"/>
          <w:szCs w:val="18"/>
          <w:lang w:val="en-US"/>
        </w:rPr>
        <w:t xml:space="preserve">The sample period covers 2006-2016. Average monthly returns, Newey-West adjusted </w:t>
      </w:r>
      <w:r w:rsidRPr="00D26C28">
        <w:rPr>
          <w:i/>
          <w:color w:val="000000" w:themeColor="text1"/>
          <w:sz w:val="18"/>
          <w:szCs w:val="18"/>
          <w:lang w:val="en-US"/>
        </w:rPr>
        <w:t>t-</w:t>
      </w:r>
      <w:r w:rsidRPr="00D26C28">
        <w:rPr>
          <w:color w:val="000000" w:themeColor="text1"/>
          <w:sz w:val="18"/>
          <w:szCs w:val="18"/>
          <w:lang w:val="en-US"/>
        </w:rPr>
        <w:t>statistics, volatility and annualized Sharpe ratios are reported.</w:t>
      </w:r>
    </w:p>
    <w:tbl>
      <w:tblPr>
        <w:tblW w:w="3569" w:type="pct"/>
        <w:jc w:val="center"/>
        <w:tblLook w:val="04A0" w:firstRow="1" w:lastRow="0" w:firstColumn="1" w:lastColumn="0" w:noHBand="0" w:noVBand="1"/>
      </w:tblPr>
      <w:tblGrid>
        <w:gridCol w:w="1112"/>
        <w:gridCol w:w="1074"/>
        <w:gridCol w:w="285"/>
        <w:gridCol w:w="1134"/>
        <w:gridCol w:w="285"/>
        <w:gridCol w:w="1134"/>
        <w:gridCol w:w="283"/>
        <w:gridCol w:w="1131"/>
      </w:tblGrid>
      <w:tr w:rsidR="00F95706" w:rsidRPr="00D26C28" w14:paraId="421B39E1" w14:textId="77777777" w:rsidTr="00F76167">
        <w:trPr>
          <w:cantSplit/>
          <w:trHeight w:hRule="exact" w:val="255"/>
          <w:jc w:val="center"/>
        </w:trPr>
        <w:tc>
          <w:tcPr>
            <w:tcW w:w="864" w:type="pct"/>
            <w:vMerge w:val="restart"/>
            <w:tcBorders>
              <w:top w:val="single" w:sz="4" w:space="0" w:color="000000"/>
              <w:left w:val="nil"/>
              <w:right w:val="nil"/>
            </w:tcBorders>
            <w:shd w:val="clear" w:color="auto" w:fill="auto"/>
            <w:noWrap/>
            <w:vAlign w:val="bottom"/>
          </w:tcPr>
          <w:p w14:paraId="02698DDB" w14:textId="77777777" w:rsidR="00F95706" w:rsidRPr="00D26C28" w:rsidRDefault="00F95706" w:rsidP="00F95706">
            <w:pPr>
              <w:rPr>
                <w:sz w:val="16"/>
                <w:szCs w:val="16"/>
              </w:rPr>
            </w:pPr>
          </w:p>
        </w:tc>
        <w:tc>
          <w:tcPr>
            <w:tcW w:w="834" w:type="pct"/>
            <w:tcBorders>
              <w:top w:val="single" w:sz="4" w:space="0" w:color="000000"/>
              <w:left w:val="nil"/>
              <w:bottom w:val="single" w:sz="4" w:space="0" w:color="000000"/>
              <w:right w:val="nil"/>
            </w:tcBorders>
            <w:shd w:val="clear" w:color="auto" w:fill="auto"/>
            <w:noWrap/>
            <w:vAlign w:val="bottom"/>
          </w:tcPr>
          <w:p w14:paraId="2673AE00" w14:textId="77777777" w:rsidR="00F95706" w:rsidRPr="00D26C28" w:rsidRDefault="00F95706" w:rsidP="00F95706">
            <w:pPr>
              <w:jc w:val="center"/>
              <w:rPr>
                <w:color w:val="000000" w:themeColor="text1"/>
                <w:sz w:val="16"/>
                <w:szCs w:val="16"/>
              </w:rPr>
            </w:pPr>
            <w:r w:rsidRPr="00D26C28">
              <w:rPr>
                <w:color w:val="000000" w:themeColor="text1"/>
                <w:sz w:val="16"/>
                <w:szCs w:val="16"/>
              </w:rPr>
              <w:t>S</w:t>
            </w:r>
          </w:p>
        </w:tc>
        <w:tc>
          <w:tcPr>
            <w:tcW w:w="221" w:type="pct"/>
            <w:tcBorders>
              <w:top w:val="single" w:sz="4" w:space="0" w:color="000000"/>
              <w:left w:val="nil"/>
              <w:right w:val="nil"/>
            </w:tcBorders>
            <w:vAlign w:val="bottom"/>
          </w:tcPr>
          <w:p w14:paraId="3EE70C9F" w14:textId="77777777" w:rsidR="00F95706" w:rsidRPr="00D26C28" w:rsidRDefault="00F95706" w:rsidP="00F95706">
            <w:pPr>
              <w:jc w:val="center"/>
              <w:rPr>
                <w:color w:val="000000" w:themeColor="text1"/>
                <w:sz w:val="16"/>
                <w:szCs w:val="16"/>
              </w:rPr>
            </w:pPr>
          </w:p>
        </w:tc>
        <w:tc>
          <w:tcPr>
            <w:tcW w:w="881" w:type="pct"/>
            <w:tcBorders>
              <w:top w:val="single" w:sz="4" w:space="0" w:color="000000"/>
              <w:left w:val="nil"/>
              <w:bottom w:val="single" w:sz="4" w:space="0" w:color="000000"/>
              <w:right w:val="nil"/>
            </w:tcBorders>
            <w:shd w:val="clear" w:color="auto" w:fill="auto"/>
            <w:noWrap/>
            <w:vAlign w:val="bottom"/>
          </w:tcPr>
          <w:p w14:paraId="40DBF957" w14:textId="59AD177B" w:rsidR="00F95706" w:rsidRPr="00D26C28" w:rsidRDefault="00F95706" w:rsidP="00F95706">
            <w:pPr>
              <w:jc w:val="center"/>
              <w:rPr>
                <w:color w:val="000000" w:themeColor="text1"/>
                <w:sz w:val="16"/>
                <w:szCs w:val="16"/>
              </w:rPr>
            </w:pPr>
            <w:r w:rsidRPr="00D26C28">
              <w:rPr>
                <w:color w:val="000000" w:themeColor="text1"/>
                <w:sz w:val="16"/>
                <w:szCs w:val="16"/>
              </w:rPr>
              <w:t>ESG</w:t>
            </w:r>
            <w:r w:rsidR="00274C84" w:rsidRPr="00D26C28">
              <w:rPr>
                <w:color w:val="000000" w:themeColor="text1"/>
                <w:sz w:val="16"/>
                <w:szCs w:val="16"/>
              </w:rPr>
              <w:t>(</w:t>
            </w:r>
            <w:r w:rsidRPr="00D26C28">
              <w:rPr>
                <w:color w:val="000000" w:themeColor="text1"/>
                <w:sz w:val="16"/>
                <w:szCs w:val="16"/>
              </w:rPr>
              <w:t>1/N</w:t>
            </w:r>
            <w:r w:rsidR="00274C84" w:rsidRPr="00D26C28">
              <w:rPr>
                <w:color w:val="000000" w:themeColor="text1"/>
                <w:sz w:val="16"/>
                <w:szCs w:val="16"/>
              </w:rPr>
              <w:t>)</w:t>
            </w:r>
          </w:p>
        </w:tc>
        <w:tc>
          <w:tcPr>
            <w:tcW w:w="221" w:type="pct"/>
            <w:tcBorders>
              <w:top w:val="single" w:sz="4" w:space="0" w:color="000000"/>
              <w:left w:val="nil"/>
              <w:right w:val="nil"/>
            </w:tcBorders>
            <w:vAlign w:val="bottom"/>
          </w:tcPr>
          <w:p w14:paraId="51F966AE" w14:textId="77777777" w:rsidR="00F95706" w:rsidRPr="00D26C28" w:rsidRDefault="00F95706" w:rsidP="00F95706">
            <w:pPr>
              <w:jc w:val="center"/>
              <w:rPr>
                <w:color w:val="000000" w:themeColor="text1"/>
                <w:sz w:val="16"/>
                <w:szCs w:val="16"/>
              </w:rPr>
            </w:pPr>
          </w:p>
        </w:tc>
        <w:tc>
          <w:tcPr>
            <w:tcW w:w="881" w:type="pct"/>
            <w:tcBorders>
              <w:top w:val="single" w:sz="4" w:space="0" w:color="000000"/>
              <w:left w:val="nil"/>
              <w:bottom w:val="single" w:sz="4" w:space="0" w:color="000000"/>
              <w:right w:val="nil"/>
            </w:tcBorders>
            <w:shd w:val="clear" w:color="auto" w:fill="auto"/>
            <w:noWrap/>
            <w:vAlign w:val="bottom"/>
          </w:tcPr>
          <w:p w14:paraId="67E50683" w14:textId="7A8829E0" w:rsidR="00F95706" w:rsidRPr="00D26C28" w:rsidRDefault="00F95706" w:rsidP="00F95706">
            <w:pPr>
              <w:jc w:val="center"/>
              <w:rPr>
                <w:color w:val="000000" w:themeColor="text1"/>
                <w:sz w:val="16"/>
                <w:szCs w:val="16"/>
              </w:rPr>
            </w:pPr>
            <w:r w:rsidRPr="00D26C28">
              <w:rPr>
                <w:color w:val="000000" w:themeColor="text1"/>
                <w:sz w:val="16"/>
                <w:szCs w:val="16"/>
              </w:rPr>
              <w:t>ESG</w:t>
            </w:r>
            <w:r w:rsidR="00274C84" w:rsidRPr="00D26C28">
              <w:rPr>
                <w:color w:val="000000" w:themeColor="text1"/>
                <w:sz w:val="16"/>
                <w:szCs w:val="16"/>
              </w:rPr>
              <w:t>(</w:t>
            </w:r>
            <w:r w:rsidRPr="00D26C28">
              <w:rPr>
                <w:color w:val="000000" w:themeColor="text1"/>
                <w:sz w:val="16"/>
                <w:szCs w:val="16"/>
              </w:rPr>
              <w:t>1/2</w:t>
            </w:r>
            <w:r w:rsidR="00274C84" w:rsidRPr="00D26C28">
              <w:rPr>
                <w:color w:val="000000" w:themeColor="text1"/>
                <w:sz w:val="16"/>
                <w:szCs w:val="16"/>
              </w:rPr>
              <w:t>)</w:t>
            </w:r>
          </w:p>
        </w:tc>
        <w:tc>
          <w:tcPr>
            <w:tcW w:w="220" w:type="pct"/>
            <w:tcBorders>
              <w:top w:val="single" w:sz="4" w:space="0" w:color="000000"/>
              <w:left w:val="nil"/>
              <w:right w:val="nil"/>
            </w:tcBorders>
            <w:vAlign w:val="bottom"/>
          </w:tcPr>
          <w:p w14:paraId="5837BF9B" w14:textId="77777777" w:rsidR="00F95706" w:rsidRPr="00D26C28" w:rsidRDefault="00F95706" w:rsidP="00F95706">
            <w:pPr>
              <w:jc w:val="center"/>
              <w:rPr>
                <w:color w:val="000000" w:themeColor="text1"/>
                <w:sz w:val="16"/>
                <w:szCs w:val="16"/>
              </w:rPr>
            </w:pPr>
          </w:p>
        </w:tc>
        <w:tc>
          <w:tcPr>
            <w:tcW w:w="878" w:type="pct"/>
            <w:tcBorders>
              <w:top w:val="single" w:sz="4" w:space="0" w:color="000000"/>
              <w:left w:val="nil"/>
              <w:bottom w:val="single" w:sz="4" w:space="0" w:color="000000"/>
              <w:right w:val="nil"/>
            </w:tcBorders>
            <w:shd w:val="clear" w:color="auto" w:fill="auto"/>
            <w:noWrap/>
            <w:vAlign w:val="bottom"/>
          </w:tcPr>
          <w:p w14:paraId="6DBE8C5A" w14:textId="3819CDFE" w:rsidR="00F95706" w:rsidRPr="00D26C28" w:rsidRDefault="00F95706" w:rsidP="00F95706">
            <w:pPr>
              <w:jc w:val="center"/>
              <w:rPr>
                <w:color w:val="000000" w:themeColor="text1"/>
                <w:sz w:val="16"/>
                <w:szCs w:val="16"/>
              </w:rPr>
            </w:pPr>
            <w:r w:rsidRPr="00D26C28">
              <w:rPr>
                <w:color w:val="000000" w:themeColor="text1"/>
                <w:sz w:val="16"/>
                <w:szCs w:val="16"/>
              </w:rPr>
              <w:t>ESG</w:t>
            </w:r>
            <w:r w:rsidR="00274C84" w:rsidRPr="00D26C28">
              <w:rPr>
                <w:color w:val="000000" w:themeColor="text1"/>
                <w:sz w:val="16"/>
                <w:szCs w:val="16"/>
              </w:rPr>
              <w:t>(</w:t>
            </w:r>
            <w:r w:rsidRPr="00D26C28">
              <w:rPr>
                <w:color w:val="000000" w:themeColor="text1"/>
                <w:sz w:val="16"/>
                <w:szCs w:val="16"/>
              </w:rPr>
              <w:t>3/4</w:t>
            </w:r>
            <w:r w:rsidR="00274C84" w:rsidRPr="00D26C28">
              <w:rPr>
                <w:color w:val="000000" w:themeColor="text1"/>
                <w:sz w:val="16"/>
                <w:szCs w:val="16"/>
              </w:rPr>
              <w:t>)</w:t>
            </w:r>
          </w:p>
        </w:tc>
      </w:tr>
      <w:tr w:rsidR="00F95706" w:rsidRPr="00D26C28" w14:paraId="24985E0A" w14:textId="77777777" w:rsidTr="00F76167">
        <w:trPr>
          <w:cantSplit/>
          <w:trHeight w:hRule="exact" w:val="255"/>
          <w:jc w:val="center"/>
        </w:trPr>
        <w:tc>
          <w:tcPr>
            <w:tcW w:w="864" w:type="pct"/>
            <w:vMerge/>
            <w:tcBorders>
              <w:left w:val="nil"/>
              <w:bottom w:val="single" w:sz="4" w:space="0" w:color="000000"/>
              <w:right w:val="nil"/>
            </w:tcBorders>
            <w:shd w:val="clear" w:color="auto" w:fill="auto"/>
            <w:noWrap/>
            <w:vAlign w:val="bottom"/>
          </w:tcPr>
          <w:p w14:paraId="298836D8" w14:textId="77777777" w:rsidR="00F95706" w:rsidRPr="00D26C28" w:rsidRDefault="00F95706" w:rsidP="00F95706">
            <w:pPr>
              <w:rPr>
                <w:sz w:val="16"/>
                <w:szCs w:val="16"/>
              </w:rPr>
            </w:pPr>
          </w:p>
        </w:tc>
        <w:tc>
          <w:tcPr>
            <w:tcW w:w="4136" w:type="pct"/>
            <w:gridSpan w:val="7"/>
            <w:tcBorders>
              <w:left w:val="nil"/>
              <w:bottom w:val="single" w:sz="4" w:space="0" w:color="000000"/>
              <w:right w:val="nil"/>
            </w:tcBorders>
            <w:vAlign w:val="bottom"/>
          </w:tcPr>
          <w:p w14:paraId="69ACC898" w14:textId="73C7A0CC" w:rsidR="00F95706" w:rsidRPr="00D26C28" w:rsidRDefault="00E76B70" w:rsidP="00F95706">
            <w:pPr>
              <w:jc w:val="center"/>
              <w:rPr>
                <w:color w:val="000000" w:themeColor="text1"/>
                <w:sz w:val="16"/>
                <w:szCs w:val="16"/>
              </w:rPr>
            </w:pPr>
            <w:r w:rsidRPr="00D26C28">
              <w:rPr>
                <w:color w:val="000000" w:themeColor="text1"/>
                <w:sz w:val="16"/>
                <w:szCs w:val="16"/>
              </w:rPr>
              <w:t xml:space="preserve">A. </w:t>
            </w:r>
            <w:r w:rsidR="00F95706" w:rsidRPr="00D26C28">
              <w:rPr>
                <w:color w:val="000000" w:themeColor="text1"/>
                <w:sz w:val="16"/>
                <w:szCs w:val="16"/>
              </w:rPr>
              <w:t>Quality</w:t>
            </w:r>
            <w:r w:rsidR="00924B8D" w:rsidRPr="00D26C28">
              <w:rPr>
                <w:color w:val="000000" w:themeColor="text1"/>
                <w:sz w:val="16"/>
                <w:szCs w:val="16"/>
              </w:rPr>
              <w:t xml:space="preserve">, </w:t>
            </w:r>
            <w:r w:rsidR="00F95706" w:rsidRPr="00D26C28">
              <w:rPr>
                <w:color w:val="000000" w:themeColor="text1"/>
                <w:sz w:val="16"/>
                <w:szCs w:val="16"/>
              </w:rPr>
              <w:t>Momentum</w:t>
            </w:r>
          </w:p>
        </w:tc>
      </w:tr>
      <w:tr w:rsidR="00F95706" w:rsidRPr="00D26C28" w14:paraId="76279993" w14:textId="77777777" w:rsidTr="00F76167">
        <w:trPr>
          <w:cantSplit/>
          <w:trHeight w:hRule="exact" w:val="255"/>
          <w:jc w:val="center"/>
        </w:trPr>
        <w:tc>
          <w:tcPr>
            <w:tcW w:w="864" w:type="pct"/>
            <w:tcBorders>
              <w:top w:val="single" w:sz="4" w:space="0" w:color="000000"/>
              <w:left w:val="nil"/>
              <w:bottom w:val="nil"/>
              <w:right w:val="nil"/>
            </w:tcBorders>
            <w:shd w:val="clear" w:color="auto" w:fill="auto"/>
            <w:noWrap/>
            <w:vAlign w:val="bottom"/>
            <w:hideMark/>
          </w:tcPr>
          <w:p w14:paraId="045C71EA" w14:textId="77777777" w:rsidR="00F95706" w:rsidRPr="00D26C28" w:rsidRDefault="00F95706" w:rsidP="00F95706">
            <w:pPr>
              <w:jc w:val="center"/>
              <w:rPr>
                <w:sz w:val="16"/>
                <w:szCs w:val="16"/>
              </w:rPr>
            </w:pPr>
            <w:r w:rsidRPr="00D26C28">
              <w:rPr>
                <w:sz w:val="16"/>
                <w:szCs w:val="16"/>
              </w:rPr>
              <w:t>Returns</w:t>
            </w:r>
          </w:p>
        </w:tc>
        <w:tc>
          <w:tcPr>
            <w:tcW w:w="834" w:type="pct"/>
            <w:tcBorders>
              <w:top w:val="single" w:sz="4" w:space="0" w:color="000000"/>
              <w:left w:val="nil"/>
              <w:bottom w:val="nil"/>
              <w:right w:val="nil"/>
            </w:tcBorders>
            <w:shd w:val="clear" w:color="auto" w:fill="auto"/>
            <w:noWrap/>
            <w:vAlign w:val="bottom"/>
            <w:hideMark/>
          </w:tcPr>
          <w:p w14:paraId="698ACE09" w14:textId="77777777" w:rsidR="00F95706" w:rsidRPr="00D26C28" w:rsidRDefault="00F95706" w:rsidP="00F95706">
            <w:pPr>
              <w:jc w:val="center"/>
              <w:rPr>
                <w:color w:val="000000" w:themeColor="text1"/>
                <w:sz w:val="16"/>
                <w:szCs w:val="16"/>
              </w:rPr>
            </w:pPr>
            <w:r w:rsidRPr="00D26C28">
              <w:rPr>
                <w:color w:val="000000" w:themeColor="text1"/>
                <w:sz w:val="16"/>
                <w:szCs w:val="16"/>
              </w:rPr>
              <w:t>2.06%</w:t>
            </w:r>
          </w:p>
        </w:tc>
        <w:tc>
          <w:tcPr>
            <w:tcW w:w="221" w:type="pct"/>
            <w:tcBorders>
              <w:top w:val="single" w:sz="4" w:space="0" w:color="000000"/>
              <w:left w:val="nil"/>
              <w:bottom w:val="nil"/>
              <w:right w:val="nil"/>
            </w:tcBorders>
            <w:vAlign w:val="bottom"/>
          </w:tcPr>
          <w:p w14:paraId="0D0F19AC" w14:textId="77777777" w:rsidR="00F95706" w:rsidRPr="00D26C28" w:rsidRDefault="00F95706" w:rsidP="00F95706">
            <w:pPr>
              <w:jc w:val="center"/>
              <w:rPr>
                <w:color w:val="000000" w:themeColor="text1"/>
                <w:sz w:val="16"/>
                <w:szCs w:val="16"/>
              </w:rPr>
            </w:pPr>
          </w:p>
        </w:tc>
        <w:tc>
          <w:tcPr>
            <w:tcW w:w="881" w:type="pct"/>
            <w:tcBorders>
              <w:top w:val="single" w:sz="4" w:space="0" w:color="000000"/>
              <w:left w:val="nil"/>
              <w:bottom w:val="nil"/>
              <w:right w:val="nil"/>
            </w:tcBorders>
            <w:shd w:val="clear" w:color="auto" w:fill="auto"/>
            <w:noWrap/>
            <w:vAlign w:val="bottom"/>
            <w:hideMark/>
          </w:tcPr>
          <w:p w14:paraId="17588C44" w14:textId="77777777" w:rsidR="00F95706" w:rsidRPr="00D26C28" w:rsidRDefault="00F95706" w:rsidP="00F95706">
            <w:pPr>
              <w:jc w:val="center"/>
              <w:rPr>
                <w:color w:val="000000" w:themeColor="text1"/>
                <w:sz w:val="16"/>
                <w:szCs w:val="16"/>
              </w:rPr>
            </w:pPr>
            <w:r w:rsidRPr="00D26C28">
              <w:rPr>
                <w:color w:val="000000" w:themeColor="text1"/>
                <w:sz w:val="16"/>
                <w:szCs w:val="16"/>
              </w:rPr>
              <w:t>1.65%</w:t>
            </w:r>
          </w:p>
        </w:tc>
        <w:tc>
          <w:tcPr>
            <w:tcW w:w="221" w:type="pct"/>
            <w:tcBorders>
              <w:top w:val="single" w:sz="4" w:space="0" w:color="000000"/>
              <w:left w:val="nil"/>
              <w:bottom w:val="nil"/>
              <w:right w:val="nil"/>
            </w:tcBorders>
            <w:vAlign w:val="bottom"/>
          </w:tcPr>
          <w:p w14:paraId="3B09C9B2" w14:textId="77777777" w:rsidR="00F95706" w:rsidRPr="00D26C28" w:rsidRDefault="00F95706" w:rsidP="00F95706">
            <w:pPr>
              <w:jc w:val="center"/>
              <w:rPr>
                <w:color w:val="000000" w:themeColor="text1"/>
                <w:sz w:val="16"/>
                <w:szCs w:val="16"/>
              </w:rPr>
            </w:pPr>
          </w:p>
        </w:tc>
        <w:tc>
          <w:tcPr>
            <w:tcW w:w="881" w:type="pct"/>
            <w:tcBorders>
              <w:top w:val="single" w:sz="4" w:space="0" w:color="000000"/>
              <w:left w:val="nil"/>
              <w:bottom w:val="nil"/>
              <w:right w:val="nil"/>
            </w:tcBorders>
            <w:shd w:val="clear" w:color="auto" w:fill="auto"/>
            <w:noWrap/>
            <w:vAlign w:val="bottom"/>
            <w:hideMark/>
          </w:tcPr>
          <w:p w14:paraId="018B85F6" w14:textId="77777777" w:rsidR="00F95706" w:rsidRPr="00D26C28" w:rsidRDefault="00F95706" w:rsidP="00F95706">
            <w:pPr>
              <w:jc w:val="center"/>
              <w:rPr>
                <w:color w:val="000000" w:themeColor="text1"/>
                <w:sz w:val="16"/>
                <w:szCs w:val="16"/>
              </w:rPr>
            </w:pPr>
            <w:r w:rsidRPr="00D26C28">
              <w:rPr>
                <w:color w:val="000000" w:themeColor="text1"/>
                <w:sz w:val="16"/>
                <w:szCs w:val="16"/>
              </w:rPr>
              <w:t>1.72%</w:t>
            </w:r>
          </w:p>
        </w:tc>
        <w:tc>
          <w:tcPr>
            <w:tcW w:w="220" w:type="pct"/>
            <w:tcBorders>
              <w:top w:val="single" w:sz="4" w:space="0" w:color="000000"/>
              <w:left w:val="nil"/>
              <w:bottom w:val="nil"/>
              <w:right w:val="nil"/>
            </w:tcBorders>
            <w:vAlign w:val="bottom"/>
          </w:tcPr>
          <w:p w14:paraId="609EEF1B" w14:textId="77777777" w:rsidR="00F95706" w:rsidRPr="00D26C28" w:rsidRDefault="00F95706" w:rsidP="00F95706">
            <w:pPr>
              <w:jc w:val="center"/>
              <w:rPr>
                <w:color w:val="000000" w:themeColor="text1"/>
                <w:sz w:val="16"/>
                <w:szCs w:val="16"/>
              </w:rPr>
            </w:pPr>
          </w:p>
        </w:tc>
        <w:tc>
          <w:tcPr>
            <w:tcW w:w="878" w:type="pct"/>
            <w:tcBorders>
              <w:top w:val="single" w:sz="4" w:space="0" w:color="000000"/>
              <w:left w:val="nil"/>
              <w:bottom w:val="nil"/>
              <w:right w:val="nil"/>
            </w:tcBorders>
            <w:shd w:val="clear" w:color="auto" w:fill="auto"/>
            <w:noWrap/>
            <w:vAlign w:val="bottom"/>
            <w:hideMark/>
          </w:tcPr>
          <w:p w14:paraId="4C47B640" w14:textId="77777777" w:rsidR="00F95706" w:rsidRPr="00D26C28" w:rsidRDefault="00F95706" w:rsidP="00F95706">
            <w:pPr>
              <w:jc w:val="center"/>
              <w:rPr>
                <w:color w:val="000000" w:themeColor="text1"/>
                <w:sz w:val="16"/>
                <w:szCs w:val="16"/>
              </w:rPr>
            </w:pPr>
            <w:r w:rsidRPr="00D26C28">
              <w:rPr>
                <w:color w:val="000000" w:themeColor="text1"/>
                <w:sz w:val="16"/>
                <w:szCs w:val="16"/>
              </w:rPr>
              <w:t>1.49%</w:t>
            </w:r>
          </w:p>
        </w:tc>
      </w:tr>
      <w:tr w:rsidR="00F95706" w:rsidRPr="00D26C28" w14:paraId="24F50750" w14:textId="77777777" w:rsidTr="00F76167">
        <w:trPr>
          <w:cantSplit/>
          <w:trHeight w:hRule="exact" w:val="255"/>
          <w:jc w:val="center"/>
        </w:trPr>
        <w:tc>
          <w:tcPr>
            <w:tcW w:w="864" w:type="pct"/>
            <w:tcBorders>
              <w:top w:val="nil"/>
              <w:left w:val="nil"/>
              <w:bottom w:val="nil"/>
              <w:right w:val="nil"/>
            </w:tcBorders>
            <w:shd w:val="clear" w:color="auto" w:fill="auto"/>
            <w:noWrap/>
            <w:vAlign w:val="bottom"/>
            <w:hideMark/>
          </w:tcPr>
          <w:p w14:paraId="683BA4EB" w14:textId="77777777" w:rsidR="00F95706" w:rsidRPr="00D26C28" w:rsidRDefault="00F95706" w:rsidP="00F95706">
            <w:pPr>
              <w:jc w:val="center"/>
              <w:rPr>
                <w:sz w:val="16"/>
                <w:szCs w:val="16"/>
              </w:rPr>
            </w:pPr>
            <w:r w:rsidRPr="00D26C28">
              <w:rPr>
                <w:i/>
                <w:sz w:val="16"/>
                <w:szCs w:val="16"/>
              </w:rPr>
              <w:t>t</w:t>
            </w:r>
            <w:r w:rsidRPr="00D26C28">
              <w:rPr>
                <w:sz w:val="16"/>
                <w:szCs w:val="16"/>
              </w:rPr>
              <w:t>-statistics</w:t>
            </w:r>
          </w:p>
        </w:tc>
        <w:tc>
          <w:tcPr>
            <w:tcW w:w="834" w:type="pct"/>
            <w:tcBorders>
              <w:top w:val="nil"/>
              <w:left w:val="nil"/>
              <w:bottom w:val="nil"/>
              <w:right w:val="nil"/>
            </w:tcBorders>
            <w:shd w:val="clear" w:color="auto" w:fill="auto"/>
            <w:noWrap/>
            <w:vAlign w:val="bottom"/>
            <w:hideMark/>
          </w:tcPr>
          <w:p w14:paraId="5332C9C6" w14:textId="77777777" w:rsidR="00F95706" w:rsidRPr="00D26C28" w:rsidRDefault="00F95706" w:rsidP="00F95706">
            <w:pPr>
              <w:jc w:val="center"/>
              <w:rPr>
                <w:color w:val="000000" w:themeColor="text1"/>
                <w:sz w:val="16"/>
                <w:szCs w:val="16"/>
              </w:rPr>
            </w:pPr>
            <w:r w:rsidRPr="00D26C28">
              <w:rPr>
                <w:color w:val="000000" w:themeColor="text1"/>
                <w:sz w:val="16"/>
                <w:szCs w:val="16"/>
              </w:rPr>
              <w:t>3.71</w:t>
            </w:r>
          </w:p>
        </w:tc>
        <w:tc>
          <w:tcPr>
            <w:tcW w:w="221" w:type="pct"/>
            <w:tcBorders>
              <w:top w:val="nil"/>
              <w:left w:val="nil"/>
              <w:bottom w:val="nil"/>
              <w:right w:val="nil"/>
            </w:tcBorders>
            <w:vAlign w:val="bottom"/>
          </w:tcPr>
          <w:p w14:paraId="5E739B2D"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1414FCEB" w14:textId="77777777" w:rsidR="00F95706" w:rsidRPr="00D26C28" w:rsidRDefault="00F95706" w:rsidP="00F95706">
            <w:pPr>
              <w:jc w:val="center"/>
              <w:rPr>
                <w:color w:val="000000" w:themeColor="text1"/>
                <w:sz w:val="16"/>
                <w:szCs w:val="16"/>
              </w:rPr>
            </w:pPr>
            <w:r w:rsidRPr="00D26C28">
              <w:rPr>
                <w:color w:val="000000" w:themeColor="text1"/>
                <w:sz w:val="16"/>
                <w:szCs w:val="16"/>
              </w:rPr>
              <w:t>3.19</w:t>
            </w:r>
          </w:p>
        </w:tc>
        <w:tc>
          <w:tcPr>
            <w:tcW w:w="221" w:type="pct"/>
            <w:tcBorders>
              <w:top w:val="nil"/>
              <w:left w:val="nil"/>
              <w:bottom w:val="nil"/>
              <w:right w:val="nil"/>
            </w:tcBorders>
            <w:vAlign w:val="bottom"/>
          </w:tcPr>
          <w:p w14:paraId="0437889C"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618075DA" w14:textId="77777777" w:rsidR="00F95706" w:rsidRPr="00D26C28" w:rsidRDefault="00F95706" w:rsidP="00F95706">
            <w:pPr>
              <w:jc w:val="center"/>
              <w:rPr>
                <w:color w:val="000000" w:themeColor="text1"/>
                <w:sz w:val="16"/>
                <w:szCs w:val="16"/>
              </w:rPr>
            </w:pPr>
            <w:r w:rsidRPr="00D26C28">
              <w:rPr>
                <w:color w:val="000000" w:themeColor="text1"/>
                <w:sz w:val="16"/>
                <w:szCs w:val="16"/>
              </w:rPr>
              <w:t>3.64</w:t>
            </w:r>
          </w:p>
        </w:tc>
        <w:tc>
          <w:tcPr>
            <w:tcW w:w="220" w:type="pct"/>
            <w:tcBorders>
              <w:top w:val="nil"/>
              <w:left w:val="nil"/>
              <w:bottom w:val="nil"/>
              <w:right w:val="nil"/>
            </w:tcBorders>
            <w:vAlign w:val="bottom"/>
          </w:tcPr>
          <w:p w14:paraId="18361A58" w14:textId="77777777" w:rsidR="00F95706" w:rsidRPr="00D26C28" w:rsidRDefault="00F95706" w:rsidP="00F95706">
            <w:pPr>
              <w:jc w:val="center"/>
              <w:rPr>
                <w:color w:val="000000" w:themeColor="text1"/>
                <w:sz w:val="16"/>
                <w:szCs w:val="16"/>
              </w:rPr>
            </w:pPr>
          </w:p>
        </w:tc>
        <w:tc>
          <w:tcPr>
            <w:tcW w:w="878" w:type="pct"/>
            <w:tcBorders>
              <w:top w:val="nil"/>
              <w:left w:val="nil"/>
              <w:bottom w:val="nil"/>
              <w:right w:val="nil"/>
            </w:tcBorders>
            <w:shd w:val="clear" w:color="auto" w:fill="auto"/>
            <w:noWrap/>
            <w:vAlign w:val="bottom"/>
            <w:hideMark/>
          </w:tcPr>
          <w:p w14:paraId="6E9D55E4" w14:textId="77777777" w:rsidR="00F95706" w:rsidRPr="00D26C28" w:rsidRDefault="00F95706" w:rsidP="00F95706">
            <w:pPr>
              <w:jc w:val="center"/>
              <w:rPr>
                <w:color w:val="000000" w:themeColor="text1"/>
                <w:sz w:val="16"/>
                <w:szCs w:val="16"/>
              </w:rPr>
            </w:pPr>
            <w:r w:rsidRPr="00D26C28">
              <w:rPr>
                <w:color w:val="000000" w:themeColor="text1"/>
                <w:sz w:val="16"/>
                <w:szCs w:val="16"/>
              </w:rPr>
              <w:t>3.18</w:t>
            </w:r>
          </w:p>
        </w:tc>
      </w:tr>
      <w:tr w:rsidR="00F95706" w:rsidRPr="00D26C28" w14:paraId="14B7766A" w14:textId="77777777" w:rsidTr="00F76167">
        <w:trPr>
          <w:cantSplit/>
          <w:trHeight w:hRule="exact" w:val="255"/>
          <w:jc w:val="center"/>
        </w:trPr>
        <w:tc>
          <w:tcPr>
            <w:tcW w:w="864" w:type="pct"/>
            <w:tcBorders>
              <w:top w:val="nil"/>
              <w:left w:val="nil"/>
              <w:bottom w:val="nil"/>
              <w:right w:val="nil"/>
            </w:tcBorders>
            <w:shd w:val="clear" w:color="auto" w:fill="auto"/>
            <w:noWrap/>
            <w:vAlign w:val="bottom"/>
            <w:hideMark/>
          </w:tcPr>
          <w:p w14:paraId="672648B9" w14:textId="77777777" w:rsidR="00F95706" w:rsidRPr="00D26C28" w:rsidRDefault="00F95706" w:rsidP="00F95706">
            <w:pPr>
              <w:jc w:val="center"/>
              <w:rPr>
                <w:sz w:val="16"/>
                <w:szCs w:val="16"/>
              </w:rPr>
            </w:pPr>
            <w:r w:rsidRPr="00D26C28">
              <w:rPr>
                <w:sz w:val="16"/>
                <w:szCs w:val="16"/>
              </w:rPr>
              <w:t>Volatility</w:t>
            </w:r>
          </w:p>
        </w:tc>
        <w:tc>
          <w:tcPr>
            <w:tcW w:w="834" w:type="pct"/>
            <w:tcBorders>
              <w:top w:val="nil"/>
              <w:left w:val="nil"/>
              <w:bottom w:val="nil"/>
              <w:right w:val="nil"/>
            </w:tcBorders>
            <w:shd w:val="clear" w:color="auto" w:fill="auto"/>
            <w:noWrap/>
            <w:vAlign w:val="bottom"/>
            <w:hideMark/>
          </w:tcPr>
          <w:p w14:paraId="42C0D80B" w14:textId="77777777" w:rsidR="00F95706" w:rsidRPr="00D26C28" w:rsidRDefault="00F95706" w:rsidP="00F95706">
            <w:pPr>
              <w:jc w:val="center"/>
              <w:rPr>
                <w:color w:val="000000" w:themeColor="text1"/>
                <w:sz w:val="16"/>
                <w:szCs w:val="16"/>
              </w:rPr>
            </w:pPr>
            <w:r w:rsidRPr="00D26C28">
              <w:rPr>
                <w:color w:val="000000" w:themeColor="text1"/>
                <w:sz w:val="16"/>
                <w:szCs w:val="16"/>
              </w:rPr>
              <w:t>5.89%</w:t>
            </w:r>
          </w:p>
        </w:tc>
        <w:tc>
          <w:tcPr>
            <w:tcW w:w="221" w:type="pct"/>
            <w:tcBorders>
              <w:top w:val="nil"/>
              <w:left w:val="nil"/>
              <w:bottom w:val="nil"/>
              <w:right w:val="nil"/>
            </w:tcBorders>
            <w:vAlign w:val="bottom"/>
          </w:tcPr>
          <w:p w14:paraId="7B2CFAFB"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07A558FC" w14:textId="77777777" w:rsidR="00F95706" w:rsidRPr="00D26C28" w:rsidRDefault="00F95706" w:rsidP="00F95706">
            <w:pPr>
              <w:jc w:val="center"/>
              <w:rPr>
                <w:color w:val="000000" w:themeColor="text1"/>
                <w:sz w:val="16"/>
                <w:szCs w:val="16"/>
              </w:rPr>
            </w:pPr>
            <w:r w:rsidRPr="00D26C28">
              <w:rPr>
                <w:color w:val="000000" w:themeColor="text1"/>
                <w:sz w:val="16"/>
                <w:szCs w:val="16"/>
              </w:rPr>
              <w:t>5.76%</w:t>
            </w:r>
          </w:p>
        </w:tc>
        <w:tc>
          <w:tcPr>
            <w:tcW w:w="221" w:type="pct"/>
            <w:tcBorders>
              <w:top w:val="nil"/>
              <w:left w:val="nil"/>
              <w:bottom w:val="nil"/>
              <w:right w:val="nil"/>
            </w:tcBorders>
            <w:vAlign w:val="bottom"/>
          </w:tcPr>
          <w:p w14:paraId="6D53814D"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37946B4C" w14:textId="77777777" w:rsidR="00F95706" w:rsidRPr="00D26C28" w:rsidRDefault="00F95706" w:rsidP="00F95706">
            <w:pPr>
              <w:jc w:val="center"/>
              <w:rPr>
                <w:color w:val="000000" w:themeColor="text1"/>
                <w:sz w:val="16"/>
                <w:szCs w:val="16"/>
              </w:rPr>
            </w:pPr>
            <w:r w:rsidRPr="00D26C28">
              <w:rPr>
                <w:color w:val="000000" w:themeColor="text1"/>
                <w:sz w:val="16"/>
                <w:szCs w:val="16"/>
              </w:rPr>
              <w:t>5.31%</w:t>
            </w:r>
          </w:p>
        </w:tc>
        <w:tc>
          <w:tcPr>
            <w:tcW w:w="220" w:type="pct"/>
            <w:tcBorders>
              <w:top w:val="nil"/>
              <w:left w:val="nil"/>
              <w:bottom w:val="nil"/>
              <w:right w:val="nil"/>
            </w:tcBorders>
            <w:vAlign w:val="bottom"/>
          </w:tcPr>
          <w:p w14:paraId="53E5140E" w14:textId="77777777" w:rsidR="00F95706" w:rsidRPr="00D26C28" w:rsidRDefault="00F95706" w:rsidP="00F95706">
            <w:pPr>
              <w:jc w:val="center"/>
              <w:rPr>
                <w:color w:val="000000" w:themeColor="text1"/>
                <w:sz w:val="16"/>
                <w:szCs w:val="16"/>
              </w:rPr>
            </w:pPr>
          </w:p>
        </w:tc>
        <w:tc>
          <w:tcPr>
            <w:tcW w:w="878" w:type="pct"/>
            <w:tcBorders>
              <w:top w:val="nil"/>
              <w:left w:val="nil"/>
              <w:bottom w:val="nil"/>
              <w:right w:val="nil"/>
            </w:tcBorders>
            <w:shd w:val="clear" w:color="auto" w:fill="auto"/>
            <w:noWrap/>
            <w:vAlign w:val="bottom"/>
            <w:hideMark/>
          </w:tcPr>
          <w:p w14:paraId="163F47F0" w14:textId="77777777" w:rsidR="00F95706" w:rsidRPr="00D26C28" w:rsidRDefault="00F95706" w:rsidP="00F95706">
            <w:pPr>
              <w:jc w:val="center"/>
              <w:rPr>
                <w:color w:val="000000" w:themeColor="text1"/>
                <w:sz w:val="16"/>
                <w:szCs w:val="16"/>
              </w:rPr>
            </w:pPr>
            <w:r w:rsidRPr="00D26C28">
              <w:rPr>
                <w:color w:val="000000" w:themeColor="text1"/>
                <w:sz w:val="16"/>
                <w:szCs w:val="16"/>
              </w:rPr>
              <w:t>4.82%</w:t>
            </w:r>
          </w:p>
        </w:tc>
      </w:tr>
      <w:tr w:rsidR="00F95706" w:rsidRPr="00D26C28" w14:paraId="58C03B40" w14:textId="77777777" w:rsidTr="00F76167">
        <w:trPr>
          <w:cantSplit/>
          <w:trHeight w:hRule="exact" w:val="255"/>
          <w:jc w:val="center"/>
        </w:trPr>
        <w:tc>
          <w:tcPr>
            <w:tcW w:w="864" w:type="pct"/>
            <w:tcBorders>
              <w:top w:val="nil"/>
              <w:left w:val="nil"/>
              <w:bottom w:val="nil"/>
              <w:right w:val="nil"/>
            </w:tcBorders>
            <w:shd w:val="clear" w:color="auto" w:fill="auto"/>
            <w:noWrap/>
            <w:vAlign w:val="bottom"/>
            <w:hideMark/>
          </w:tcPr>
          <w:p w14:paraId="5D468B23" w14:textId="77777777" w:rsidR="00F95706" w:rsidRPr="00D26C28" w:rsidRDefault="00F95706" w:rsidP="00F95706">
            <w:pPr>
              <w:jc w:val="center"/>
              <w:rPr>
                <w:sz w:val="16"/>
                <w:szCs w:val="16"/>
              </w:rPr>
            </w:pPr>
            <w:r w:rsidRPr="00D26C28">
              <w:rPr>
                <w:sz w:val="16"/>
                <w:szCs w:val="16"/>
              </w:rPr>
              <w:t>Sharpe</w:t>
            </w:r>
          </w:p>
        </w:tc>
        <w:tc>
          <w:tcPr>
            <w:tcW w:w="834" w:type="pct"/>
            <w:tcBorders>
              <w:top w:val="nil"/>
              <w:left w:val="nil"/>
              <w:bottom w:val="nil"/>
              <w:right w:val="nil"/>
            </w:tcBorders>
            <w:shd w:val="clear" w:color="auto" w:fill="auto"/>
            <w:noWrap/>
            <w:vAlign w:val="bottom"/>
            <w:hideMark/>
          </w:tcPr>
          <w:p w14:paraId="76549441" w14:textId="77777777" w:rsidR="00F95706" w:rsidRPr="00D26C28" w:rsidRDefault="00F95706" w:rsidP="00F95706">
            <w:pPr>
              <w:jc w:val="center"/>
              <w:rPr>
                <w:color w:val="000000" w:themeColor="text1"/>
                <w:sz w:val="16"/>
                <w:szCs w:val="16"/>
              </w:rPr>
            </w:pPr>
            <w:r w:rsidRPr="00D26C28">
              <w:rPr>
                <w:color w:val="000000" w:themeColor="text1"/>
                <w:sz w:val="16"/>
                <w:szCs w:val="16"/>
              </w:rPr>
              <w:t>1.36</w:t>
            </w:r>
          </w:p>
        </w:tc>
        <w:tc>
          <w:tcPr>
            <w:tcW w:w="221" w:type="pct"/>
            <w:tcBorders>
              <w:top w:val="nil"/>
              <w:left w:val="nil"/>
              <w:bottom w:val="nil"/>
              <w:right w:val="nil"/>
            </w:tcBorders>
            <w:vAlign w:val="bottom"/>
          </w:tcPr>
          <w:p w14:paraId="25C879F3"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16FB2E54" w14:textId="77777777" w:rsidR="00F95706" w:rsidRPr="00D26C28" w:rsidRDefault="00F95706" w:rsidP="00F95706">
            <w:pPr>
              <w:jc w:val="center"/>
              <w:rPr>
                <w:color w:val="000000" w:themeColor="text1"/>
                <w:sz w:val="16"/>
                <w:szCs w:val="16"/>
              </w:rPr>
            </w:pPr>
            <w:r w:rsidRPr="00D26C28">
              <w:rPr>
                <w:color w:val="000000" w:themeColor="text1"/>
                <w:sz w:val="16"/>
                <w:szCs w:val="16"/>
              </w:rPr>
              <w:t>1.09</w:t>
            </w:r>
          </w:p>
        </w:tc>
        <w:tc>
          <w:tcPr>
            <w:tcW w:w="221" w:type="pct"/>
            <w:tcBorders>
              <w:top w:val="nil"/>
              <w:left w:val="nil"/>
              <w:bottom w:val="nil"/>
              <w:right w:val="nil"/>
            </w:tcBorders>
            <w:vAlign w:val="bottom"/>
          </w:tcPr>
          <w:p w14:paraId="3D2D1832"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0605FB2D" w14:textId="77777777" w:rsidR="00F95706" w:rsidRPr="00D26C28" w:rsidRDefault="00F95706" w:rsidP="00F95706">
            <w:pPr>
              <w:jc w:val="center"/>
              <w:rPr>
                <w:color w:val="000000" w:themeColor="text1"/>
                <w:sz w:val="16"/>
                <w:szCs w:val="16"/>
              </w:rPr>
            </w:pPr>
            <w:r w:rsidRPr="00D26C28">
              <w:rPr>
                <w:color w:val="000000" w:themeColor="text1"/>
                <w:sz w:val="16"/>
                <w:szCs w:val="16"/>
              </w:rPr>
              <w:t>1.23</w:t>
            </w:r>
          </w:p>
        </w:tc>
        <w:tc>
          <w:tcPr>
            <w:tcW w:w="220" w:type="pct"/>
            <w:tcBorders>
              <w:top w:val="nil"/>
              <w:left w:val="nil"/>
              <w:bottom w:val="nil"/>
              <w:right w:val="nil"/>
            </w:tcBorders>
            <w:vAlign w:val="bottom"/>
          </w:tcPr>
          <w:p w14:paraId="2E81ABFD" w14:textId="77777777" w:rsidR="00F95706" w:rsidRPr="00D26C28" w:rsidRDefault="00F95706" w:rsidP="00F95706">
            <w:pPr>
              <w:jc w:val="center"/>
              <w:rPr>
                <w:color w:val="000000" w:themeColor="text1"/>
                <w:sz w:val="16"/>
                <w:szCs w:val="16"/>
              </w:rPr>
            </w:pPr>
          </w:p>
        </w:tc>
        <w:tc>
          <w:tcPr>
            <w:tcW w:w="878" w:type="pct"/>
            <w:tcBorders>
              <w:top w:val="nil"/>
              <w:left w:val="nil"/>
              <w:bottom w:val="nil"/>
              <w:right w:val="nil"/>
            </w:tcBorders>
            <w:shd w:val="clear" w:color="auto" w:fill="auto"/>
            <w:noWrap/>
            <w:vAlign w:val="bottom"/>
            <w:hideMark/>
          </w:tcPr>
          <w:p w14:paraId="3FAFDD0E" w14:textId="77777777" w:rsidR="00F95706" w:rsidRPr="00D26C28" w:rsidRDefault="00F95706" w:rsidP="00F95706">
            <w:pPr>
              <w:jc w:val="center"/>
              <w:rPr>
                <w:color w:val="000000" w:themeColor="text1"/>
                <w:sz w:val="16"/>
                <w:szCs w:val="16"/>
              </w:rPr>
            </w:pPr>
            <w:r w:rsidRPr="00D26C28">
              <w:rPr>
                <w:color w:val="000000" w:themeColor="text1"/>
                <w:sz w:val="16"/>
                <w:szCs w:val="16"/>
              </w:rPr>
              <w:t>1.16</w:t>
            </w:r>
          </w:p>
        </w:tc>
      </w:tr>
      <w:tr w:rsidR="00F95706" w:rsidRPr="00D26C28" w14:paraId="46514EF3" w14:textId="77777777" w:rsidTr="00F76167">
        <w:trPr>
          <w:cantSplit/>
          <w:trHeight w:hRule="exact" w:val="255"/>
          <w:jc w:val="center"/>
        </w:trPr>
        <w:tc>
          <w:tcPr>
            <w:tcW w:w="864" w:type="pct"/>
            <w:tcBorders>
              <w:top w:val="single" w:sz="4" w:space="0" w:color="000000"/>
              <w:left w:val="nil"/>
              <w:bottom w:val="single" w:sz="4" w:space="0" w:color="auto"/>
              <w:right w:val="nil"/>
            </w:tcBorders>
            <w:shd w:val="clear" w:color="auto" w:fill="auto"/>
            <w:noWrap/>
            <w:vAlign w:val="bottom"/>
            <w:hideMark/>
          </w:tcPr>
          <w:p w14:paraId="68B1B3DE" w14:textId="77777777" w:rsidR="00F95706" w:rsidRPr="00D26C28" w:rsidRDefault="00F95706" w:rsidP="00F95706">
            <w:pPr>
              <w:jc w:val="center"/>
              <w:rPr>
                <w:color w:val="000000" w:themeColor="text1"/>
                <w:sz w:val="16"/>
                <w:szCs w:val="16"/>
              </w:rPr>
            </w:pPr>
          </w:p>
        </w:tc>
        <w:tc>
          <w:tcPr>
            <w:tcW w:w="4136" w:type="pct"/>
            <w:gridSpan w:val="7"/>
            <w:tcBorders>
              <w:top w:val="single" w:sz="4" w:space="0" w:color="auto"/>
              <w:left w:val="nil"/>
              <w:bottom w:val="single" w:sz="4" w:space="0" w:color="auto"/>
              <w:right w:val="nil"/>
            </w:tcBorders>
            <w:vAlign w:val="bottom"/>
          </w:tcPr>
          <w:p w14:paraId="044E2E42" w14:textId="5CD224F3" w:rsidR="00F95706" w:rsidRPr="00D26C28" w:rsidRDefault="00E76B70" w:rsidP="00F95706">
            <w:pPr>
              <w:jc w:val="center"/>
              <w:rPr>
                <w:bCs/>
                <w:color w:val="000000" w:themeColor="text1"/>
                <w:sz w:val="16"/>
                <w:szCs w:val="16"/>
              </w:rPr>
            </w:pPr>
            <w:r w:rsidRPr="00D26C28">
              <w:rPr>
                <w:bCs/>
                <w:color w:val="000000" w:themeColor="text1"/>
                <w:sz w:val="16"/>
                <w:szCs w:val="16"/>
              </w:rPr>
              <w:t xml:space="preserve">B. </w:t>
            </w:r>
            <w:r w:rsidR="00F95706" w:rsidRPr="00D26C28">
              <w:rPr>
                <w:bCs/>
                <w:color w:val="000000" w:themeColor="text1"/>
                <w:sz w:val="16"/>
                <w:szCs w:val="16"/>
              </w:rPr>
              <w:t>Quality</w:t>
            </w:r>
            <w:r w:rsidR="00924B8D" w:rsidRPr="00D26C28">
              <w:rPr>
                <w:bCs/>
                <w:color w:val="000000" w:themeColor="text1"/>
                <w:sz w:val="16"/>
                <w:szCs w:val="16"/>
              </w:rPr>
              <w:t>,</w:t>
            </w:r>
            <w:r w:rsidR="00F95706" w:rsidRPr="00D26C28">
              <w:rPr>
                <w:bCs/>
                <w:color w:val="000000" w:themeColor="text1"/>
                <w:sz w:val="16"/>
                <w:szCs w:val="16"/>
              </w:rPr>
              <w:t xml:space="preserve"> Momentum</w:t>
            </w:r>
            <w:r w:rsidR="00924B8D" w:rsidRPr="00D26C28">
              <w:rPr>
                <w:bCs/>
                <w:color w:val="000000" w:themeColor="text1"/>
                <w:sz w:val="16"/>
                <w:szCs w:val="16"/>
              </w:rPr>
              <w:t>,</w:t>
            </w:r>
            <w:r w:rsidR="00F95706" w:rsidRPr="00D26C28">
              <w:rPr>
                <w:bCs/>
                <w:color w:val="000000" w:themeColor="text1"/>
                <w:sz w:val="16"/>
                <w:szCs w:val="16"/>
              </w:rPr>
              <w:t xml:space="preserve"> Size</w:t>
            </w:r>
          </w:p>
        </w:tc>
      </w:tr>
      <w:tr w:rsidR="00F95706" w:rsidRPr="00D26C28" w14:paraId="443C69B7" w14:textId="77777777" w:rsidTr="00F76167">
        <w:trPr>
          <w:cantSplit/>
          <w:trHeight w:hRule="exact" w:val="255"/>
          <w:jc w:val="center"/>
        </w:trPr>
        <w:tc>
          <w:tcPr>
            <w:tcW w:w="864" w:type="pct"/>
            <w:tcBorders>
              <w:top w:val="nil"/>
              <w:left w:val="nil"/>
              <w:bottom w:val="nil"/>
              <w:right w:val="nil"/>
            </w:tcBorders>
            <w:shd w:val="clear" w:color="auto" w:fill="auto"/>
            <w:noWrap/>
            <w:vAlign w:val="bottom"/>
            <w:hideMark/>
          </w:tcPr>
          <w:p w14:paraId="384EAA3A" w14:textId="77777777" w:rsidR="00F95706" w:rsidRPr="00D26C28" w:rsidRDefault="00F95706" w:rsidP="00F95706">
            <w:pPr>
              <w:jc w:val="center"/>
              <w:rPr>
                <w:sz w:val="16"/>
                <w:szCs w:val="16"/>
              </w:rPr>
            </w:pPr>
            <w:r w:rsidRPr="00D26C28">
              <w:rPr>
                <w:sz w:val="16"/>
                <w:szCs w:val="16"/>
              </w:rPr>
              <w:t>Returns</w:t>
            </w:r>
          </w:p>
        </w:tc>
        <w:tc>
          <w:tcPr>
            <w:tcW w:w="834" w:type="pct"/>
            <w:tcBorders>
              <w:top w:val="nil"/>
              <w:left w:val="nil"/>
              <w:bottom w:val="nil"/>
              <w:right w:val="nil"/>
            </w:tcBorders>
            <w:shd w:val="clear" w:color="auto" w:fill="auto"/>
            <w:noWrap/>
            <w:vAlign w:val="bottom"/>
            <w:hideMark/>
          </w:tcPr>
          <w:p w14:paraId="3CE546C4" w14:textId="77777777" w:rsidR="00F95706" w:rsidRPr="00D26C28" w:rsidRDefault="00F95706" w:rsidP="00F95706">
            <w:pPr>
              <w:jc w:val="center"/>
              <w:rPr>
                <w:color w:val="000000" w:themeColor="text1"/>
                <w:sz w:val="16"/>
                <w:szCs w:val="16"/>
              </w:rPr>
            </w:pPr>
            <w:r w:rsidRPr="00D26C28">
              <w:rPr>
                <w:color w:val="000000" w:themeColor="text1"/>
                <w:sz w:val="16"/>
                <w:szCs w:val="16"/>
              </w:rPr>
              <w:t>1.65%</w:t>
            </w:r>
          </w:p>
        </w:tc>
        <w:tc>
          <w:tcPr>
            <w:tcW w:w="221" w:type="pct"/>
            <w:tcBorders>
              <w:top w:val="nil"/>
              <w:left w:val="nil"/>
              <w:bottom w:val="nil"/>
              <w:right w:val="nil"/>
            </w:tcBorders>
            <w:vAlign w:val="bottom"/>
          </w:tcPr>
          <w:p w14:paraId="42D8A2EC"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0BEF09C9" w14:textId="77777777" w:rsidR="00F95706" w:rsidRPr="00D26C28" w:rsidRDefault="00F95706" w:rsidP="00F95706">
            <w:pPr>
              <w:jc w:val="center"/>
              <w:rPr>
                <w:color w:val="000000" w:themeColor="text1"/>
                <w:sz w:val="16"/>
                <w:szCs w:val="16"/>
              </w:rPr>
            </w:pPr>
            <w:r w:rsidRPr="00D26C28">
              <w:rPr>
                <w:color w:val="000000" w:themeColor="text1"/>
                <w:sz w:val="16"/>
                <w:szCs w:val="16"/>
              </w:rPr>
              <w:t>1.29%</w:t>
            </w:r>
          </w:p>
        </w:tc>
        <w:tc>
          <w:tcPr>
            <w:tcW w:w="221" w:type="pct"/>
            <w:tcBorders>
              <w:top w:val="nil"/>
              <w:left w:val="nil"/>
              <w:bottom w:val="nil"/>
              <w:right w:val="nil"/>
            </w:tcBorders>
            <w:vAlign w:val="bottom"/>
          </w:tcPr>
          <w:p w14:paraId="6C571386"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6394DBA9" w14:textId="77777777" w:rsidR="00F95706" w:rsidRPr="00D26C28" w:rsidRDefault="00F95706" w:rsidP="00F95706">
            <w:pPr>
              <w:jc w:val="center"/>
              <w:rPr>
                <w:color w:val="000000" w:themeColor="text1"/>
                <w:sz w:val="16"/>
                <w:szCs w:val="16"/>
              </w:rPr>
            </w:pPr>
            <w:r w:rsidRPr="00D26C28">
              <w:rPr>
                <w:color w:val="000000" w:themeColor="text1"/>
                <w:sz w:val="16"/>
                <w:szCs w:val="16"/>
              </w:rPr>
              <w:t>1.31%</w:t>
            </w:r>
          </w:p>
        </w:tc>
        <w:tc>
          <w:tcPr>
            <w:tcW w:w="220" w:type="pct"/>
            <w:tcBorders>
              <w:top w:val="nil"/>
              <w:left w:val="nil"/>
              <w:bottom w:val="nil"/>
              <w:right w:val="nil"/>
            </w:tcBorders>
            <w:vAlign w:val="bottom"/>
          </w:tcPr>
          <w:p w14:paraId="60BBD675" w14:textId="77777777" w:rsidR="00F95706" w:rsidRPr="00D26C28" w:rsidRDefault="00F95706" w:rsidP="00F95706">
            <w:pPr>
              <w:jc w:val="center"/>
              <w:rPr>
                <w:color w:val="000000" w:themeColor="text1"/>
                <w:sz w:val="16"/>
                <w:szCs w:val="16"/>
              </w:rPr>
            </w:pPr>
          </w:p>
        </w:tc>
        <w:tc>
          <w:tcPr>
            <w:tcW w:w="878" w:type="pct"/>
            <w:tcBorders>
              <w:top w:val="nil"/>
              <w:left w:val="nil"/>
              <w:bottom w:val="nil"/>
              <w:right w:val="nil"/>
            </w:tcBorders>
            <w:shd w:val="clear" w:color="auto" w:fill="auto"/>
            <w:noWrap/>
            <w:vAlign w:val="bottom"/>
            <w:hideMark/>
          </w:tcPr>
          <w:p w14:paraId="211F2E35" w14:textId="77777777" w:rsidR="00F95706" w:rsidRPr="00D26C28" w:rsidRDefault="00F95706" w:rsidP="00F95706">
            <w:pPr>
              <w:jc w:val="center"/>
              <w:rPr>
                <w:color w:val="000000" w:themeColor="text1"/>
                <w:sz w:val="16"/>
                <w:szCs w:val="16"/>
              </w:rPr>
            </w:pPr>
            <w:r w:rsidRPr="00D26C28">
              <w:rPr>
                <w:color w:val="000000" w:themeColor="text1"/>
                <w:sz w:val="16"/>
                <w:szCs w:val="16"/>
              </w:rPr>
              <w:t>1.21%</w:t>
            </w:r>
          </w:p>
        </w:tc>
      </w:tr>
      <w:tr w:rsidR="00F95706" w:rsidRPr="00D26C28" w14:paraId="7517406F" w14:textId="77777777" w:rsidTr="00F76167">
        <w:trPr>
          <w:cantSplit/>
          <w:trHeight w:hRule="exact" w:val="255"/>
          <w:jc w:val="center"/>
        </w:trPr>
        <w:tc>
          <w:tcPr>
            <w:tcW w:w="864" w:type="pct"/>
            <w:tcBorders>
              <w:top w:val="nil"/>
              <w:left w:val="nil"/>
              <w:bottom w:val="nil"/>
              <w:right w:val="nil"/>
            </w:tcBorders>
            <w:shd w:val="clear" w:color="auto" w:fill="auto"/>
            <w:noWrap/>
            <w:vAlign w:val="bottom"/>
            <w:hideMark/>
          </w:tcPr>
          <w:p w14:paraId="5CB06FBD" w14:textId="77777777" w:rsidR="00F95706" w:rsidRPr="00D26C28" w:rsidRDefault="00F95706" w:rsidP="00F95706">
            <w:pPr>
              <w:jc w:val="center"/>
              <w:rPr>
                <w:sz w:val="16"/>
                <w:szCs w:val="16"/>
              </w:rPr>
            </w:pPr>
            <w:r w:rsidRPr="00D26C28">
              <w:rPr>
                <w:i/>
                <w:sz w:val="16"/>
                <w:szCs w:val="16"/>
              </w:rPr>
              <w:t>t</w:t>
            </w:r>
            <w:r w:rsidRPr="00D26C28">
              <w:rPr>
                <w:sz w:val="16"/>
                <w:szCs w:val="16"/>
              </w:rPr>
              <w:t>-statistics</w:t>
            </w:r>
          </w:p>
        </w:tc>
        <w:tc>
          <w:tcPr>
            <w:tcW w:w="834" w:type="pct"/>
            <w:tcBorders>
              <w:top w:val="nil"/>
              <w:left w:val="nil"/>
              <w:bottom w:val="nil"/>
              <w:right w:val="nil"/>
            </w:tcBorders>
            <w:shd w:val="clear" w:color="auto" w:fill="auto"/>
            <w:noWrap/>
            <w:vAlign w:val="bottom"/>
            <w:hideMark/>
          </w:tcPr>
          <w:p w14:paraId="77BB92D4" w14:textId="77777777" w:rsidR="00F95706" w:rsidRPr="00D26C28" w:rsidRDefault="00F95706" w:rsidP="00F95706">
            <w:pPr>
              <w:jc w:val="center"/>
              <w:rPr>
                <w:color w:val="000000" w:themeColor="text1"/>
                <w:sz w:val="16"/>
                <w:szCs w:val="16"/>
              </w:rPr>
            </w:pPr>
            <w:r w:rsidRPr="00D26C28">
              <w:rPr>
                <w:color w:val="000000" w:themeColor="text1"/>
                <w:sz w:val="16"/>
                <w:szCs w:val="16"/>
              </w:rPr>
              <w:t>3.29</w:t>
            </w:r>
          </w:p>
        </w:tc>
        <w:tc>
          <w:tcPr>
            <w:tcW w:w="221" w:type="pct"/>
            <w:tcBorders>
              <w:top w:val="nil"/>
              <w:left w:val="nil"/>
              <w:bottom w:val="nil"/>
              <w:right w:val="nil"/>
            </w:tcBorders>
            <w:vAlign w:val="bottom"/>
          </w:tcPr>
          <w:p w14:paraId="71FCC1CE"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08A3E02B" w14:textId="77777777" w:rsidR="00F95706" w:rsidRPr="00D26C28" w:rsidRDefault="00F95706" w:rsidP="00F95706">
            <w:pPr>
              <w:jc w:val="center"/>
              <w:rPr>
                <w:color w:val="000000" w:themeColor="text1"/>
                <w:sz w:val="16"/>
                <w:szCs w:val="16"/>
              </w:rPr>
            </w:pPr>
            <w:r w:rsidRPr="00D26C28">
              <w:rPr>
                <w:color w:val="000000" w:themeColor="text1"/>
                <w:sz w:val="16"/>
                <w:szCs w:val="16"/>
              </w:rPr>
              <w:t>2.53</w:t>
            </w:r>
          </w:p>
        </w:tc>
        <w:tc>
          <w:tcPr>
            <w:tcW w:w="221" w:type="pct"/>
            <w:tcBorders>
              <w:top w:val="nil"/>
              <w:left w:val="nil"/>
              <w:bottom w:val="nil"/>
              <w:right w:val="nil"/>
            </w:tcBorders>
            <w:vAlign w:val="bottom"/>
          </w:tcPr>
          <w:p w14:paraId="11DB8D7E"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2ECFD345" w14:textId="77777777" w:rsidR="00F95706" w:rsidRPr="00D26C28" w:rsidRDefault="00F95706" w:rsidP="00F95706">
            <w:pPr>
              <w:jc w:val="center"/>
              <w:rPr>
                <w:color w:val="000000" w:themeColor="text1"/>
                <w:sz w:val="16"/>
                <w:szCs w:val="16"/>
              </w:rPr>
            </w:pPr>
            <w:r w:rsidRPr="00D26C28">
              <w:rPr>
                <w:color w:val="000000" w:themeColor="text1"/>
                <w:sz w:val="16"/>
                <w:szCs w:val="16"/>
              </w:rPr>
              <w:t>3.45</w:t>
            </w:r>
          </w:p>
        </w:tc>
        <w:tc>
          <w:tcPr>
            <w:tcW w:w="220" w:type="pct"/>
            <w:tcBorders>
              <w:top w:val="nil"/>
              <w:left w:val="nil"/>
              <w:bottom w:val="nil"/>
              <w:right w:val="nil"/>
            </w:tcBorders>
            <w:vAlign w:val="bottom"/>
          </w:tcPr>
          <w:p w14:paraId="75E8D641" w14:textId="77777777" w:rsidR="00F95706" w:rsidRPr="00D26C28" w:rsidRDefault="00F95706" w:rsidP="00F95706">
            <w:pPr>
              <w:jc w:val="center"/>
              <w:rPr>
                <w:color w:val="000000" w:themeColor="text1"/>
                <w:sz w:val="16"/>
                <w:szCs w:val="16"/>
              </w:rPr>
            </w:pPr>
          </w:p>
        </w:tc>
        <w:tc>
          <w:tcPr>
            <w:tcW w:w="878" w:type="pct"/>
            <w:tcBorders>
              <w:top w:val="nil"/>
              <w:left w:val="nil"/>
              <w:bottom w:val="nil"/>
              <w:right w:val="nil"/>
            </w:tcBorders>
            <w:shd w:val="clear" w:color="auto" w:fill="auto"/>
            <w:noWrap/>
            <w:vAlign w:val="bottom"/>
            <w:hideMark/>
          </w:tcPr>
          <w:p w14:paraId="007073CD" w14:textId="77777777" w:rsidR="00F95706" w:rsidRPr="00D26C28" w:rsidRDefault="00F95706" w:rsidP="00F95706">
            <w:pPr>
              <w:jc w:val="center"/>
              <w:rPr>
                <w:color w:val="000000" w:themeColor="text1"/>
                <w:sz w:val="16"/>
                <w:szCs w:val="16"/>
              </w:rPr>
            </w:pPr>
            <w:r w:rsidRPr="00D26C28">
              <w:rPr>
                <w:color w:val="000000" w:themeColor="text1"/>
                <w:sz w:val="16"/>
                <w:szCs w:val="16"/>
              </w:rPr>
              <w:t>3.18</w:t>
            </w:r>
          </w:p>
        </w:tc>
      </w:tr>
      <w:tr w:rsidR="00F95706" w:rsidRPr="00D26C28" w14:paraId="06FE206F" w14:textId="77777777" w:rsidTr="00F76167">
        <w:trPr>
          <w:cantSplit/>
          <w:trHeight w:hRule="exact" w:val="255"/>
          <w:jc w:val="center"/>
        </w:trPr>
        <w:tc>
          <w:tcPr>
            <w:tcW w:w="864" w:type="pct"/>
            <w:tcBorders>
              <w:top w:val="nil"/>
              <w:left w:val="nil"/>
              <w:bottom w:val="nil"/>
              <w:right w:val="nil"/>
            </w:tcBorders>
            <w:shd w:val="clear" w:color="auto" w:fill="auto"/>
            <w:noWrap/>
            <w:vAlign w:val="bottom"/>
            <w:hideMark/>
          </w:tcPr>
          <w:p w14:paraId="180FCEAD" w14:textId="77777777" w:rsidR="00F95706" w:rsidRPr="00D26C28" w:rsidRDefault="00F95706" w:rsidP="00F95706">
            <w:pPr>
              <w:jc w:val="center"/>
              <w:rPr>
                <w:sz w:val="16"/>
                <w:szCs w:val="16"/>
              </w:rPr>
            </w:pPr>
            <w:r w:rsidRPr="00D26C28">
              <w:rPr>
                <w:sz w:val="16"/>
                <w:szCs w:val="16"/>
              </w:rPr>
              <w:t>Volatility</w:t>
            </w:r>
          </w:p>
        </w:tc>
        <w:tc>
          <w:tcPr>
            <w:tcW w:w="834" w:type="pct"/>
            <w:tcBorders>
              <w:top w:val="nil"/>
              <w:left w:val="nil"/>
              <w:bottom w:val="nil"/>
              <w:right w:val="nil"/>
            </w:tcBorders>
            <w:shd w:val="clear" w:color="auto" w:fill="auto"/>
            <w:noWrap/>
            <w:vAlign w:val="bottom"/>
            <w:hideMark/>
          </w:tcPr>
          <w:p w14:paraId="31787487" w14:textId="77777777" w:rsidR="00F95706" w:rsidRPr="00D26C28" w:rsidRDefault="00F95706" w:rsidP="00F95706">
            <w:pPr>
              <w:jc w:val="center"/>
              <w:rPr>
                <w:color w:val="000000" w:themeColor="text1"/>
                <w:sz w:val="16"/>
                <w:szCs w:val="16"/>
              </w:rPr>
            </w:pPr>
            <w:r w:rsidRPr="00D26C28">
              <w:rPr>
                <w:color w:val="000000" w:themeColor="text1"/>
                <w:sz w:val="16"/>
                <w:szCs w:val="16"/>
              </w:rPr>
              <w:t>5.01%</w:t>
            </w:r>
          </w:p>
        </w:tc>
        <w:tc>
          <w:tcPr>
            <w:tcW w:w="221" w:type="pct"/>
            <w:tcBorders>
              <w:top w:val="nil"/>
              <w:left w:val="nil"/>
              <w:bottom w:val="nil"/>
              <w:right w:val="nil"/>
            </w:tcBorders>
            <w:vAlign w:val="bottom"/>
          </w:tcPr>
          <w:p w14:paraId="751B22ED"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2D17CDAB" w14:textId="77777777" w:rsidR="00F95706" w:rsidRPr="00D26C28" w:rsidRDefault="00F95706" w:rsidP="00F95706">
            <w:pPr>
              <w:jc w:val="center"/>
              <w:rPr>
                <w:color w:val="000000" w:themeColor="text1"/>
                <w:sz w:val="16"/>
                <w:szCs w:val="16"/>
              </w:rPr>
            </w:pPr>
            <w:r w:rsidRPr="00D26C28">
              <w:rPr>
                <w:color w:val="000000" w:themeColor="text1"/>
                <w:sz w:val="16"/>
                <w:szCs w:val="16"/>
              </w:rPr>
              <w:t>5.73%</w:t>
            </w:r>
          </w:p>
        </w:tc>
        <w:tc>
          <w:tcPr>
            <w:tcW w:w="221" w:type="pct"/>
            <w:tcBorders>
              <w:top w:val="nil"/>
              <w:left w:val="nil"/>
              <w:bottom w:val="nil"/>
              <w:right w:val="nil"/>
            </w:tcBorders>
            <w:vAlign w:val="bottom"/>
          </w:tcPr>
          <w:p w14:paraId="0539DE6F"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1816FC7A" w14:textId="77777777" w:rsidR="00F95706" w:rsidRPr="00D26C28" w:rsidRDefault="00F95706" w:rsidP="00F95706">
            <w:pPr>
              <w:jc w:val="center"/>
              <w:rPr>
                <w:color w:val="000000" w:themeColor="text1"/>
                <w:sz w:val="16"/>
                <w:szCs w:val="16"/>
              </w:rPr>
            </w:pPr>
            <w:r w:rsidRPr="00D26C28">
              <w:rPr>
                <w:color w:val="000000" w:themeColor="text1"/>
                <w:sz w:val="16"/>
                <w:szCs w:val="16"/>
              </w:rPr>
              <w:t>4.90%</w:t>
            </w:r>
          </w:p>
        </w:tc>
        <w:tc>
          <w:tcPr>
            <w:tcW w:w="220" w:type="pct"/>
            <w:tcBorders>
              <w:top w:val="nil"/>
              <w:left w:val="nil"/>
              <w:bottom w:val="nil"/>
              <w:right w:val="nil"/>
            </w:tcBorders>
            <w:vAlign w:val="bottom"/>
          </w:tcPr>
          <w:p w14:paraId="44E097FB" w14:textId="77777777" w:rsidR="00F95706" w:rsidRPr="00D26C28" w:rsidRDefault="00F95706" w:rsidP="00F95706">
            <w:pPr>
              <w:jc w:val="center"/>
              <w:rPr>
                <w:color w:val="000000" w:themeColor="text1"/>
                <w:sz w:val="16"/>
                <w:szCs w:val="16"/>
              </w:rPr>
            </w:pPr>
          </w:p>
        </w:tc>
        <w:tc>
          <w:tcPr>
            <w:tcW w:w="878" w:type="pct"/>
            <w:tcBorders>
              <w:top w:val="nil"/>
              <w:left w:val="nil"/>
              <w:bottom w:val="nil"/>
              <w:right w:val="nil"/>
            </w:tcBorders>
            <w:shd w:val="clear" w:color="auto" w:fill="auto"/>
            <w:noWrap/>
            <w:vAlign w:val="bottom"/>
            <w:hideMark/>
          </w:tcPr>
          <w:p w14:paraId="773352D8" w14:textId="77777777" w:rsidR="00F95706" w:rsidRPr="00D26C28" w:rsidRDefault="00F95706" w:rsidP="00F95706">
            <w:pPr>
              <w:jc w:val="center"/>
              <w:rPr>
                <w:color w:val="000000" w:themeColor="text1"/>
                <w:sz w:val="16"/>
                <w:szCs w:val="16"/>
              </w:rPr>
            </w:pPr>
            <w:r w:rsidRPr="00D26C28">
              <w:rPr>
                <w:color w:val="000000" w:themeColor="text1"/>
                <w:sz w:val="16"/>
                <w:szCs w:val="16"/>
              </w:rPr>
              <w:t>4.37%</w:t>
            </w:r>
          </w:p>
        </w:tc>
      </w:tr>
      <w:tr w:rsidR="00F95706" w:rsidRPr="00D26C28" w14:paraId="3CB03A1C" w14:textId="77777777" w:rsidTr="00F76167">
        <w:trPr>
          <w:cantSplit/>
          <w:trHeight w:hRule="exact" w:val="255"/>
          <w:jc w:val="center"/>
        </w:trPr>
        <w:tc>
          <w:tcPr>
            <w:tcW w:w="864" w:type="pct"/>
            <w:tcBorders>
              <w:top w:val="nil"/>
              <w:left w:val="nil"/>
              <w:bottom w:val="single" w:sz="4" w:space="0" w:color="000000"/>
              <w:right w:val="nil"/>
            </w:tcBorders>
            <w:shd w:val="clear" w:color="auto" w:fill="auto"/>
            <w:noWrap/>
            <w:vAlign w:val="bottom"/>
            <w:hideMark/>
          </w:tcPr>
          <w:p w14:paraId="5E2EEE75" w14:textId="77777777" w:rsidR="00F95706" w:rsidRPr="00D26C28" w:rsidRDefault="00F95706" w:rsidP="00F95706">
            <w:pPr>
              <w:jc w:val="center"/>
              <w:rPr>
                <w:sz w:val="16"/>
                <w:szCs w:val="16"/>
              </w:rPr>
            </w:pPr>
            <w:r w:rsidRPr="00D26C28">
              <w:rPr>
                <w:sz w:val="16"/>
                <w:szCs w:val="16"/>
              </w:rPr>
              <w:t>Sharpe</w:t>
            </w:r>
          </w:p>
        </w:tc>
        <w:tc>
          <w:tcPr>
            <w:tcW w:w="834" w:type="pct"/>
            <w:tcBorders>
              <w:top w:val="nil"/>
              <w:left w:val="nil"/>
              <w:bottom w:val="single" w:sz="4" w:space="0" w:color="000000"/>
              <w:right w:val="nil"/>
            </w:tcBorders>
            <w:shd w:val="clear" w:color="auto" w:fill="auto"/>
            <w:noWrap/>
            <w:vAlign w:val="bottom"/>
            <w:hideMark/>
          </w:tcPr>
          <w:p w14:paraId="497ED7D1" w14:textId="77777777" w:rsidR="00F95706" w:rsidRPr="00D26C28" w:rsidRDefault="00F95706" w:rsidP="00F95706">
            <w:pPr>
              <w:jc w:val="center"/>
              <w:rPr>
                <w:color w:val="000000" w:themeColor="text1"/>
                <w:sz w:val="16"/>
                <w:szCs w:val="16"/>
              </w:rPr>
            </w:pPr>
            <w:r w:rsidRPr="00D26C28">
              <w:rPr>
                <w:color w:val="000000" w:themeColor="text1"/>
                <w:sz w:val="16"/>
                <w:szCs w:val="16"/>
              </w:rPr>
              <w:t>1.25</w:t>
            </w:r>
          </w:p>
        </w:tc>
        <w:tc>
          <w:tcPr>
            <w:tcW w:w="221" w:type="pct"/>
            <w:tcBorders>
              <w:top w:val="nil"/>
              <w:left w:val="nil"/>
              <w:bottom w:val="single" w:sz="4" w:space="0" w:color="000000"/>
              <w:right w:val="nil"/>
            </w:tcBorders>
            <w:vAlign w:val="bottom"/>
          </w:tcPr>
          <w:p w14:paraId="222A5A8C" w14:textId="77777777" w:rsidR="00F95706" w:rsidRPr="00D26C28" w:rsidRDefault="00F95706" w:rsidP="00F95706">
            <w:pPr>
              <w:jc w:val="center"/>
              <w:rPr>
                <w:color w:val="000000" w:themeColor="text1"/>
                <w:sz w:val="16"/>
                <w:szCs w:val="16"/>
              </w:rPr>
            </w:pPr>
          </w:p>
        </w:tc>
        <w:tc>
          <w:tcPr>
            <w:tcW w:w="881" w:type="pct"/>
            <w:tcBorders>
              <w:top w:val="nil"/>
              <w:left w:val="nil"/>
              <w:bottom w:val="single" w:sz="4" w:space="0" w:color="000000"/>
              <w:right w:val="nil"/>
            </w:tcBorders>
            <w:shd w:val="clear" w:color="auto" w:fill="auto"/>
            <w:noWrap/>
            <w:vAlign w:val="bottom"/>
            <w:hideMark/>
          </w:tcPr>
          <w:p w14:paraId="4DE07CBB" w14:textId="77777777" w:rsidR="00F95706" w:rsidRPr="00D26C28" w:rsidRDefault="00F95706" w:rsidP="00F95706">
            <w:pPr>
              <w:jc w:val="center"/>
              <w:rPr>
                <w:color w:val="000000" w:themeColor="text1"/>
                <w:sz w:val="16"/>
                <w:szCs w:val="16"/>
              </w:rPr>
            </w:pPr>
            <w:r w:rsidRPr="00D26C28">
              <w:rPr>
                <w:color w:val="000000" w:themeColor="text1"/>
                <w:sz w:val="16"/>
                <w:szCs w:val="16"/>
              </w:rPr>
              <w:t>0.84</w:t>
            </w:r>
          </w:p>
        </w:tc>
        <w:tc>
          <w:tcPr>
            <w:tcW w:w="221" w:type="pct"/>
            <w:tcBorders>
              <w:top w:val="nil"/>
              <w:left w:val="nil"/>
              <w:bottom w:val="single" w:sz="4" w:space="0" w:color="000000"/>
              <w:right w:val="nil"/>
            </w:tcBorders>
            <w:vAlign w:val="bottom"/>
          </w:tcPr>
          <w:p w14:paraId="381E03E6" w14:textId="77777777" w:rsidR="00F95706" w:rsidRPr="00D26C28" w:rsidRDefault="00F95706" w:rsidP="00F95706">
            <w:pPr>
              <w:jc w:val="center"/>
              <w:rPr>
                <w:color w:val="000000" w:themeColor="text1"/>
                <w:sz w:val="16"/>
                <w:szCs w:val="16"/>
              </w:rPr>
            </w:pPr>
          </w:p>
        </w:tc>
        <w:tc>
          <w:tcPr>
            <w:tcW w:w="881" w:type="pct"/>
            <w:tcBorders>
              <w:top w:val="nil"/>
              <w:left w:val="nil"/>
              <w:bottom w:val="single" w:sz="4" w:space="0" w:color="000000"/>
              <w:right w:val="nil"/>
            </w:tcBorders>
            <w:shd w:val="clear" w:color="auto" w:fill="auto"/>
            <w:noWrap/>
            <w:vAlign w:val="bottom"/>
            <w:hideMark/>
          </w:tcPr>
          <w:p w14:paraId="728872F5" w14:textId="77777777" w:rsidR="00F95706" w:rsidRPr="00D26C28" w:rsidRDefault="00F95706" w:rsidP="00F95706">
            <w:pPr>
              <w:jc w:val="center"/>
              <w:rPr>
                <w:color w:val="000000" w:themeColor="text1"/>
                <w:sz w:val="16"/>
                <w:szCs w:val="16"/>
              </w:rPr>
            </w:pPr>
            <w:r w:rsidRPr="00D26C28">
              <w:rPr>
                <w:color w:val="000000" w:themeColor="text1"/>
                <w:sz w:val="16"/>
                <w:szCs w:val="16"/>
              </w:rPr>
              <w:t>1.00</w:t>
            </w:r>
          </w:p>
        </w:tc>
        <w:tc>
          <w:tcPr>
            <w:tcW w:w="220" w:type="pct"/>
            <w:tcBorders>
              <w:top w:val="nil"/>
              <w:left w:val="nil"/>
              <w:bottom w:val="single" w:sz="4" w:space="0" w:color="000000"/>
              <w:right w:val="nil"/>
            </w:tcBorders>
            <w:vAlign w:val="bottom"/>
          </w:tcPr>
          <w:p w14:paraId="77AF0A20" w14:textId="77777777" w:rsidR="00F95706" w:rsidRPr="00D26C28" w:rsidRDefault="00F95706" w:rsidP="00F95706">
            <w:pPr>
              <w:jc w:val="center"/>
              <w:rPr>
                <w:color w:val="000000" w:themeColor="text1"/>
                <w:sz w:val="16"/>
                <w:szCs w:val="16"/>
              </w:rPr>
            </w:pPr>
          </w:p>
        </w:tc>
        <w:tc>
          <w:tcPr>
            <w:tcW w:w="878" w:type="pct"/>
            <w:tcBorders>
              <w:top w:val="nil"/>
              <w:left w:val="nil"/>
              <w:bottom w:val="single" w:sz="4" w:space="0" w:color="000000"/>
              <w:right w:val="nil"/>
            </w:tcBorders>
            <w:shd w:val="clear" w:color="auto" w:fill="auto"/>
            <w:noWrap/>
            <w:vAlign w:val="bottom"/>
            <w:hideMark/>
          </w:tcPr>
          <w:p w14:paraId="112467D6" w14:textId="77777777" w:rsidR="00F95706" w:rsidRPr="00D26C28" w:rsidRDefault="00F95706" w:rsidP="00F95706">
            <w:pPr>
              <w:jc w:val="center"/>
              <w:rPr>
                <w:color w:val="000000" w:themeColor="text1"/>
                <w:sz w:val="16"/>
                <w:szCs w:val="16"/>
              </w:rPr>
            </w:pPr>
            <w:r w:rsidRPr="00D26C28">
              <w:rPr>
                <w:color w:val="000000" w:themeColor="text1"/>
                <w:sz w:val="16"/>
                <w:szCs w:val="16"/>
              </w:rPr>
              <w:t>1.02</w:t>
            </w:r>
          </w:p>
        </w:tc>
      </w:tr>
      <w:tr w:rsidR="00F95706" w:rsidRPr="00D26C28" w14:paraId="3CCB4776" w14:textId="77777777" w:rsidTr="00F76167">
        <w:trPr>
          <w:cantSplit/>
          <w:trHeight w:hRule="exact" w:val="255"/>
          <w:jc w:val="center"/>
        </w:trPr>
        <w:tc>
          <w:tcPr>
            <w:tcW w:w="864" w:type="pct"/>
            <w:tcBorders>
              <w:top w:val="nil"/>
              <w:left w:val="nil"/>
              <w:bottom w:val="single" w:sz="4" w:space="0" w:color="auto"/>
              <w:right w:val="nil"/>
            </w:tcBorders>
            <w:shd w:val="clear" w:color="auto" w:fill="auto"/>
            <w:noWrap/>
            <w:vAlign w:val="bottom"/>
            <w:hideMark/>
          </w:tcPr>
          <w:p w14:paraId="4FB214F2" w14:textId="77777777" w:rsidR="00F95706" w:rsidRPr="00D26C28" w:rsidRDefault="00F95706" w:rsidP="00F95706">
            <w:pPr>
              <w:jc w:val="center"/>
              <w:rPr>
                <w:color w:val="000000" w:themeColor="text1"/>
                <w:sz w:val="16"/>
                <w:szCs w:val="16"/>
              </w:rPr>
            </w:pPr>
          </w:p>
        </w:tc>
        <w:tc>
          <w:tcPr>
            <w:tcW w:w="4136" w:type="pct"/>
            <w:gridSpan w:val="7"/>
            <w:tcBorders>
              <w:top w:val="single" w:sz="4" w:space="0" w:color="auto"/>
              <w:left w:val="nil"/>
              <w:bottom w:val="single" w:sz="4" w:space="0" w:color="auto"/>
              <w:right w:val="nil"/>
            </w:tcBorders>
            <w:vAlign w:val="bottom"/>
          </w:tcPr>
          <w:p w14:paraId="7DDA5A68" w14:textId="2688FE42" w:rsidR="00F95706" w:rsidRPr="00D26C28" w:rsidRDefault="00E76B70" w:rsidP="00F95706">
            <w:pPr>
              <w:jc w:val="center"/>
              <w:rPr>
                <w:bCs/>
                <w:color w:val="000000" w:themeColor="text1"/>
                <w:sz w:val="16"/>
                <w:szCs w:val="16"/>
              </w:rPr>
            </w:pPr>
            <w:r w:rsidRPr="00D26C28">
              <w:rPr>
                <w:bCs/>
                <w:color w:val="000000" w:themeColor="text1"/>
                <w:sz w:val="16"/>
                <w:szCs w:val="16"/>
              </w:rPr>
              <w:t xml:space="preserve">C. </w:t>
            </w:r>
            <w:r w:rsidR="00F95706" w:rsidRPr="00D26C28">
              <w:rPr>
                <w:bCs/>
                <w:color w:val="000000" w:themeColor="text1"/>
                <w:sz w:val="16"/>
                <w:szCs w:val="16"/>
              </w:rPr>
              <w:t>Quality</w:t>
            </w:r>
            <w:r w:rsidR="00924B8D" w:rsidRPr="00D26C28">
              <w:rPr>
                <w:bCs/>
                <w:color w:val="000000" w:themeColor="text1"/>
                <w:sz w:val="16"/>
                <w:szCs w:val="16"/>
              </w:rPr>
              <w:t>,</w:t>
            </w:r>
            <w:r w:rsidR="00F95706" w:rsidRPr="00D26C28">
              <w:rPr>
                <w:bCs/>
                <w:color w:val="000000" w:themeColor="text1"/>
                <w:sz w:val="16"/>
                <w:szCs w:val="16"/>
              </w:rPr>
              <w:t xml:space="preserve"> Momentum</w:t>
            </w:r>
            <w:r w:rsidR="00924B8D" w:rsidRPr="00D26C28">
              <w:rPr>
                <w:bCs/>
                <w:color w:val="000000" w:themeColor="text1"/>
                <w:sz w:val="16"/>
                <w:szCs w:val="16"/>
              </w:rPr>
              <w:t>,</w:t>
            </w:r>
            <w:r w:rsidR="00F95706" w:rsidRPr="00D26C28">
              <w:rPr>
                <w:bCs/>
                <w:color w:val="000000" w:themeColor="text1"/>
                <w:sz w:val="16"/>
                <w:szCs w:val="16"/>
              </w:rPr>
              <w:t xml:space="preserve"> Size</w:t>
            </w:r>
            <w:r w:rsidR="00924B8D" w:rsidRPr="00D26C28">
              <w:rPr>
                <w:bCs/>
                <w:color w:val="000000" w:themeColor="text1"/>
                <w:sz w:val="16"/>
                <w:szCs w:val="16"/>
              </w:rPr>
              <w:t>,</w:t>
            </w:r>
            <w:r w:rsidR="00F95706" w:rsidRPr="00D26C28">
              <w:rPr>
                <w:bCs/>
                <w:color w:val="000000" w:themeColor="text1"/>
                <w:sz w:val="16"/>
                <w:szCs w:val="16"/>
              </w:rPr>
              <w:t xml:space="preserve"> Value</w:t>
            </w:r>
            <w:r w:rsidR="00924B8D" w:rsidRPr="00D26C28">
              <w:rPr>
                <w:bCs/>
                <w:color w:val="000000" w:themeColor="text1"/>
                <w:sz w:val="16"/>
                <w:szCs w:val="16"/>
              </w:rPr>
              <w:t>,</w:t>
            </w:r>
            <w:r w:rsidR="00F95706" w:rsidRPr="00D26C28">
              <w:rPr>
                <w:bCs/>
                <w:color w:val="000000" w:themeColor="text1"/>
                <w:sz w:val="16"/>
                <w:szCs w:val="16"/>
              </w:rPr>
              <w:t xml:space="preserve"> Minimum Volatility</w:t>
            </w:r>
          </w:p>
        </w:tc>
      </w:tr>
      <w:tr w:rsidR="00F95706" w:rsidRPr="00D26C28" w14:paraId="493BD399" w14:textId="77777777" w:rsidTr="00F76167">
        <w:trPr>
          <w:cantSplit/>
          <w:trHeight w:hRule="exact" w:val="255"/>
          <w:jc w:val="center"/>
        </w:trPr>
        <w:tc>
          <w:tcPr>
            <w:tcW w:w="864" w:type="pct"/>
            <w:tcBorders>
              <w:top w:val="nil"/>
              <w:left w:val="nil"/>
              <w:bottom w:val="nil"/>
              <w:right w:val="nil"/>
            </w:tcBorders>
            <w:shd w:val="clear" w:color="auto" w:fill="auto"/>
            <w:noWrap/>
            <w:vAlign w:val="bottom"/>
            <w:hideMark/>
          </w:tcPr>
          <w:p w14:paraId="5D81411F" w14:textId="77777777" w:rsidR="00F95706" w:rsidRPr="00D26C28" w:rsidRDefault="00F95706" w:rsidP="00F95706">
            <w:pPr>
              <w:jc w:val="center"/>
              <w:rPr>
                <w:sz w:val="16"/>
                <w:szCs w:val="16"/>
              </w:rPr>
            </w:pPr>
            <w:r w:rsidRPr="00D26C28">
              <w:rPr>
                <w:sz w:val="16"/>
                <w:szCs w:val="16"/>
              </w:rPr>
              <w:t>Returns</w:t>
            </w:r>
          </w:p>
        </w:tc>
        <w:tc>
          <w:tcPr>
            <w:tcW w:w="834" w:type="pct"/>
            <w:tcBorders>
              <w:top w:val="nil"/>
              <w:left w:val="nil"/>
              <w:bottom w:val="nil"/>
              <w:right w:val="nil"/>
            </w:tcBorders>
            <w:shd w:val="clear" w:color="auto" w:fill="auto"/>
            <w:noWrap/>
            <w:vAlign w:val="bottom"/>
            <w:hideMark/>
          </w:tcPr>
          <w:p w14:paraId="42AC3880" w14:textId="77777777" w:rsidR="00F95706" w:rsidRPr="00D26C28" w:rsidRDefault="00F95706" w:rsidP="00F95706">
            <w:pPr>
              <w:jc w:val="center"/>
              <w:rPr>
                <w:color w:val="000000" w:themeColor="text1"/>
                <w:sz w:val="16"/>
                <w:szCs w:val="16"/>
              </w:rPr>
            </w:pPr>
            <w:r w:rsidRPr="00D26C28">
              <w:rPr>
                <w:color w:val="000000" w:themeColor="text1"/>
                <w:sz w:val="16"/>
                <w:szCs w:val="16"/>
              </w:rPr>
              <w:t>1.74%</w:t>
            </w:r>
          </w:p>
        </w:tc>
        <w:tc>
          <w:tcPr>
            <w:tcW w:w="221" w:type="pct"/>
            <w:tcBorders>
              <w:top w:val="nil"/>
              <w:left w:val="nil"/>
              <w:bottom w:val="nil"/>
              <w:right w:val="nil"/>
            </w:tcBorders>
            <w:vAlign w:val="bottom"/>
          </w:tcPr>
          <w:p w14:paraId="6400521A"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7B5A93D9" w14:textId="77777777" w:rsidR="00F95706" w:rsidRPr="00D26C28" w:rsidRDefault="00F95706" w:rsidP="00F95706">
            <w:pPr>
              <w:jc w:val="center"/>
              <w:rPr>
                <w:color w:val="000000" w:themeColor="text1"/>
                <w:sz w:val="16"/>
                <w:szCs w:val="16"/>
              </w:rPr>
            </w:pPr>
            <w:r w:rsidRPr="00D26C28">
              <w:rPr>
                <w:color w:val="000000" w:themeColor="text1"/>
                <w:sz w:val="16"/>
                <w:szCs w:val="16"/>
              </w:rPr>
              <w:t>2.05%</w:t>
            </w:r>
          </w:p>
        </w:tc>
        <w:tc>
          <w:tcPr>
            <w:tcW w:w="221" w:type="pct"/>
            <w:tcBorders>
              <w:top w:val="nil"/>
              <w:left w:val="nil"/>
              <w:bottom w:val="nil"/>
              <w:right w:val="nil"/>
            </w:tcBorders>
            <w:vAlign w:val="bottom"/>
          </w:tcPr>
          <w:p w14:paraId="5CE6D4F4"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1E848EDA" w14:textId="77777777" w:rsidR="00F95706" w:rsidRPr="00D26C28" w:rsidRDefault="00F95706" w:rsidP="00F95706">
            <w:pPr>
              <w:jc w:val="center"/>
              <w:rPr>
                <w:color w:val="000000" w:themeColor="text1"/>
                <w:sz w:val="16"/>
                <w:szCs w:val="16"/>
              </w:rPr>
            </w:pPr>
            <w:r w:rsidRPr="00D26C28">
              <w:rPr>
                <w:color w:val="000000" w:themeColor="text1"/>
                <w:sz w:val="16"/>
                <w:szCs w:val="16"/>
              </w:rPr>
              <w:t>1.73%</w:t>
            </w:r>
          </w:p>
        </w:tc>
        <w:tc>
          <w:tcPr>
            <w:tcW w:w="220" w:type="pct"/>
            <w:tcBorders>
              <w:top w:val="nil"/>
              <w:left w:val="nil"/>
              <w:bottom w:val="nil"/>
              <w:right w:val="nil"/>
            </w:tcBorders>
            <w:vAlign w:val="bottom"/>
          </w:tcPr>
          <w:p w14:paraId="5E68FE7C" w14:textId="77777777" w:rsidR="00F95706" w:rsidRPr="00D26C28" w:rsidRDefault="00F95706" w:rsidP="00F95706">
            <w:pPr>
              <w:jc w:val="center"/>
              <w:rPr>
                <w:color w:val="000000" w:themeColor="text1"/>
                <w:sz w:val="16"/>
                <w:szCs w:val="16"/>
              </w:rPr>
            </w:pPr>
          </w:p>
        </w:tc>
        <w:tc>
          <w:tcPr>
            <w:tcW w:w="878" w:type="pct"/>
            <w:tcBorders>
              <w:top w:val="nil"/>
              <w:left w:val="nil"/>
              <w:bottom w:val="nil"/>
              <w:right w:val="nil"/>
            </w:tcBorders>
            <w:shd w:val="clear" w:color="auto" w:fill="auto"/>
            <w:noWrap/>
            <w:vAlign w:val="bottom"/>
            <w:hideMark/>
          </w:tcPr>
          <w:p w14:paraId="7CF7CB36" w14:textId="77777777" w:rsidR="00F95706" w:rsidRPr="00D26C28" w:rsidRDefault="00F95706" w:rsidP="00F95706">
            <w:pPr>
              <w:jc w:val="center"/>
              <w:rPr>
                <w:color w:val="000000" w:themeColor="text1"/>
                <w:sz w:val="16"/>
                <w:szCs w:val="16"/>
              </w:rPr>
            </w:pPr>
            <w:r w:rsidRPr="00D26C28">
              <w:rPr>
                <w:color w:val="000000" w:themeColor="text1"/>
                <w:sz w:val="16"/>
                <w:szCs w:val="16"/>
              </w:rPr>
              <w:t>1.26%</w:t>
            </w:r>
          </w:p>
        </w:tc>
      </w:tr>
      <w:tr w:rsidR="00F95706" w:rsidRPr="00D26C28" w14:paraId="0C7D90C7" w14:textId="77777777" w:rsidTr="00F76167">
        <w:trPr>
          <w:cantSplit/>
          <w:trHeight w:hRule="exact" w:val="255"/>
          <w:jc w:val="center"/>
        </w:trPr>
        <w:tc>
          <w:tcPr>
            <w:tcW w:w="864" w:type="pct"/>
            <w:tcBorders>
              <w:top w:val="nil"/>
              <w:left w:val="nil"/>
              <w:bottom w:val="nil"/>
              <w:right w:val="nil"/>
            </w:tcBorders>
            <w:shd w:val="clear" w:color="auto" w:fill="auto"/>
            <w:noWrap/>
            <w:vAlign w:val="bottom"/>
            <w:hideMark/>
          </w:tcPr>
          <w:p w14:paraId="17316D86" w14:textId="77777777" w:rsidR="00F95706" w:rsidRPr="00D26C28" w:rsidRDefault="00F95706" w:rsidP="00F95706">
            <w:pPr>
              <w:jc w:val="center"/>
              <w:rPr>
                <w:sz w:val="16"/>
                <w:szCs w:val="16"/>
              </w:rPr>
            </w:pPr>
            <w:r w:rsidRPr="00D26C28">
              <w:rPr>
                <w:i/>
                <w:sz w:val="16"/>
                <w:szCs w:val="16"/>
              </w:rPr>
              <w:t>t</w:t>
            </w:r>
            <w:r w:rsidRPr="00D26C28">
              <w:rPr>
                <w:sz w:val="16"/>
                <w:szCs w:val="16"/>
              </w:rPr>
              <w:t>-statistics</w:t>
            </w:r>
          </w:p>
        </w:tc>
        <w:tc>
          <w:tcPr>
            <w:tcW w:w="834" w:type="pct"/>
            <w:tcBorders>
              <w:top w:val="nil"/>
              <w:left w:val="nil"/>
              <w:bottom w:val="nil"/>
              <w:right w:val="nil"/>
            </w:tcBorders>
            <w:shd w:val="clear" w:color="auto" w:fill="auto"/>
            <w:noWrap/>
            <w:vAlign w:val="bottom"/>
            <w:hideMark/>
          </w:tcPr>
          <w:p w14:paraId="5E437875" w14:textId="77777777" w:rsidR="00F95706" w:rsidRPr="00D26C28" w:rsidRDefault="00F95706" w:rsidP="00F95706">
            <w:pPr>
              <w:jc w:val="center"/>
              <w:rPr>
                <w:color w:val="000000" w:themeColor="text1"/>
                <w:sz w:val="16"/>
                <w:szCs w:val="16"/>
              </w:rPr>
            </w:pPr>
            <w:r w:rsidRPr="00D26C28">
              <w:rPr>
                <w:color w:val="000000" w:themeColor="text1"/>
                <w:sz w:val="16"/>
                <w:szCs w:val="16"/>
              </w:rPr>
              <w:t>3.68</w:t>
            </w:r>
          </w:p>
        </w:tc>
        <w:tc>
          <w:tcPr>
            <w:tcW w:w="221" w:type="pct"/>
            <w:tcBorders>
              <w:top w:val="nil"/>
              <w:left w:val="nil"/>
              <w:bottom w:val="nil"/>
              <w:right w:val="nil"/>
            </w:tcBorders>
            <w:vAlign w:val="bottom"/>
          </w:tcPr>
          <w:p w14:paraId="5D7104FB"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53D90147" w14:textId="77777777" w:rsidR="00F95706" w:rsidRPr="00D26C28" w:rsidRDefault="00F95706" w:rsidP="00F95706">
            <w:pPr>
              <w:jc w:val="center"/>
              <w:rPr>
                <w:color w:val="000000" w:themeColor="text1"/>
                <w:sz w:val="16"/>
                <w:szCs w:val="16"/>
              </w:rPr>
            </w:pPr>
            <w:r w:rsidRPr="00D26C28">
              <w:rPr>
                <w:color w:val="000000" w:themeColor="text1"/>
                <w:sz w:val="16"/>
                <w:szCs w:val="16"/>
              </w:rPr>
              <w:t>4.57</w:t>
            </w:r>
          </w:p>
        </w:tc>
        <w:tc>
          <w:tcPr>
            <w:tcW w:w="221" w:type="pct"/>
            <w:tcBorders>
              <w:top w:val="nil"/>
              <w:left w:val="nil"/>
              <w:bottom w:val="nil"/>
              <w:right w:val="nil"/>
            </w:tcBorders>
            <w:vAlign w:val="bottom"/>
          </w:tcPr>
          <w:p w14:paraId="4712D071"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37D35C1D" w14:textId="77777777" w:rsidR="00F95706" w:rsidRPr="00D26C28" w:rsidRDefault="00F95706" w:rsidP="00F95706">
            <w:pPr>
              <w:jc w:val="center"/>
              <w:rPr>
                <w:color w:val="000000" w:themeColor="text1"/>
                <w:sz w:val="16"/>
                <w:szCs w:val="16"/>
              </w:rPr>
            </w:pPr>
            <w:r w:rsidRPr="00D26C28">
              <w:rPr>
                <w:color w:val="000000" w:themeColor="text1"/>
                <w:sz w:val="16"/>
                <w:szCs w:val="16"/>
              </w:rPr>
              <w:t>4.14</w:t>
            </w:r>
          </w:p>
        </w:tc>
        <w:tc>
          <w:tcPr>
            <w:tcW w:w="220" w:type="pct"/>
            <w:tcBorders>
              <w:top w:val="nil"/>
              <w:left w:val="nil"/>
              <w:bottom w:val="nil"/>
              <w:right w:val="nil"/>
            </w:tcBorders>
            <w:vAlign w:val="bottom"/>
          </w:tcPr>
          <w:p w14:paraId="42818EF0" w14:textId="77777777" w:rsidR="00F95706" w:rsidRPr="00D26C28" w:rsidRDefault="00F95706" w:rsidP="00F95706">
            <w:pPr>
              <w:jc w:val="center"/>
              <w:rPr>
                <w:color w:val="000000" w:themeColor="text1"/>
                <w:sz w:val="16"/>
                <w:szCs w:val="16"/>
              </w:rPr>
            </w:pPr>
          </w:p>
        </w:tc>
        <w:tc>
          <w:tcPr>
            <w:tcW w:w="878" w:type="pct"/>
            <w:tcBorders>
              <w:top w:val="nil"/>
              <w:left w:val="nil"/>
              <w:bottom w:val="nil"/>
              <w:right w:val="nil"/>
            </w:tcBorders>
            <w:shd w:val="clear" w:color="auto" w:fill="auto"/>
            <w:noWrap/>
            <w:vAlign w:val="bottom"/>
            <w:hideMark/>
          </w:tcPr>
          <w:p w14:paraId="7F55752F" w14:textId="77777777" w:rsidR="00F95706" w:rsidRPr="00D26C28" w:rsidRDefault="00F95706" w:rsidP="00F95706">
            <w:pPr>
              <w:jc w:val="center"/>
              <w:rPr>
                <w:color w:val="000000" w:themeColor="text1"/>
                <w:sz w:val="16"/>
                <w:szCs w:val="16"/>
              </w:rPr>
            </w:pPr>
            <w:r w:rsidRPr="00D26C28">
              <w:rPr>
                <w:color w:val="000000" w:themeColor="text1"/>
                <w:sz w:val="16"/>
                <w:szCs w:val="16"/>
              </w:rPr>
              <w:t>2.87</w:t>
            </w:r>
          </w:p>
        </w:tc>
      </w:tr>
      <w:tr w:rsidR="00F95706" w:rsidRPr="00D26C28" w14:paraId="3A738152" w14:textId="77777777" w:rsidTr="00F76167">
        <w:trPr>
          <w:cantSplit/>
          <w:trHeight w:hRule="exact" w:val="255"/>
          <w:jc w:val="center"/>
        </w:trPr>
        <w:tc>
          <w:tcPr>
            <w:tcW w:w="864" w:type="pct"/>
            <w:tcBorders>
              <w:top w:val="nil"/>
              <w:left w:val="nil"/>
              <w:bottom w:val="nil"/>
              <w:right w:val="nil"/>
            </w:tcBorders>
            <w:shd w:val="clear" w:color="auto" w:fill="auto"/>
            <w:noWrap/>
            <w:vAlign w:val="bottom"/>
            <w:hideMark/>
          </w:tcPr>
          <w:p w14:paraId="4827C9C8" w14:textId="77777777" w:rsidR="00F95706" w:rsidRPr="00D26C28" w:rsidRDefault="00F95706" w:rsidP="00F95706">
            <w:pPr>
              <w:jc w:val="center"/>
              <w:rPr>
                <w:sz w:val="16"/>
                <w:szCs w:val="16"/>
              </w:rPr>
            </w:pPr>
            <w:r w:rsidRPr="00D26C28">
              <w:rPr>
                <w:sz w:val="16"/>
                <w:szCs w:val="16"/>
              </w:rPr>
              <w:t>Volatility</w:t>
            </w:r>
          </w:p>
        </w:tc>
        <w:tc>
          <w:tcPr>
            <w:tcW w:w="834" w:type="pct"/>
            <w:tcBorders>
              <w:top w:val="nil"/>
              <w:left w:val="nil"/>
              <w:bottom w:val="nil"/>
              <w:right w:val="nil"/>
            </w:tcBorders>
            <w:shd w:val="clear" w:color="auto" w:fill="auto"/>
            <w:noWrap/>
            <w:vAlign w:val="bottom"/>
            <w:hideMark/>
          </w:tcPr>
          <w:p w14:paraId="3974CCEE" w14:textId="77777777" w:rsidR="00F95706" w:rsidRPr="00D26C28" w:rsidRDefault="00F95706" w:rsidP="00F95706">
            <w:pPr>
              <w:jc w:val="center"/>
              <w:rPr>
                <w:color w:val="000000" w:themeColor="text1"/>
                <w:sz w:val="16"/>
                <w:szCs w:val="16"/>
              </w:rPr>
            </w:pPr>
            <w:r w:rsidRPr="00D26C28">
              <w:rPr>
                <w:color w:val="000000" w:themeColor="text1"/>
                <w:sz w:val="16"/>
                <w:szCs w:val="16"/>
              </w:rPr>
              <w:t>4.52%</w:t>
            </w:r>
          </w:p>
        </w:tc>
        <w:tc>
          <w:tcPr>
            <w:tcW w:w="221" w:type="pct"/>
            <w:tcBorders>
              <w:top w:val="nil"/>
              <w:left w:val="nil"/>
              <w:bottom w:val="nil"/>
              <w:right w:val="nil"/>
            </w:tcBorders>
            <w:vAlign w:val="bottom"/>
          </w:tcPr>
          <w:p w14:paraId="50E6A70B"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3BA33001" w14:textId="77777777" w:rsidR="00F95706" w:rsidRPr="00D26C28" w:rsidRDefault="00F95706" w:rsidP="00F95706">
            <w:pPr>
              <w:jc w:val="center"/>
              <w:rPr>
                <w:color w:val="000000" w:themeColor="text1"/>
                <w:sz w:val="16"/>
                <w:szCs w:val="16"/>
              </w:rPr>
            </w:pPr>
            <w:r w:rsidRPr="00D26C28">
              <w:rPr>
                <w:color w:val="000000" w:themeColor="text1"/>
                <w:sz w:val="16"/>
                <w:szCs w:val="16"/>
              </w:rPr>
              <w:t>5.36%</w:t>
            </w:r>
          </w:p>
        </w:tc>
        <w:tc>
          <w:tcPr>
            <w:tcW w:w="221" w:type="pct"/>
            <w:tcBorders>
              <w:top w:val="nil"/>
              <w:left w:val="nil"/>
              <w:bottom w:val="nil"/>
              <w:right w:val="nil"/>
            </w:tcBorders>
            <w:vAlign w:val="bottom"/>
          </w:tcPr>
          <w:p w14:paraId="7E757C7D" w14:textId="77777777" w:rsidR="00F95706" w:rsidRPr="00D26C28" w:rsidRDefault="00F95706" w:rsidP="00F95706">
            <w:pPr>
              <w:jc w:val="center"/>
              <w:rPr>
                <w:color w:val="000000" w:themeColor="text1"/>
                <w:sz w:val="16"/>
                <w:szCs w:val="16"/>
              </w:rPr>
            </w:pPr>
          </w:p>
        </w:tc>
        <w:tc>
          <w:tcPr>
            <w:tcW w:w="881" w:type="pct"/>
            <w:tcBorders>
              <w:top w:val="nil"/>
              <w:left w:val="nil"/>
              <w:bottom w:val="nil"/>
              <w:right w:val="nil"/>
            </w:tcBorders>
            <w:shd w:val="clear" w:color="auto" w:fill="auto"/>
            <w:noWrap/>
            <w:vAlign w:val="bottom"/>
            <w:hideMark/>
          </w:tcPr>
          <w:p w14:paraId="7C35B75A" w14:textId="77777777" w:rsidR="00F95706" w:rsidRPr="00D26C28" w:rsidRDefault="00F95706" w:rsidP="00F95706">
            <w:pPr>
              <w:jc w:val="center"/>
              <w:rPr>
                <w:color w:val="000000" w:themeColor="text1"/>
                <w:sz w:val="16"/>
                <w:szCs w:val="16"/>
              </w:rPr>
            </w:pPr>
            <w:r w:rsidRPr="00D26C28">
              <w:rPr>
                <w:color w:val="000000" w:themeColor="text1"/>
                <w:sz w:val="16"/>
                <w:szCs w:val="16"/>
              </w:rPr>
              <w:t>4.84%</w:t>
            </w:r>
          </w:p>
        </w:tc>
        <w:tc>
          <w:tcPr>
            <w:tcW w:w="220" w:type="pct"/>
            <w:tcBorders>
              <w:top w:val="nil"/>
              <w:left w:val="nil"/>
              <w:bottom w:val="nil"/>
              <w:right w:val="nil"/>
            </w:tcBorders>
            <w:vAlign w:val="bottom"/>
          </w:tcPr>
          <w:p w14:paraId="33C7DFEC" w14:textId="77777777" w:rsidR="00F95706" w:rsidRPr="00D26C28" w:rsidRDefault="00F95706" w:rsidP="00F95706">
            <w:pPr>
              <w:jc w:val="center"/>
              <w:rPr>
                <w:color w:val="000000" w:themeColor="text1"/>
                <w:sz w:val="16"/>
                <w:szCs w:val="16"/>
              </w:rPr>
            </w:pPr>
          </w:p>
        </w:tc>
        <w:tc>
          <w:tcPr>
            <w:tcW w:w="878" w:type="pct"/>
            <w:tcBorders>
              <w:top w:val="nil"/>
              <w:left w:val="nil"/>
              <w:bottom w:val="nil"/>
              <w:right w:val="nil"/>
            </w:tcBorders>
            <w:shd w:val="clear" w:color="auto" w:fill="auto"/>
            <w:noWrap/>
            <w:vAlign w:val="bottom"/>
            <w:hideMark/>
          </w:tcPr>
          <w:p w14:paraId="15E62DB0" w14:textId="77777777" w:rsidR="00F95706" w:rsidRPr="00D26C28" w:rsidRDefault="00F95706" w:rsidP="00F95706">
            <w:pPr>
              <w:jc w:val="center"/>
              <w:rPr>
                <w:color w:val="000000" w:themeColor="text1"/>
                <w:sz w:val="16"/>
                <w:szCs w:val="16"/>
              </w:rPr>
            </w:pPr>
            <w:r w:rsidRPr="00D26C28">
              <w:rPr>
                <w:color w:val="000000" w:themeColor="text1"/>
                <w:sz w:val="16"/>
                <w:szCs w:val="16"/>
              </w:rPr>
              <w:t>4.67%</w:t>
            </w:r>
          </w:p>
        </w:tc>
      </w:tr>
      <w:tr w:rsidR="00F95706" w:rsidRPr="00D26C28" w14:paraId="67730D12" w14:textId="77777777" w:rsidTr="00F76167">
        <w:trPr>
          <w:cantSplit/>
          <w:trHeight w:hRule="exact" w:val="255"/>
          <w:jc w:val="center"/>
        </w:trPr>
        <w:tc>
          <w:tcPr>
            <w:tcW w:w="864" w:type="pct"/>
            <w:tcBorders>
              <w:top w:val="nil"/>
              <w:left w:val="nil"/>
              <w:bottom w:val="single" w:sz="4" w:space="0" w:color="000000"/>
              <w:right w:val="nil"/>
            </w:tcBorders>
            <w:shd w:val="clear" w:color="auto" w:fill="auto"/>
            <w:noWrap/>
            <w:vAlign w:val="bottom"/>
            <w:hideMark/>
          </w:tcPr>
          <w:p w14:paraId="7C34EC18" w14:textId="77777777" w:rsidR="00F95706" w:rsidRPr="00D26C28" w:rsidRDefault="00F95706" w:rsidP="00F95706">
            <w:pPr>
              <w:jc w:val="center"/>
              <w:rPr>
                <w:sz w:val="16"/>
                <w:szCs w:val="16"/>
              </w:rPr>
            </w:pPr>
            <w:r w:rsidRPr="00D26C28">
              <w:rPr>
                <w:sz w:val="16"/>
                <w:szCs w:val="16"/>
              </w:rPr>
              <w:t>Sharpe</w:t>
            </w:r>
          </w:p>
        </w:tc>
        <w:tc>
          <w:tcPr>
            <w:tcW w:w="834" w:type="pct"/>
            <w:tcBorders>
              <w:top w:val="nil"/>
              <w:left w:val="nil"/>
              <w:bottom w:val="single" w:sz="4" w:space="0" w:color="000000"/>
              <w:right w:val="nil"/>
            </w:tcBorders>
            <w:shd w:val="clear" w:color="auto" w:fill="auto"/>
            <w:noWrap/>
            <w:vAlign w:val="bottom"/>
            <w:hideMark/>
          </w:tcPr>
          <w:p w14:paraId="15525599" w14:textId="77777777" w:rsidR="00F95706" w:rsidRPr="00D26C28" w:rsidRDefault="00F95706" w:rsidP="00F95706">
            <w:pPr>
              <w:jc w:val="center"/>
              <w:rPr>
                <w:color w:val="000000" w:themeColor="text1"/>
                <w:sz w:val="16"/>
                <w:szCs w:val="16"/>
              </w:rPr>
            </w:pPr>
            <w:r w:rsidRPr="00D26C28">
              <w:rPr>
                <w:color w:val="000000" w:themeColor="text1"/>
                <w:sz w:val="16"/>
                <w:szCs w:val="16"/>
              </w:rPr>
              <w:t>1.47</w:t>
            </w:r>
          </w:p>
        </w:tc>
        <w:tc>
          <w:tcPr>
            <w:tcW w:w="221" w:type="pct"/>
            <w:tcBorders>
              <w:top w:val="nil"/>
              <w:left w:val="nil"/>
              <w:bottom w:val="single" w:sz="4" w:space="0" w:color="000000"/>
              <w:right w:val="nil"/>
            </w:tcBorders>
            <w:vAlign w:val="bottom"/>
          </w:tcPr>
          <w:p w14:paraId="12AA923F" w14:textId="77777777" w:rsidR="00F95706" w:rsidRPr="00D26C28" w:rsidRDefault="00F95706" w:rsidP="00F95706">
            <w:pPr>
              <w:jc w:val="center"/>
              <w:rPr>
                <w:color w:val="000000" w:themeColor="text1"/>
                <w:sz w:val="16"/>
                <w:szCs w:val="16"/>
              </w:rPr>
            </w:pPr>
          </w:p>
        </w:tc>
        <w:tc>
          <w:tcPr>
            <w:tcW w:w="881" w:type="pct"/>
            <w:tcBorders>
              <w:top w:val="nil"/>
              <w:left w:val="nil"/>
              <w:bottom w:val="single" w:sz="4" w:space="0" w:color="000000"/>
              <w:right w:val="nil"/>
            </w:tcBorders>
            <w:shd w:val="clear" w:color="auto" w:fill="auto"/>
            <w:noWrap/>
            <w:vAlign w:val="bottom"/>
            <w:hideMark/>
          </w:tcPr>
          <w:p w14:paraId="34B92F30" w14:textId="77777777" w:rsidR="00F95706" w:rsidRPr="00D26C28" w:rsidRDefault="00F95706" w:rsidP="00F95706">
            <w:pPr>
              <w:jc w:val="center"/>
              <w:rPr>
                <w:color w:val="000000" w:themeColor="text1"/>
                <w:sz w:val="16"/>
                <w:szCs w:val="16"/>
              </w:rPr>
            </w:pPr>
            <w:r w:rsidRPr="00D26C28">
              <w:rPr>
                <w:color w:val="000000" w:themeColor="text1"/>
                <w:sz w:val="16"/>
                <w:szCs w:val="16"/>
              </w:rPr>
              <w:t>1.49</w:t>
            </w:r>
          </w:p>
        </w:tc>
        <w:tc>
          <w:tcPr>
            <w:tcW w:w="221" w:type="pct"/>
            <w:tcBorders>
              <w:top w:val="nil"/>
              <w:left w:val="nil"/>
              <w:bottom w:val="single" w:sz="4" w:space="0" w:color="000000"/>
              <w:right w:val="nil"/>
            </w:tcBorders>
            <w:vAlign w:val="bottom"/>
          </w:tcPr>
          <w:p w14:paraId="3F541609" w14:textId="77777777" w:rsidR="00F95706" w:rsidRPr="00D26C28" w:rsidRDefault="00F95706" w:rsidP="00F95706">
            <w:pPr>
              <w:jc w:val="center"/>
              <w:rPr>
                <w:color w:val="000000" w:themeColor="text1"/>
                <w:sz w:val="16"/>
                <w:szCs w:val="16"/>
              </w:rPr>
            </w:pPr>
          </w:p>
        </w:tc>
        <w:tc>
          <w:tcPr>
            <w:tcW w:w="881" w:type="pct"/>
            <w:tcBorders>
              <w:top w:val="nil"/>
              <w:left w:val="nil"/>
              <w:bottom w:val="single" w:sz="4" w:space="0" w:color="000000"/>
              <w:right w:val="nil"/>
            </w:tcBorders>
            <w:shd w:val="clear" w:color="auto" w:fill="auto"/>
            <w:noWrap/>
            <w:vAlign w:val="bottom"/>
            <w:hideMark/>
          </w:tcPr>
          <w:p w14:paraId="17DE29B2" w14:textId="77777777" w:rsidR="00F95706" w:rsidRPr="00D26C28" w:rsidRDefault="00F95706" w:rsidP="00F95706">
            <w:pPr>
              <w:jc w:val="center"/>
              <w:rPr>
                <w:color w:val="000000" w:themeColor="text1"/>
                <w:sz w:val="16"/>
                <w:szCs w:val="16"/>
              </w:rPr>
            </w:pPr>
            <w:r w:rsidRPr="00D26C28">
              <w:rPr>
                <w:color w:val="000000" w:themeColor="text1"/>
                <w:sz w:val="16"/>
                <w:szCs w:val="16"/>
              </w:rPr>
              <w:t>1.36</w:t>
            </w:r>
          </w:p>
        </w:tc>
        <w:tc>
          <w:tcPr>
            <w:tcW w:w="220" w:type="pct"/>
            <w:tcBorders>
              <w:top w:val="nil"/>
              <w:left w:val="nil"/>
              <w:bottom w:val="single" w:sz="4" w:space="0" w:color="000000"/>
              <w:right w:val="nil"/>
            </w:tcBorders>
            <w:vAlign w:val="bottom"/>
          </w:tcPr>
          <w:p w14:paraId="40F23DA6" w14:textId="77777777" w:rsidR="00F95706" w:rsidRPr="00D26C28" w:rsidRDefault="00F95706" w:rsidP="00F95706">
            <w:pPr>
              <w:jc w:val="center"/>
              <w:rPr>
                <w:color w:val="000000" w:themeColor="text1"/>
                <w:sz w:val="16"/>
                <w:szCs w:val="16"/>
              </w:rPr>
            </w:pPr>
          </w:p>
        </w:tc>
        <w:tc>
          <w:tcPr>
            <w:tcW w:w="878" w:type="pct"/>
            <w:tcBorders>
              <w:top w:val="nil"/>
              <w:left w:val="nil"/>
              <w:bottom w:val="single" w:sz="4" w:space="0" w:color="000000"/>
              <w:right w:val="nil"/>
            </w:tcBorders>
            <w:shd w:val="clear" w:color="auto" w:fill="auto"/>
            <w:noWrap/>
            <w:vAlign w:val="bottom"/>
            <w:hideMark/>
          </w:tcPr>
          <w:p w14:paraId="2833D4AF" w14:textId="77777777" w:rsidR="00F95706" w:rsidRPr="00D26C28" w:rsidRDefault="00F95706" w:rsidP="00F95706">
            <w:pPr>
              <w:jc w:val="center"/>
              <w:rPr>
                <w:color w:val="000000" w:themeColor="text1"/>
                <w:sz w:val="16"/>
                <w:szCs w:val="16"/>
              </w:rPr>
            </w:pPr>
            <w:r w:rsidRPr="00D26C28">
              <w:rPr>
                <w:color w:val="000000" w:themeColor="text1"/>
                <w:sz w:val="16"/>
                <w:szCs w:val="16"/>
              </w:rPr>
              <w:t>1.00</w:t>
            </w:r>
          </w:p>
        </w:tc>
      </w:tr>
    </w:tbl>
    <w:p w14:paraId="13E71292" w14:textId="77777777" w:rsidR="00771882" w:rsidRPr="00D26C28" w:rsidRDefault="00771882" w:rsidP="00771882">
      <w:pPr>
        <w:shd w:val="clear" w:color="auto" w:fill="FFFFFF"/>
        <w:ind w:right="249"/>
        <w:contextualSpacing/>
        <w:jc w:val="both"/>
        <w:rPr>
          <w:color w:val="000000" w:themeColor="text1"/>
        </w:rPr>
      </w:pPr>
    </w:p>
    <w:p w14:paraId="37B75DE0" w14:textId="7CB1317D" w:rsidR="00F46208" w:rsidRPr="00D26C28" w:rsidRDefault="00771882" w:rsidP="009337A5">
      <w:pPr>
        <w:shd w:val="clear" w:color="auto" w:fill="FFFFFF"/>
        <w:spacing w:after="120"/>
        <w:ind w:right="249"/>
        <w:jc w:val="both"/>
        <w:rPr>
          <w:color w:val="000000" w:themeColor="text1"/>
        </w:rPr>
      </w:pPr>
      <w:r w:rsidRPr="00D26C28">
        <w:rPr>
          <w:color w:val="000000" w:themeColor="text1"/>
        </w:rPr>
        <w:t>We</w:t>
      </w:r>
      <w:r w:rsidR="00F46208" w:rsidRPr="00D26C28">
        <w:rPr>
          <w:color w:val="000000" w:themeColor="text1"/>
        </w:rPr>
        <w:t xml:space="preserve"> have fought long and hard </w:t>
      </w:r>
      <w:r w:rsidRPr="00D26C28">
        <w:rPr>
          <w:color w:val="000000" w:themeColor="text1"/>
        </w:rPr>
        <w:t>about whether the above findings should be presented in the manuscript</w:t>
      </w:r>
      <w:r w:rsidR="00F46208" w:rsidRPr="00D26C28">
        <w:rPr>
          <w:color w:val="000000" w:themeColor="text1"/>
        </w:rPr>
        <w:t xml:space="preserve">. </w:t>
      </w:r>
      <w:r w:rsidRPr="00D26C28">
        <w:rPr>
          <w:color w:val="000000" w:themeColor="text1"/>
        </w:rPr>
        <w:t>Ultimately</w:t>
      </w:r>
      <w:r w:rsidR="00F46208" w:rsidRPr="00D26C28">
        <w:rPr>
          <w:color w:val="000000" w:themeColor="text1"/>
        </w:rPr>
        <w:t>, we believe that multi-factor</w:t>
      </w:r>
      <w:r w:rsidRPr="00D26C28">
        <w:rPr>
          <w:color w:val="000000" w:themeColor="text1"/>
        </w:rPr>
        <w:t xml:space="preserve"> ESG</w:t>
      </w:r>
      <w:r w:rsidR="00F46208" w:rsidRPr="00D26C28">
        <w:rPr>
          <w:color w:val="000000" w:themeColor="text1"/>
        </w:rPr>
        <w:t xml:space="preserve"> integration goes beyond the scope of our current work. This is mainly because investors’ preference towards factors are completely arbitrary, i.e. one can choose to invest in any single factor(s) or combinations</w:t>
      </w:r>
      <w:r w:rsidR="00BA496D" w:rsidRPr="00D26C28">
        <w:rPr>
          <w:color w:val="000000" w:themeColor="text1"/>
        </w:rPr>
        <w:t xml:space="preserve"> of factors</w:t>
      </w:r>
      <w:r w:rsidR="00F46208" w:rsidRPr="00D26C28">
        <w:rPr>
          <w:color w:val="000000" w:themeColor="text1"/>
        </w:rPr>
        <w:t xml:space="preserve">. Our main goal is assessing the impact of ESG integration on single-factor exposures, </w:t>
      </w:r>
      <w:r w:rsidR="00F46208" w:rsidRPr="00D26C28">
        <w:rPr>
          <w:i/>
          <w:iCs/>
          <w:color w:val="000000" w:themeColor="text1"/>
        </w:rPr>
        <w:t>not</w:t>
      </w:r>
      <w:r w:rsidR="00F46208" w:rsidRPr="00D26C28">
        <w:rPr>
          <w:color w:val="000000" w:themeColor="text1"/>
        </w:rPr>
        <w:t xml:space="preserve"> obtaining the “optimal”</w:t>
      </w:r>
      <w:r w:rsidR="003C0BB8" w:rsidRPr="00D26C28">
        <w:rPr>
          <w:color w:val="000000" w:themeColor="text1"/>
        </w:rPr>
        <w:t xml:space="preserve"> or “efficient” factor</w:t>
      </w:r>
      <w:r w:rsidR="00F46208" w:rsidRPr="00D26C28">
        <w:rPr>
          <w:color w:val="000000" w:themeColor="text1"/>
        </w:rPr>
        <w:t xml:space="preserve"> exposure within </w:t>
      </w:r>
      <w:r w:rsidR="00660845" w:rsidRPr="00D26C28">
        <w:rPr>
          <w:color w:val="000000" w:themeColor="text1"/>
        </w:rPr>
        <w:t>an</w:t>
      </w:r>
      <w:r w:rsidR="00F46208" w:rsidRPr="00D26C28">
        <w:rPr>
          <w:color w:val="000000" w:themeColor="text1"/>
        </w:rPr>
        <w:t xml:space="preserve"> investable universe</w:t>
      </w:r>
      <w:r w:rsidRPr="00D26C28">
        <w:rPr>
          <w:color w:val="000000" w:themeColor="text1"/>
        </w:rPr>
        <w:t xml:space="preserve"> as discussed</w:t>
      </w:r>
      <w:r w:rsidR="009337A5" w:rsidRPr="00D26C28">
        <w:rPr>
          <w:color w:val="000000" w:themeColor="text1"/>
        </w:rPr>
        <w:t xml:space="preserve"> in</w:t>
      </w:r>
      <w:r w:rsidR="003C0BB8" w:rsidRPr="00D26C28">
        <w:rPr>
          <w:color w:val="000000" w:themeColor="text1"/>
        </w:rPr>
        <w:t xml:space="preserve"> Clark, De Silva &amp; Thorley (2016), Ghayur, Heaney &amp; Platt</w:t>
      </w:r>
      <w:r w:rsidR="009337A5" w:rsidRPr="00D26C28">
        <w:rPr>
          <w:color w:val="000000" w:themeColor="text1"/>
        </w:rPr>
        <w:t xml:space="preserve"> (</w:t>
      </w:r>
      <w:r w:rsidR="003C0BB8" w:rsidRPr="00D26C28">
        <w:rPr>
          <w:color w:val="000000" w:themeColor="text1"/>
        </w:rPr>
        <w:t>2018</w:t>
      </w:r>
      <w:r w:rsidR="009337A5" w:rsidRPr="00D26C28">
        <w:rPr>
          <w:color w:val="000000" w:themeColor="text1"/>
        </w:rPr>
        <w:t>) and</w:t>
      </w:r>
      <w:r w:rsidR="003C0BB8" w:rsidRPr="00D26C28">
        <w:rPr>
          <w:color w:val="000000" w:themeColor="text1"/>
        </w:rPr>
        <w:t xml:space="preserve"> Lester</w:t>
      </w:r>
      <w:r w:rsidR="009337A5" w:rsidRPr="00D26C28">
        <w:rPr>
          <w:color w:val="000000" w:themeColor="text1"/>
        </w:rPr>
        <w:t xml:space="preserve"> (</w:t>
      </w:r>
      <w:r w:rsidR="003C0BB8" w:rsidRPr="00D26C28">
        <w:rPr>
          <w:color w:val="000000" w:themeColor="text1"/>
        </w:rPr>
        <w:t>2019</w:t>
      </w:r>
      <w:r w:rsidR="009337A5" w:rsidRPr="00D26C28">
        <w:rPr>
          <w:color w:val="000000" w:themeColor="text1"/>
        </w:rPr>
        <w:t>)</w:t>
      </w:r>
      <w:r w:rsidR="00F46208" w:rsidRPr="00D26C28">
        <w:rPr>
          <w:color w:val="000000" w:themeColor="text1"/>
        </w:rPr>
        <w:t>.</w:t>
      </w:r>
      <w:r w:rsidR="009337A5" w:rsidRPr="00D26C28">
        <w:rPr>
          <w:color w:val="000000" w:themeColor="text1"/>
        </w:rPr>
        <w:t xml:space="preserve"> For this reason, we have opted to not </w:t>
      </w:r>
      <w:r w:rsidR="00BA496D" w:rsidRPr="00D26C28">
        <w:rPr>
          <w:color w:val="000000" w:themeColor="text1"/>
        </w:rPr>
        <w:t xml:space="preserve">report </w:t>
      </w:r>
      <w:r w:rsidR="009337A5" w:rsidRPr="00D26C28">
        <w:rPr>
          <w:color w:val="000000" w:themeColor="text1"/>
        </w:rPr>
        <w:t>the above table in the manuscript, as it considerably shifts the focus of the paper.</w:t>
      </w:r>
      <w:r w:rsidR="00660845" w:rsidRPr="00D26C28">
        <w:rPr>
          <w:color w:val="000000" w:themeColor="text1"/>
        </w:rPr>
        <w:t xml:space="preserve"> However, </w:t>
      </w:r>
      <w:r w:rsidR="00BA496D" w:rsidRPr="00D26C28">
        <w:rPr>
          <w:color w:val="000000" w:themeColor="text1"/>
        </w:rPr>
        <w:t>a new footnote (#15) on page 15 has been inserted to highlight the key results discussed.</w:t>
      </w:r>
      <w:r w:rsidR="000134D2" w:rsidRPr="00D26C28">
        <w:rPr>
          <w:color w:val="000000" w:themeColor="text1"/>
        </w:rPr>
        <w:t xml:space="preserve"> </w:t>
      </w:r>
    </w:p>
    <w:p w14:paraId="378F40BD" w14:textId="0C37C6D8" w:rsidR="00DD72A4" w:rsidRPr="00D26C28" w:rsidRDefault="00C57BE3" w:rsidP="00FB2306">
      <w:pPr>
        <w:shd w:val="clear" w:color="auto" w:fill="FFFFFF"/>
        <w:ind w:right="249"/>
        <w:contextualSpacing/>
        <w:jc w:val="both"/>
        <w:rPr>
          <w:b/>
          <w:bCs/>
          <w:iCs/>
          <w:color w:val="000000" w:themeColor="text1"/>
          <w:sz w:val="22"/>
          <w:szCs w:val="22"/>
        </w:rPr>
      </w:pPr>
      <w:r w:rsidRPr="00D26C28">
        <w:rPr>
          <w:color w:val="000000" w:themeColor="text1"/>
        </w:rPr>
        <w:lastRenderedPageBreak/>
        <w:t>Third, we thank the referee for pointing out “the lack of theoretical motivation”. While we share the</w:t>
      </w:r>
      <w:r w:rsidR="002A3A46" w:rsidRPr="00D26C28">
        <w:rPr>
          <w:color w:val="000000" w:themeColor="text1"/>
        </w:rPr>
        <w:t xml:space="preserve"> concern of the referee, </w:t>
      </w:r>
      <w:r w:rsidRPr="00D26C28">
        <w:rPr>
          <w:color w:val="000000" w:themeColor="text1"/>
        </w:rPr>
        <w:t xml:space="preserve">like most other studies in the </w:t>
      </w:r>
      <w:r w:rsidR="00313157" w:rsidRPr="00D26C28">
        <w:rPr>
          <w:color w:val="000000" w:themeColor="text1"/>
        </w:rPr>
        <w:t>ESG</w:t>
      </w:r>
      <w:r w:rsidR="00706AD8" w:rsidRPr="00D26C28">
        <w:rPr>
          <w:color w:val="000000" w:themeColor="text1"/>
        </w:rPr>
        <w:t xml:space="preserve"> investing</w:t>
      </w:r>
      <w:r w:rsidRPr="00D26C28">
        <w:rPr>
          <w:color w:val="000000" w:themeColor="text1"/>
        </w:rPr>
        <w:t xml:space="preserve"> literature, our motivation is</w:t>
      </w:r>
      <w:r w:rsidR="00AB6CD0" w:rsidRPr="00D26C28">
        <w:rPr>
          <w:color w:val="000000" w:themeColor="text1"/>
        </w:rPr>
        <w:t xml:space="preserve"> to examine the empirical link between </w:t>
      </w:r>
      <w:r w:rsidR="00925B34" w:rsidRPr="00D26C28">
        <w:rPr>
          <w:color w:val="000000" w:themeColor="text1"/>
        </w:rPr>
        <w:t xml:space="preserve">firm’s non-financial (i.e., </w:t>
      </w:r>
      <w:r w:rsidR="00AB6CD0" w:rsidRPr="00D26C28">
        <w:rPr>
          <w:color w:val="000000" w:themeColor="text1"/>
        </w:rPr>
        <w:t>ESG</w:t>
      </w:r>
      <w:r w:rsidR="00925B34" w:rsidRPr="00D26C28">
        <w:rPr>
          <w:color w:val="000000" w:themeColor="text1"/>
        </w:rPr>
        <w:t>)</w:t>
      </w:r>
      <w:r w:rsidR="00AB6CD0" w:rsidRPr="00D26C28">
        <w:rPr>
          <w:color w:val="000000" w:themeColor="text1"/>
        </w:rPr>
        <w:t xml:space="preserve"> and</w:t>
      </w:r>
      <w:r w:rsidR="00925B34" w:rsidRPr="00D26C28">
        <w:rPr>
          <w:color w:val="000000" w:themeColor="text1"/>
        </w:rPr>
        <w:t xml:space="preserve"> financial performance</w:t>
      </w:r>
      <w:r w:rsidR="00AB6CD0" w:rsidRPr="00D26C28">
        <w:rPr>
          <w:color w:val="000000" w:themeColor="text1"/>
        </w:rPr>
        <w:t xml:space="preserve"> </w:t>
      </w:r>
      <w:r w:rsidR="00925B34" w:rsidRPr="00D26C28">
        <w:rPr>
          <w:color w:val="000000" w:themeColor="text1"/>
        </w:rPr>
        <w:t xml:space="preserve">(i.e., </w:t>
      </w:r>
      <w:r w:rsidR="00AB6CD0" w:rsidRPr="00D26C28">
        <w:rPr>
          <w:color w:val="000000" w:themeColor="text1"/>
        </w:rPr>
        <w:t>stock returns</w:t>
      </w:r>
      <w:r w:rsidR="00925B34" w:rsidRPr="00D26C28">
        <w:rPr>
          <w:color w:val="000000" w:themeColor="text1"/>
        </w:rPr>
        <w:t>)</w:t>
      </w:r>
      <w:r w:rsidR="00AB6CD0" w:rsidRPr="00D26C28">
        <w:rPr>
          <w:color w:val="000000" w:themeColor="text1"/>
        </w:rPr>
        <w:t xml:space="preserve">. Our particular interest </w:t>
      </w:r>
      <w:r w:rsidR="00925B34" w:rsidRPr="00D26C28">
        <w:rPr>
          <w:color w:val="000000" w:themeColor="text1"/>
        </w:rPr>
        <w:t>is to understand</w:t>
      </w:r>
      <w:r w:rsidR="00AB6CD0" w:rsidRPr="00D26C28">
        <w:rPr>
          <w:color w:val="000000" w:themeColor="text1"/>
        </w:rPr>
        <w:t xml:space="preserve"> how</w:t>
      </w:r>
      <w:r w:rsidR="00925B34" w:rsidRPr="00D26C28">
        <w:rPr>
          <w:color w:val="000000" w:themeColor="text1"/>
        </w:rPr>
        <w:t xml:space="preserve"> </w:t>
      </w:r>
      <w:r w:rsidR="00AB6CD0" w:rsidRPr="00D26C28">
        <w:rPr>
          <w:color w:val="000000" w:themeColor="text1"/>
        </w:rPr>
        <w:t xml:space="preserve">ESG </w:t>
      </w:r>
      <w:r w:rsidR="00925B34" w:rsidRPr="00D26C28">
        <w:rPr>
          <w:color w:val="000000" w:themeColor="text1"/>
        </w:rPr>
        <w:t xml:space="preserve">scores </w:t>
      </w:r>
      <w:r w:rsidRPr="00D26C28">
        <w:rPr>
          <w:i/>
          <w:iCs/>
          <w:color w:val="000000" w:themeColor="text1"/>
        </w:rPr>
        <w:t>interac</w:t>
      </w:r>
      <w:r w:rsidR="00925B34" w:rsidRPr="00D26C28">
        <w:rPr>
          <w:i/>
          <w:iCs/>
          <w:color w:val="000000" w:themeColor="text1"/>
        </w:rPr>
        <w:t>t</w:t>
      </w:r>
      <w:r w:rsidRPr="00D26C28">
        <w:rPr>
          <w:color w:val="000000" w:themeColor="text1"/>
        </w:rPr>
        <w:t xml:space="preserve"> with </w:t>
      </w:r>
      <w:r w:rsidR="00911033" w:rsidRPr="00D26C28">
        <w:rPr>
          <w:color w:val="000000" w:themeColor="text1"/>
        </w:rPr>
        <w:t xml:space="preserve">firm </w:t>
      </w:r>
      <w:r w:rsidR="00AB6CD0" w:rsidRPr="00D26C28">
        <w:rPr>
          <w:color w:val="000000" w:themeColor="text1"/>
        </w:rPr>
        <w:t xml:space="preserve">characteristics that are </w:t>
      </w:r>
      <w:r w:rsidRPr="00D26C28">
        <w:rPr>
          <w:color w:val="000000" w:themeColor="text1"/>
        </w:rPr>
        <w:t xml:space="preserve">fundamental to the pricing of </w:t>
      </w:r>
      <w:r w:rsidR="00706AD8" w:rsidRPr="00D26C28">
        <w:rPr>
          <w:color w:val="000000" w:themeColor="text1"/>
        </w:rPr>
        <w:t xml:space="preserve">Australian </w:t>
      </w:r>
      <w:r w:rsidRPr="00D26C28">
        <w:rPr>
          <w:color w:val="000000" w:themeColor="text1"/>
        </w:rPr>
        <w:t>stocks.</w:t>
      </w:r>
      <w:r w:rsidR="00706AD8" w:rsidRPr="00D26C28">
        <w:rPr>
          <w:color w:val="000000" w:themeColor="text1"/>
        </w:rPr>
        <w:t xml:space="preserve"> A</w:t>
      </w:r>
      <w:r w:rsidR="003206CD" w:rsidRPr="00D26C28">
        <w:rPr>
          <w:color w:val="000000" w:themeColor="text1"/>
        </w:rPr>
        <w:t xml:space="preserve">s noted by the referee, </w:t>
      </w:r>
      <w:r w:rsidR="00F95706" w:rsidRPr="00D26C28">
        <w:rPr>
          <w:color w:val="000000" w:themeColor="text1"/>
        </w:rPr>
        <w:t>there is no universal</w:t>
      </w:r>
      <w:r w:rsidR="00706AD8" w:rsidRPr="00D26C28">
        <w:rPr>
          <w:color w:val="000000" w:themeColor="text1"/>
        </w:rPr>
        <w:t xml:space="preserve"> </w:t>
      </w:r>
      <w:r w:rsidR="00870BE4" w:rsidRPr="00D26C28">
        <w:rPr>
          <w:color w:val="000000" w:themeColor="text1"/>
        </w:rPr>
        <w:t>method</w:t>
      </w:r>
      <w:r w:rsidR="00706AD8" w:rsidRPr="00D26C28">
        <w:rPr>
          <w:color w:val="000000" w:themeColor="text1"/>
        </w:rPr>
        <w:t xml:space="preserve"> </w:t>
      </w:r>
      <w:r w:rsidR="00F95706" w:rsidRPr="00D26C28">
        <w:rPr>
          <w:color w:val="000000" w:themeColor="text1"/>
        </w:rPr>
        <w:t>to build</w:t>
      </w:r>
      <w:r w:rsidR="00706AD8" w:rsidRPr="00D26C28">
        <w:rPr>
          <w:color w:val="000000" w:themeColor="text1"/>
        </w:rPr>
        <w:t xml:space="preserve"> ESG</w:t>
      </w:r>
      <w:r w:rsidR="00960084" w:rsidRPr="00D26C28">
        <w:rPr>
          <w:color w:val="000000" w:themeColor="text1"/>
        </w:rPr>
        <w:t xml:space="preserve"> integrated</w:t>
      </w:r>
      <w:r w:rsidR="00F95706" w:rsidRPr="00D26C28">
        <w:rPr>
          <w:color w:val="000000" w:themeColor="text1"/>
        </w:rPr>
        <w:t xml:space="preserve"> portfolios</w:t>
      </w:r>
      <w:r w:rsidR="003206CD" w:rsidRPr="00D26C28">
        <w:rPr>
          <w:color w:val="000000" w:themeColor="text1"/>
        </w:rPr>
        <w:t>. F</w:t>
      </w:r>
      <w:r w:rsidR="00F95706" w:rsidRPr="00D26C28">
        <w:rPr>
          <w:color w:val="000000" w:themeColor="text1"/>
        </w:rPr>
        <w:t xml:space="preserve">or instance, </w:t>
      </w:r>
      <w:r w:rsidR="003313A0" w:rsidRPr="00D26C28">
        <w:rPr>
          <w:color w:val="000000" w:themeColor="text1"/>
        </w:rPr>
        <w:t xml:space="preserve">the </w:t>
      </w:r>
      <w:r w:rsidR="00F95706" w:rsidRPr="00D26C28">
        <w:rPr>
          <w:color w:val="000000" w:themeColor="text1"/>
        </w:rPr>
        <w:t>optimization-based</w:t>
      </w:r>
      <w:r w:rsidR="003313A0" w:rsidRPr="00D26C28">
        <w:rPr>
          <w:color w:val="000000" w:themeColor="text1"/>
        </w:rPr>
        <w:t xml:space="preserve"> approach</w:t>
      </w:r>
      <w:r w:rsidR="00F95706" w:rsidRPr="00D26C28">
        <w:rPr>
          <w:color w:val="000000" w:themeColor="text1"/>
        </w:rPr>
        <w:t xml:space="preserve"> in</w:t>
      </w:r>
      <w:r w:rsidR="00F95706" w:rsidRPr="00D26C28">
        <w:t xml:space="preserve"> </w:t>
      </w:r>
      <w:r w:rsidR="00F95706" w:rsidRPr="00D26C28">
        <w:rPr>
          <w:iCs/>
          <w:noProof/>
          <w:color w:val="000000"/>
          <w:shd w:val="clear" w:color="auto" w:fill="FFFFFF"/>
        </w:rPr>
        <w:t xml:space="preserve">Bender </w:t>
      </w:r>
      <w:r w:rsidR="00F95706" w:rsidRPr="00D26C28">
        <w:rPr>
          <w:i/>
          <w:noProof/>
          <w:color w:val="000000"/>
          <w:shd w:val="clear" w:color="auto" w:fill="FFFFFF"/>
        </w:rPr>
        <w:t>et al.</w:t>
      </w:r>
      <w:r w:rsidR="00F95706" w:rsidRPr="00D26C28">
        <w:rPr>
          <w:iCs/>
          <w:noProof/>
          <w:color w:val="000000"/>
          <w:shd w:val="clear" w:color="auto" w:fill="FFFFFF"/>
        </w:rPr>
        <w:t xml:space="preserve"> (2017)</w:t>
      </w:r>
      <w:r w:rsidR="003206CD" w:rsidRPr="00D26C28">
        <w:rPr>
          <w:iCs/>
          <w:noProof/>
          <w:color w:val="000000"/>
          <w:shd w:val="clear" w:color="auto" w:fill="FFFFFF"/>
        </w:rPr>
        <w:t>,</w:t>
      </w:r>
      <w:r w:rsidR="00F95706" w:rsidRPr="00D26C28">
        <w:rPr>
          <w:color w:val="000000" w:themeColor="text1"/>
        </w:rPr>
        <w:t xml:space="preserve"> portfolio sorts in</w:t>
      </w:r>
      <w:r w:rsidR="00F95706" w:rsidRPr="00D26C28">
        <w:rPr>
          <w:iCs/>
          <w:color w:val="000000" w:themeColor="text1"/>
        </w:rPr>
        <w:t xml:space="preserve"> </w:t>
      </w:r>
      <w:r w:rsidR="00F95706" w:rsidRPr="00D26C28">
        <w:rPr>
          <w:iCs/>
          <w:noProof/>
          <w:color w:val="000000"/>
          <w:shd w:val="clear" w:color="auto" w:fill="FFFFFF"/>
        </w:rPr>
        <w:t>Kaiser (2018)</w:t>
      </w:r>
      <w:r w:rsidR="003206CD" w:rsidRPr="00D26C28">
        <w:rPr>
          <w:iCs/>
          <w:noProof/>
          <w:color w:val="000000"/>
          <w:shd w:val="clear" w:color="auto" w:fill="FFFFFF"/>
        </w:rPr>
        <w:t xml:space="preserve"> and more recently an ESG-efficient frontier in Pedersen, Fitzgibbons &amp; Pomorski (2019), to name a few. </w:t>
      </w:r>
      <w:r w:rsidR="00B539A6" w:rsidRPr="00D26C28">
        <w:rPr>
          <w:iCs/>
          <w:noProof/>
          <w:color w:val="000000"/>
          <w:shd w:val="clear" w:color="auto" w:fill="FFFFFF"/>
        </w:rPr>
        <w:t>Our work</w:t>
      </w:r>
      <w:r w:rsidR="003206CD" w:rsidRPr="00D26C28">
        <w:rPr>
          <w:iCs/>
          <w:noProof/>
          <w:color w:val="000000"/>
          <w:shd w:val="clear" w:color="auto" w:fill="FFFFFF"/>
        </w:rPr>
        <w:t xml:space="preserve"> propose</w:t>
      </w:r>
      <w:r w:rsidR="00B539A6" w:rsidRPr="00D26C28">
        <w:rPr>
          <w:iCs/>
          <w:noProof/>
          <w:color w:val="000000"/>
          <w:shd w:val="clear" w:color="auto" w:fill="FFFFFF"/>
        </w:rPr>
        <w:t>s</w:t>
      </w:r>
      <w:r w:rsidR="003206CD" w:rsidRPr="00D26C28">
        <w:rPr>
          <w:iCs/>
          <w:noProof/>
          <w:color w:val="000000"/>
          <w:shd w:val="clear" w:color="auto" w:fill="FFFFFF"/>
        </w:rPr>
        <w:t xml:space="preserve"> and test</w:t>
      </w:r>
      <w:r w:rsidR="00B539A6" w:rsidRPr="00D26C28">
        <w:rPr>
          <w:iCs/>
          <w:noProof/>
          <w:color w:val="000000"/>
          <w:shd w:val="clear" w:color="auto" w:fill="FFFFFF"/>
        </w:rPr>
        <w:t>s</w:t>
      </w:r>
      <w:r w:rsidR="003206CD" w:rsidRPr="00D26C28">
        <w:rPr>
          <w:iCs/>
          <w:noProof/>
          <w:color w:val="000000"/>
          <w:shd w:val="clear" w:color="auto" w:fill="FFFFFF"/>
        </w:rPr>
        <w:t xml:space="preserve"> one of many ways to inte</w:t>
      </w:r>
      <w:r w:rsidR="00960084" w:rsidRPr="00D26C28">
        <w:rPr>
          <w:iCs/>
          <w:noProof/>
          <w:color w:val="000000"/>
          <w:shd w:val="clear" w:color="auto" w:fill="FFFFFF"/>
        </w:rPr>
        <w:t xml:space="preserve">grate </w:t>
      </w:r>
      <w:r w:rsidR="003206CD" w:rsidRPr="00D26C28">
        <w:rPr>
          <w:iCs/>
          <w:noProof/>
          <w:color w:val="000000"/>
          <w:shd w:val="clear" w:color="auto" w:fill="FFFFFF"/>
        </w:rPr>
        <w:t>ESG</w:t>
      </w:r>
      <w:r w:rsidR="00870BE4" w:rsidRPr="00D26C28">
        <w:rPr>
          <w:iCs/>
          <w:noProof/>
          <w:color w:val="000000"/>
          <w:shd w:val="clear" w:color="auto" w:fill="FFFFFF"/>
        </w:rPr>
        <w:t xml:space="preserve"> </w:t>
      </w:r>
      <w:r w:rsidR="00960084" w:rsidRPr="00D26C28">
        <w:rPr>
          <w:iCs/>
          <w:noProof/>
          <w:color w:val="000000"/>
          <w:shd w:val="clear" w:color="auto" w:fill="FFFFFF"/>
        </w:rPr>
        <w:t xml:space="preserve">into the investment process, </w:t>
      </w:r>
      <w:r w:rsidR="00870BE4" w:rsidRPr="00D26C28">
        <w:rPr>
          <w:iCs/>
          <w:noProof/>
          <w:color w:val="000000"/>
          <w:shd w:val="clear" w:color="auto" w:fill="FFFFFF"/>
        </w:rPr>
        <w:t xml:space="preserve">in </w:t>
      </w:r>
      <w:r w:rsidR="00960084" w:rsidRPr="00D26C28">
        <w:rPr>
          <w:iCs/>
          <w:noProof/>
          <w:color w:val="000000"/>
          <w:shd w:val="clear" w:color="auto" w:fill="FFFFFF"/>
        </w:rPr>
        <w:t>a</w:t>
      </w:r>
      <w:r w:rsidR="00870BE4" w:rsidRPr="00D26C28">
        <w:rPr>
          <w:iCs/>
          <w:noProof/>
          <w:color w:val="000000"/>
          <w:shd w:val="clear" w:color="auto" w:fill="FFFFFF"/>
        </w:rPr>
        <w:t xml:space="preserve"> </w:t>
      </w:r>
      <w:r w:rsidR="00960084" w:rsidRPr="00D26C28">
        <w:rPr>
          <w:iCs/>
          <w:noProof/>
          <w:color w:val="000000"/>
          <w:shd w:val="clear" w:color="auto" w:fill="FFFFFF"/>
        </w:rPr>
        <w:t>previously untested, developed</w:t>
      </w:r>
      <w:r w:rsidR="00870BE4" w:rsidRPr="00D26C28">
        <w:rPr>
          <w:iCs/>
          <w:noProof/>
          <w:color w:val="000000"/>
          <w:shd w:val="clear" w:color="auto" w:fill="FFFFFF"/>
        </w:rPr>
        <w:t xml:space="preserve"> </w:t>
      </w:r>
      <w:r w:rsidR="00960084" w:rsidRPr="00D26C28">
        <w:rPr>
          <w:iCs/>
          <w:noProof/>
          <w:color w:val="000000"/>
          <w:shd w:val="clear" w:color="auto" w:fill="FFFFFF"/>
        </w:rPr>
        <w:t xml:space="preserve">stock </w:t>
      </w:r>
      <w:r w:rsidR="00870BE4" w:rsidRPr="00D26C28">
        <w:rPr>
          <w:iCs/>
          <w:noProof/>
          <w:color w:val="000000"/>
          <w:shd w:val="clear" w:color="auto" w:fill="FFFFFF"/>
        </w:rPr>
        <w:t>market</w:t>
      </w:r>
      <w:r w:rsidR="00911033" w:rsidRPr="00D26C28">
        <w:rPr>
          <w:iCs/>
          <w:noProof/>
          <w:color w:val="000000"/>
          <w:shd w:val="clear" w:color="auto" w:fill="FFFFFF"/>
        </w:rPr>
        <w:t xml:space="preserve"> with unique features</w:t>
      </w:r>
      <w:r w:rsidR="003206CD" w:rsidRPr="00D26C28">
        <w:rPr>
          <w:iCs/>
          <w:noProof/>
          <w:color w:val="000000"/>
          <w:shd w:val="clear" w:color="auto" w:fill="FFFFFF"/>
        </w:rPr>
        <w:t>.</w:t>
      </w:r>
      <w:r w:rsidR="00706AD8" w:rsidRPr="00D26C28">
        <w:rPr>
          <w:color w:val="000000" w:themeColor="text1"/>
        </w:rPr>
        <w:t xml:space="preserve"> Such knowledge would aid the design of better investment strategies and help accelerate the “mainstreaming of sustainable investing” globally</w:t>
      </w:r>
      <w:r w:rsidR="00911033" w:rsidRPr="00D26C28">
        <w:rPr>
          <w:color w:val="000000" w:themeColor="text1"/>
        </w:rPr>
        <w:t xml:space="preserve"> (Grei, 2018)</w:t>
      </w:r>
      <w:r w:rsidR="00706AD8" w:rsidRPr="00D26C28">
        <w:rPr>
          <w:color w:val="000000" w:themeColor="text1"/>
        </w:rPr>
        <w:t>.</w:t>
      </w:r>
    </w:p>
    <w:p w14:paraId="03997A04" w14:textId="25340B28" w:rsidR="003206CD" w:rsidRPr="00D26C28" w:rsidRDefault="003206CD" w:rsidP="00FB2306">
      <w:pPr>
        <w:shd w:val="clear" w:color="auto" w:fill="FFFFFF"/>
        <w:ind w:right="247"/>
        <w:jc w:val="both"/>
        <w:rPr>
          <w:b/>
          <w:bCs/>
          <w:color w:val="000000" w:themeColor="text1"/>
          <w:sz w:val="22"/>
          <w:szCs w:val="22"/>
        </w:rPr>
      </w:pPr>
    </w:p>
    <w:p w14:paraId="589CC5B0" w14:textId="74BCC63B" w:rsidR="00FB2306" w:rsidRPr="00D26C28" w:rsidRDefault="00FB2306" w:rsidP="00FB2306">
      <w:pPr>
        <w:shd w:val="clear" w:color="auto" w:fill="FFFFFF"/>
        <w:ind w:right="247"/>
        <w:jc w:val="both"/>
        <w:rPr>
          <w:b/>
          <w:bCs/>
          <w:color w:val="000000" w:themeColor="text1"/>
          <w:sz w:val="22"/>
          <w:szCs w:val="22"/>
        </w:rPr>
      </w:pPr>
    </w:p>
    <w:p w14:paraId="090DC15E" w14:textId="77777777" w:rsidR="00F40FCD" w:rsidRPr="00D26C28" w:rsidRDefault="00F40FCD" w:rsidP="00FB2306">
      <w:pPr>
        <w:shd w:val="clear" w:color="auto" w:fill="FFFFFF"/>
        <w:ind w:right="247"/>
        <w:jc w:val="both"/>
        <w:rPr>
          <w:b/>
          <w:bCs/>
          <w:color w:val="000000" w:themeColor="text1"/>
          <w:sz w:val="22"/>
          <w:szCs w:val="22"/>
        </w:rPr>
      </w:pPr>
    </w:p>
    <w:p w14:paraId="78E1E3EC" w14:textId="77777777" w:rsidR="006B6CB5" w:rsidRPr="00D26C28" w:rsidRDefault="004F641A" w:rsidP="00FB2306">
      <w:pPr>
        <w:shd w:val="clear" w:color="auto" w:fill="FFFFFF"/>
        <w:ind w:right="247"/>
        <w:jc w:val="both"/>
        <w:rPr>
          <w:color w:val="000000" w:themeColor="text1"/>
        </w:rPr>
      </w:pPr>
      <w:r w:rsidRPr="00D26C28">
        <w:rPr>
          <w:b/>
          <w:bCs/>
          <w:color w:val="000000" w:themeColor="text1"/>
        </w:rPr>
        <w:t>Comment 4:</w:t>
      </w:r>
    </w:p>
    <w:p w14:paraId="367798F7" w14:textId="77777777" w:rsidR="00FB2306" w:rsidRPr="00D26C28" w:rsidRDefault="00FB2306" w:rsidP="00FB2306">
      <w:pPr>
        <w:shd w:val="clear" w:color="auto" w:fill="FFFFFF"/>
        <w:ind w:right="247"/>
        <w:jc w:val="both"/>
        <w:rPr>
          <w:i/>
          <w:color w:val="000000" w:themeColor="text1"/>
        </w:rPr>
      </w:pPr>
    </w:p>
    <w:p w14:paraId="26E66799" w14:textId="4607681B" w:rsidR="00A17D4F" w:rsidRPr="00D26C28" w:rsidRDefault="00A17D4F" w:rsidP="00FB2306">
      <w:pPr>
        <w:shd w:val="clear" w:color="auto" w:fill="FFFFFF"/>
        <w:ind w:right="247"/>
        <w:jc w:val="both"/>
        <w:rPr>
          <w:i/>
          <w:color w:val="000000" w:themeColor="text1"/>
        </w:rPr>
      </w:pPr>
      <w:r w:rsidRPr="00D26C28">
        <w:rPr>
          <w:i/>
          <w:color w:val="000000" w:themeColor="text1"/>
        </w:rPr>
        <w:t>Using 5 observations in 2006 (September) is troublesome, and the authors may consider not using this year in this analysis.  It is not only difficult to make any generalization of the results using 5 observations, but the authors use only 1 firm after sorting into quartiles.  Because of the lack of observations, it is difficult to conduct this analysis during the 2007-2009 financial crisis.  Related to the sample construction, close to 30% of the sample consists of financial firms that are usually excluded in analyses of the post financial crisis period because they receive substantial support during the crisis (e.g. Lins et al., 2017).</w:t>
      </w:r>
    </w:p>
    <w:p w14:paraId="1DC4C243" w14:textId="77777777" w:rsidR="00FB2306" w:rsidRPr="00D26C28" w:rsidRDefault="00FB2306" w:rsidP="00FB2306">
      <w:pPr>
        <w:shd w:val="clear" w:color="auto" w:fill="FFFFFF"/>
        <w:ind w:right="247"/>
        <w:jc w:val="both"/>
        <w:rPr>
          <w:color w:val="000000" w:themeColor="text1"/>
        </w:rPr>
      </w:pPr>
    </w:p>
    <w:p w14:paraId="6F6541DD" w14:textId="77777777" w:rsidR="006166A2" w:rsidRPr="00D26C28" w:rsidRDefault="00FC2D69" w:rsidP="00FB2306">
      <w:pPr>
        <w:shd w:val="clear" w:color="auto" w:fill="FFFFFF"/>
        <w:jc w:val="both"/>
        <w:rPr>
          <w:color w:val="000000" w:themeColor="text1"/>
        </w:rPr>
      </w:pPr>
      <w:r w:rsidRPr="00D26C28">
        <w:rPr>
          <w:color w:val="000000" w:themeColor="text1"/>
        </w:rPr>
        <w:t>We</w:t>
      </w:r>
      <w:r w:rsidR="006166A2" w:rsidRPr="00D26C28">
        <w:rPr>
          <w:color w:val="000000" w:themeColor="text1"/>
        </w:rPr>
        <w:t xml:space="preserve"> thank the referee for this constructive feedback.</w:t>
      </w:r>
      <w:r w:rsidR="00DC04D6" w:rsidRPr="00D26C28">
        <w:rPr>
          <w:color w:val="000000" w:themeColor="text1"/>
        </w:rPr>
        <w:t xml:space="preserve"> </w:t>
      </w:r>
    </w:p>
    <w:p w14:paraId="05848D9E" w14:textId="77777777" w:rsidR="006166A2" w:rsidRPr="00D26C28" w:rsidRDefault="006166A2" w:rsidP="00FB2306">
      <w:pPr>
        <w:shd w:val="clear" w:color="auto" w:fill="FFFFFF"/>
        <w:jc w:val="both"/>
        <w:rPr>
          <w:color w:val="000000" w:themeColor="text1"/>
        </w:rPr>
      </w:pPr>
    </w:p>
    <w:p w14:paraId="7C3BB2EB" w14:textId="6E02186B" w:rsidR="006166A2" w:rsidRPr="00D26C28" w:rsidRDefault="006166A2" w:rsidP="00FB2306">
      <w:pPr>
        <w:shd w:val="clear" w:color="auto" w:fill="FFFFFF"/>
        <w:jc w:val="both"/>
        <w:rPr>
          <w:color w:val="000000" w:themeColor="text1"/>
        </w:rPr>
      </w:pPr>
      <w:r w:rsidRPr="00D26C28">
        <w:rPr>
          <w:color w:val="000000" w:themeColor="text1"/>
        </w:rPr>
        <w:t>Indeed, we have neglected the effects of financials in the previous version. We also take note of the comment on</w:t>
      </w:r>
      <w:r w:rsidR="000165C6" w:rsidRPr="00D26C28">
        <w:rPr>
          <w:color w:val="000000" w:themeColor="text1"/>
        </w:rPr>
        <w:t xml:space="preserve"> the</w:t>
      </w:r>
      <w:r w:rsidRPr="00D26C28">
        <w:rPr>
          <w:color w:val="000000" w:themeColor="text1"/>
        </w:rPr>
        <w:t xml:space="preserve"> size of the cross-section. While the number of “Rated” stocks is quite small in 2006, between 2007-2009</w:t>
      </w:r>
      <w:r w:rsidR="00AB500C" w:rsidRPr="00D26C28">
        <w:rPr>
          <w:color w:val="000000" w:themeColor="text1"/>
        </w:rPr>
        <w:t>,</w:t>
      </w:r>
      <w:r w:rsidRPr="00D26C28">
        <w:rPr>
          <w:color w:val="000000" w:themeColor="text1"/>
        </w:rPr>
        <w:t xml:space="preserve"> there are on average 112 stocks in the cross-sectio</w:t>
      </w:r>
      <w:r w:rsidR="000165C6" w:rsidRPr="00D26C28">
        <w:rPr>
          <w:color w:val="000000" w:themeColor="text1"/>
        </w:rPr>
        <w:t>n, suggesting that</w:t>
      </w:r>
      <w:r w:rsidR="00AB500C" w:rsidRPr="00D26C28">
        <w:rPr>
          <w:color w:val="000000" w:themeColor="text1"/>
        </w:rPr>
        <w:t xml:space="preserve"> our</w:t>
      </w:r>
      <w:r w:rsidR="000165C6" w:rsidRPr="00D26C28">
        <w:rPr>
          <w:color w:val="000000" w:themeColor="text1"/>
        </w:rPr>
        <w:t xml:space="preserve"> long-short</w:t>
      </w:r>
      <w:r w:rsidR="00AB500C" w:rsidRPr="00D26C28">
        <w:rPr>
          <w:color w:val="000000" w:themeColor="text1"/>
        </w:rPr>
        <w:t xml:space="preserve"> factor</w:t>
      </w:r>
      <w:r w:rsidR="000165C6" w:rsidRPr="00D26C28">
        <w:rPr>
          <w:color w:val="000000" w:themeColor="text1"/>
        </w:rPr>
        <w:t xml:space="preserve"> portfolios should be sufficiently diversified.</w:t>
      </w:r>
    </w:p>
    <w:p w14:paraId="0EB21ACF" w14:textId="77777777" w:rsidR="006166A2" w:rsidRPr="00D26C28" w:rsidRDefault="006166A2" w:rsidP="00FB2306">
      <w:pPr>
        <w:shd w:val="clear" w:color="auto" w:fill="FFFFFF"/>
        <w:jc w:val="both"/>
        <w:rPr>
          <w:color w:val="000000" w:themeColor="text1"/>
        </w:rPr>
      </w:pPr>
    </w:p>
    <w:p w14:paraId="1F67525A" w14:textId="5982E774" w:rsidR="005457AC" w:rsidRPr="00D26C28" w:rsidRDefault="000165C6" w:rsidP="00FB2306">
      <w:pPr>
        <w:shd w:val="clear" w:color="auto" w:fill="FFFFFF"/>
        <w:jc w:val="both"/>
        <w:rPr>
          <w:color w:val="000000" w:themeColor="text1"/>
        </w:rPr>
      </w:pPr>
      <w:r w:rsidRPr="00D26C28">
        <w:rPr>
          <w:color w:val="000000" w:themeColor="text1"/>
        </w:rPr>
        <w:t>Nevertheless, f</w:t>
      </w:r>
      <w:r w:rsidR="006166A2" w:rsidRPr="00D26C28">
        <w:rPr>
          <w:color w:val="000000" w:themeColor="text1"/>
        </w:rPr>
        <w:t xml:space="preserve">ollowing the advice of the referee, </w:t>
      </w:r>
      <w:bookmarkStart w:id="4" w:name="_Hlk31971013"/>
      <w:r w:rsidR="006166A2" w:rsidRPr="00D26C28">
        <w:rPr>
          <w:color w:val="000000" w:themeColor="text1"/>
        </w:rPr>
        <w:t>we re-</w:t>
      </w:r>
      <w:r w:rsidR="000134D2" w:rsidRPr="00D26C28">
        <w:rPr>
          <w:color w:val="000000" w:themeColor="text1"/>
        </w:rPr>
        <w:t>evaluate</w:t>
      </w:r>
      <w:r w:rsidR="006166A2" w:rsidRPr="00D26C28">
        <w:rPr>
          <w:color w:val="000000" w:themeColor="text1"/>
        </w:rPr>
        <w:t xml:space="preserve"> the performance of ESG integrated </w:t>
      </w:r>
      <w:r w:rsidRPr="00D26C28">
        <w:rPr>
          <w:color w:val="000000" w:themeColor="text1"/>
        </w:rPr>
        <w:t xml:space="preserve">versus non-ESG integrated </w:t>
      </w:r>
      <w:r w:rsidR="006166A2" w:rsidRPr="00D26C28">
        <w:rPr>
          <w:color w:val="000000" w:themeColor="text1"/>
        </w:rPr>
        <w:t>factor</w:t>
      </w:r>
      <w:r w:rsidRPr="00D26C28">
        <w:rPr>
          <w:color w:val="000000" w:themeColor="text1"/>
        </w:rPr>
        <w:t>s by excluding financial stocks</w:t>
      </w:r>
      <w:r w:rsidR="00126EC2" w:rsidRPr="00D26C28">
        <w:rPr>
          <w:color w:val="000000" w:themeColor="text1"/>
        </w:rPr>
        <w:t xml:space="preserve"> (SF vs SNF and M3F vs M3NF) in Table III below</w:t>
      </w:r>
      <w:r w:rsidRPr="00D26C28">
        <w:rPr>
          <w:color w:val="000000" w:themeColor="text1"/>
        </w:rPr>
        <w:t xml:space="preserve">. In addition to this, we repeat the same analysis eight times from 2007 to 2014, </w:t>
      </w:r>
      <w:r w:rsidR="0050365D" w:rsidRPr="00D26C28">
        <w:rPr>
          <w:color w:val="000000" w:themeColor="text1"/>
        </w:rPr>
        <w:t>by</w:t>
      </w:r>
      <w:r w:rsidR="00AB500C" w:rsidRPr="00D26C28">
        <w:rPr>
          <w:color w:val="000000" w:themeColor="text1"/>
        </w:rPr>
        <w:t xml:space="preserve"> </w:t>
      </w:r>
      <w:r w:rsidR="00126EC2" w:rsidRPr="00D26C28">
        <w:rPr>
          <w:color w:val="000000" w:themeColor="text1"/>
        </w:rPr>
        <w:t>v</w:t>
      </w:r>
      <w:r w:rsidR="00DC04D6" w:rsidRPr="00D26C28">
        <w:rPr>
          <w:color w:val="000000" w:themeColor="text1"/>
        </w:rPr>
        <w:t>arying</w:t>
      </w:r>
      <w:r w:rsidR="0050365D" w:rsidRPr="00D26C28">
        <w:rPr>
          <w:color w:val="000000" w:themeColor="text1"/>
        </w:rPr>
        <w:t xml:space="preserve"> the</w:t>
      </w:r>
      <w:r w:rsidR="00DC04D6" w:rsidRPr="00D26C28">
        <w:rPr>
          <w:color w:val="000000" w:themeColor="text1"/>
        </w:rPr>
        <w:t xml:space="preserve"> starting period. </w:t>
      </w:r>
      <w:r w:rsidR="006132B7" w:rsidRPr="00D26C28">
        <w:rPr>
          <w:color w:val="000000" w:themeColor="text1"/>
        </w:rPr>
        <w:t xml:space="preserve">Interestingly, during the crisis period, </w:t>
      </w:r>
      <w:r w:rsidR="00126EC2" w:rsidRPr="00D26C28">
        <w:rPr>
          <w:color w:val="000000" w:themeColor="text1"/>
        </w:rPr>
        <w:t>q</w:t>
      </w:r>
      <w:r w:rsidR="006132B7" w:rsidRPr="00D26C28">
        <w:rPr>
          <w:color w:val="000000" w:themeColor="text1"/>
        </w:rPr>
        <w:t xml:space="preserve">uality and </w:t>
      </w:r>
      <w:r w:rsidR="00126EC2" w:rsidRPr="00D26C28">
        <w:rPr>
          <w:color w:val="000000" w:themeColor="text1"/>
        </w:rPr>
        <w:t>s</w:t>
      </w:r>
      <w:r w:rsidR="006132B7" w:rsidRPr="00D26C28">
        <w:rPr>
          <w:color w:val="000000" w:themeColor="text1"/>
        </w:rPr>
        <w:t>ize (</w:t>
      </w:r>
      <w:r w:rsidR="00126EC2" w:rsidRPr="00D26C28">
        <w:rPr>
          <w:color w:val="000000" w:themeColor="text1"/>
        </w:rPr>
        <w:t>m</w:t>
      </w:r>
      <w:r w:rsidR="006132B7" w:rsidRPr="00D26C28">
        <w:rPr>
          <w:color w:val="000000" w:themeColor="text1"/>
        </w:rPr>
        <w:t xml:space="preserve">omentum) without financials </w:t>
      </w:r>
      <w:r w:rsidR="009B334C" w:rsidRPr="00D26C28">
        <w:rPr>
          <w:color w:val="000000" w:themeColor="text1"/>
        </w:rPr>
        <w:t xml:space="preserve">in fact </w:t>
      </w:r>
      <w:r w:rsidR="0018673B" w:rsidRPr="00D26C28">
        <w:rPr>
          <w:color w:val="000000" w:themeColor="text1"/>
        </w:rPr>
        <w:t>outperform</w:t>
      </w:r>
      <w:r w:rsidR="006132B7" w:rsidRPr="00D26C28">
        <w:rPr>
          <w:color w:val="000000" w:themeColor="text1"/>
        </w:rPr>
        <w:t xml:space="preserve"> (underperforms) the same strategies that include financials. </w:t>
      </w:r>
      <w:r w:rsidR="009C7219" w:rsidRPr="00D26C28">
        <w:rPr>
          <w:color w:val="000000" w:themeColor="text1"/>
        </w:rPr>
        <w:t>Nonetheless, i</w:t>
      </w:r>
      <w:r w:rsidR="009B334C" w:rsidRPr="00D26C28">
        <w:rPr>
          <w:color w:val="000000" w:themeColor="text1"/>
        </w:rPr>
        <w:t xml:space="preserve">f one considers the results from </w:t>
      </w:r>
      <w:r w:rsidR="006132B7" w:rsidRPr="00D26C28">
        <w:rPr>
          <w:color w:val="000000" w:themeColor="text1"/>
        </w:rPr>
        <w:t>2007-2009 crisis period troublesome</w:t>
      </w:r>
      <w:r w:rsidR="009C7219" w:rsidRPr="00D26C28">
        <w:rPr>
          <w:color w:val="000000" w:themeColor="text1"/>
        </w:rPr>
        <w:t xml:space="preserve"> due to the size of the cross-section</w:t>
      </w:r>
      <w:r w:rsidR="006132B7" w:rsidRPr="00D26C28">
        <w:rPr>
          <w:color w:val="000000" w:themeColor="text1"/>
        </w:rPr>
        <w:t xml:space="preserve">, </w:t>
      </w:r>
      <w:r w:rsidR="009B334C" w:rsidRPr="00D26C28">
        <w:rPr>
          <w:color w:val="000000" w:themeColor="text1"/>
        </w:rPr>
        <w:t xml:space="preserve">the </w:t>
      </w:r>
      <w:r w:rsidR="006132B7" w:rsidRPr="00D26C28">
        <w:rPr>
          <w:color w:val="000000" w:themeColor="text1"/>
        </w:rPr>
        <w:t>results from 2010-2016</w:t>
      </w:r>
      <w:r w:rsidR="009B334C" w:rsidRPr="00D26C28">
        <w:rPr>
          <w:color w:val="000000" w:themeColor="text1"/>
        </w:rPr>
        <w:t xml:space="preserve"> </w:t>
      </w:r>
      <w:r w:rsidR="00655F4C" w:rsidRPr="00D26C28">
        <w:rPr>
          <w:color w:val="000000" w:themeColor="text1"/>
        </w:rPr>
        <w:t>solidify</w:t>
      </w:r>
      <w:r w:rsidR="009B334C" w:rsidRPr="00D26C28">
        <w:rPr>
          <w:color w:val="000000" w:themeColor="text1"/>
        </w:rPr>
        <w:t xml:space="preserve"> the </w:t>
      </w:r>
      <w:r w:rsidR="006132B7" w:rsidRPr="00D26C28">
        <w:rPr>
          <w:color w:val="000000" w:themeColor="text1"/>
        </w:rPr>
        <w:t>effectiveness of ESG</w:t>
      </w:r>
      <w:r w:rsidR="008F4D46" w:rsidRPr="00D26C28">
        <w:rPr>
          <w:color w:val="000000" w:themeColor="text1"/>
        </w:rPr>
        <w:t xml:space="preserve"> integration in </w:t>
      </w:r>
      <w:r w:rsidR="006132B7" w:rsidRPr="00D26C28">
        <w:rPr>
          <w:color w:val="000000" w:themeColor="text1"/>
        </w:rPr>
        <w:t xml:space="preserve">quality and momentum strategies. </w:t>
      </w:r>
      <w:r w:rsidR="009C7219" w:rsidRPr="00D26C28">
        <w:rPr>
          <w:color w:val="000000" w:themeColor="text1"/>
        </w:rPr>
        <w:t>Overall</w:t>
      </w:r>
      <w:r w:rsidR="006132B7" w:rsidRPr="00D26C28">
        <w:rPr>
          <w:color w:val="000000" w:themeColor="text1"/>
        </w:rPr>
        <w:t>, following</w:t>
      </w:r>
      <w:r w:rsidR="006132B7" w:rsidRPr="00D26C28">
        <w:rPr>
          <w:iCs/>
          <w:color w:val="000000" w:themeColor="text1"/>
        </w:rPr>
        <w:t xml:space="preserve"> Lins et al. (2017)</w:t>
      </w:r>
      <w:r w:rsidR="009B334C" w:rsidRPr="00D26C28">
        <w:rPr>
          <w:color w:val="000000" w:themeColor="text1"/>
        </w:rPr>
        <w:t xml:space="preserve">, our results are robust to the exclusion of </w:t>
      </w:r>
      <w:r w:rsidR="006132B7" w:rsidRPr="00D26C28">
        <w:rPr>
          <w:color w:val="000000" w:themeColor="text1"/>
        </w:rPr>
        <w:t>financial firms.</w:t>
      </w:r>
      <w:bookmarkEnd w:id="4"/>
    </w:p>
    <w:p w14:paraId="48BFC4D5" w14:textId="7BF4D29E" w:rsidR="00126EC2" w:rsidRPr="00D26C28" w:rsidRDefault="00126EC2" w:rsidP="00FB2306">
      <w:pPr>
        <w:shd w:val="clear" w:color="auto" w:fill="FFFFFF"/>
        <w:jc w:val="both"/>
        <w:rPr>
          <w:color w:val="000000" w:themeColor="text1"/>
        </w:rPr>
      </w:pPr>
    </w:p>
    <w:p w14:paraId="7A40FC18" w14:textId="064DE111" w:rsidR="008F4D46" w:rsidRPr="00D26C28" w:rsidRDefault="008F4D46" w:rsidP="00FB2306">
      <w:pPr>
        <w:shd w:val="clear" w:color="auto" w:fill="FFFFFF"/>
        <w:jc w:val="both"/>
        <w:rPr>
          <w:color w:val="000000" w:themeColor="text1"/>
        </w:rPr>
      </w:pPr>
      <w:r w:rsidRPr="00D26C28">
        <w:rPr>
          <w:color w:val="000000" w:themeColor="text1"/>
        </w:rPr>
        <w:t xml:space="preserve">To include this robustness results, we have inserted a </w:t>
      </w:r>
      <w:r w:rsidR="00F24A35" w:rsidRPr="00D26C28">
        <w:rPr>
          <w:color w:val="000000" w:themeColor="text1"/>
        </w:rPr>
        <w:t xml:space="preserve">new </w:t>
      </w:r>
      <w:r w:rsidR="0050365D" w:rsidRPr="00D26C28">
        <w:rPr>
          <w:color w:val="000000" w:themeColor="text1"/>
        </w:rPr>
        <w:t xml:space="preserve">paragraph on page </w:t>
      </w:r>
      <w:r w:rsidR="00F24A35" w:rsidRPr="00D26C28">
        <w:rPr>
          <w:color w:val="000000" w:themeColor="text1"/>
        </w:rPr>
        <w:t>16</w:t>
      </w:r>
      <w:r w:rsidR="00C47D60" w:rsidRPr="00D26C28">
        <w:rPr>
          <w:color w:val="000000" w:themeColor="text1"/>
        </w:rPr>
        <w:t>:</w:t>
      </w:r>
      <w:r w:rsidRPr="00D26C28">
        <w:rPr>
          <w:color w:val="000000" w:themeColor="text1"/>
        </w:rPr>
        <w:t xml:space="preserve"> paragraph </w:t>
      </w:r>
      <w:r w:rsidR="00F24A35" w:rsidRPr="00D26C28">
        <w:rPr>
          <w:color w:val="000000" w:themeColor="text1"/>
        </w:rPr>
        <w:t>2 that summarizes these results.</w:t>
      </w:r>
    </w:p>
    <w:p w14:paraId="3BB8DC37" w14:textId="77777777" w:rsidR="0018673B" w:rsidRPr="00D26C28" w:rsidRDefault="0018673B">
      <w:pPr>
        <w:rPr>
          <w:b/>
        </w:rPr>
      </w:pPr>
      <w:r w:rsidRPr="00D26C28">
        <w:rPr>
          <w:b/>
        </w:rPr>
        <w:br w:type="page"/>
      </w:r>
    </w:p>
    <w:p w14:paraId="09E49AFB" w14:textId="4D61CB16" w:rsidR="0035380D" w:rsidRPr="00D26C28" w:rsidRDefault="0035380D" w:rsidP="00126EC2">
      <w:pPr>
        <w:jc w:val="center"/>
        <w:rPr>
          <w:b/>
        </w:rPr>
      </w:pPr>
      <w:r w:rsidRPr="00D26C28">
        <w:rPr>
          <w:b/>
        </w:rPr>
        <w:lastRenderedPageBreak/>
        <w:t xml:space="preserve">Table </w:t>
      </w:r>
      <w:r w:rsidR="006166A2" w:rsidRPr="00D26C28">
        <w:rPr>
          <w:b/>
        </w:rPr>
        <w:t>III</w:t>
      </w:r>
      <w:r w:rsidR="00126EC2" w:rsidRPr="00D26C28">
        <w:rPr>
          <w:b/>
        </w:rPr>
        <w:t xml:space="preserve"> Effects of Financials and Size of Cross-section</w:t>
      </w:r>
    </w:p>
    <w:p w14:paraId="221A455C" w14:textId="77777777" w:rsidR="0035380D" w:rsidRPr="00D26C28" w:rsidRDefault="0035380D" w:rsidP="0035380D">
      <w:pPr>
        <w:widowControl w:val="0"/>
        <w:autoSpaceDE w:val="0"/>
        <w:autoSpaceDN w:val="0"/>
        <w:adjustRightInd w:val="0"/>
        <w:spacing w:after="120" w:line="252" w:lineRule="auto"/>
        <w:jc w:val="both"/>
        <w:rPr>
          <w:color w:val="000000" w:themeColor="text1"/>
          <w:sz w:val="16"/>
          <w:szCs w:val="16"/>
          <w:lang w:val="en-US"/>
        </w:rPr>
      </w:pPr>
      <w:r w:rsidRPr="00D26C28">
        <w:rPr>
          <w:color w:val="000000" w:themeColor="text1"/>
          <w:sz w:val="16"/>
          <w:szCs w:val="16"/>
          <w:lang w:val="en-US"/>
        </w:rPr>
        <w:t>This table reports the performance of standard (S) and ESG integrated (M3) quality, momentum and size strategies across various time periods. Standard inclusive of the Financials GICS sector is defined as SF, whilst S excluding Financials is defined as SNF. Further, M3 with Financials included is abbreviated to M3F, while M3NF indicates the exclusion of Financials. The performance displayed is across Januray of the indicated year until December 2016. For example, 2007 indicates the performance from January 2007 until December 2016 etc.</w:t>
      </w:r>
    </w:p>
    <w:tbl>
      <w:tblPr>
        <w:tblW w:w="5008" w:type="pct"/>
        <w:tblLook w:val="04A0" w:firstRow="1" w:lastRow="0" w:firstColumn="1" w:lastColumn="0" w:noHBand="0" w:noVBand="1"/>
      </w:tblPr>
      <w:tblGrid>
        <w:gridCol w:w="496"/>
        <w:gridCol w:w="784"/>
        <w:gridCol w:w="578"/>
        <w:gridCol w:w="578"/>
        <w:gridCol w:w="578"/>
        <w:gridCol w:w="625"/>
        <w:gridCol w:w="269"/>
        <w:gridCol w:w="578"/>
        <w:gridCol w:w="764"/>
        <w:gridCol w:w="578"/>
        <w:gridCol w:w="625"/>
        <w:gridCol w:w="222"/>
        <w:gridCol w:w="578"/>
        <w:gridCol w:w="578"/>
        <w:gridCol w:w="578"/>
        <w:gridCol w:w="625"/>
      </w:tblGrid>
      <w:tr w:rsidR="0035380D" w:rsidRPr="00D26C28" w14:paraId="4871DB1C" w14:textId="77777777" w:rsidTr="0018673B">
        <w:trPr>
          <w:cantSplit/>
          <w:trHeight w:hRule="exact" w:val="255"/>
        </w:trPr>
        <w:tc>
          <w:tcPr>
            <w:tcW w:w="275" w:type="pct"/>
            <w:tcBorders>
              <w:top w:val="single" w:sz="4" w:space="0" w:color="auto"/>
              <w:bottom w:val="nil"/>
              <w:right w:val="nil"/>
            </w:tcBorders>
            <w:shd w:val="clear" w:color="auto" w:fill="auto"/>
            <w:noWrap/>
            <w:vAlign w:val="bottom"/>
            <w:hideMark/>
          </w:tcPr>
          <w:p w14:paraId="64E39A69"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c>
          <w:tcPr>
            <w:tcW w:w="434" w:type="pct"/>
            <w:tcBorders>
              <w:top w:val="single" w:sz="4" w:space="0" w:color="auto"/>
              <w:left w:val="nil"/>
              <w:bottom w:val="nil"/>
              <w:right w:val="nil"/>
            </w:tcBorders>
            <w:shd w:val="clear" w:color="auto" w:fill="auto"/>
            <w:noWrap/>
            <w:vAlign w:val="bottom"/>
            <w:hideMark/>
          </w:tcPr>
          <w:p w14:paraId="0AA78CA2"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c>
          <w:tcPr>
            <w:tcW w:w="320" w:type="pct"/>
            <w:tcBorders>
              <w:top w:val="single" w:sz="4" w:space="0" w:color="auto"/>
              <w:left w:val="nil"/>
              <w:bottom w:val="nil"/>
              <w:right w:val="nil"/>
            </w:tcBorders>
            <w:shd w:val="clear" w:color="auto" w:fill="auto"/>
            <w:noWrap/>
            <w:vAlign w:val="bottom"/>
            <w:hideMark/>
          </w:tcPr>
          <w:p w14:paraId="58CAD833"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c>
          <w:tcPr>
            <w:tcW w:w="640" w:type="pct"/>
            <w:gridSpan w:val="2"/>
            <w:tcBorders>
              <w:top w:val="single" w:sz="4" w:space="0" w:color="auto"/>
              <w:left w:val="nil"/>
              <w:bottom w:val="nil"/>
              <w:right w:val="nil"/>
            </w:tcBorders>
            <w:shd w:val="clear" w:color="auto" w:fill="auto"/>
            <w:noWrap/>
            <w:vAlign w:val="bottom"/>
            <w:hideMark/>
          </w:tcPr>
          <w:p w14:paraId="78D502F4" w14:textId="77777777" w:rsidR="0035380D" w:rsidRPr="00D26C28" w:rsidRDefault="0035380D" w:rsidP="00B6548B">
            <w:pPr>
              <w:jc w:val="center"/>
              <w:rPr>
                <w:color w:val="000000" w:themeColor="text1"/>
                <w:sz w:val="14"/>
                <w:szCs w:val="14"/>
              </w:rPr>
            </w:pPr>
            <w:r w:rsidRPr="00D26C28">
              <w:rPr>
                <w:color w:val="000000" w:themeColor="text1"/>
                <w:sz w:val="14"/>
                <w:szCs w:val="14"/>
              </w:rPr>
              <w:t>Quality</w:t>
            </w:r>
          </w:p>
          <w:p w14:paraId="1EDF3019"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c>
          <w:tcPr>
            <w:tcW w:w="293" w:type="pct"/>
            <w:tcBorders>
              <w:top w:val="single" w:sz="4" w:space="0" w:color="auto"/>
              <w:left w:val="nil"/>
              <w:bottom w:val="single" w:sz="4" w:space="0" w:color="000000"/>
              <w:right w:val="nil"/>
            </w:tcBorders>
            <w:shd w:val="clear" w:color="auto" w:fill="auto"/>
            <w:noWrap/>
            <w:vAlign w:val="bottom"/>
            <w:hideMark/>
          </w:tcPr>
          <w:p w14:paraId="7344E075"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c>
          <w:tcPr>
            <w:tcW w:w="184" w:type="pct"/>
            <w:vMerge w:val="restart"/>
            <w:tcBorders>
              <w:top w:val="single" w:sz="4" w:space="0" w:color="auto"/>
              <w:left w:val="nil"/>
              <w:right w:val="nil"/>
            </w:tcBorders>
          </w:tcPr>
          <w:p w14:paraId="3463DD3E" w14:textId="77777777" w:rsidR="0035380D" w:rsidRPr="00D26C28" w:rsidRDefault="0035380D" w:rsidP="00B6548B">
            <w:pPr>
              <w:jc w:val="center"/>
              <w:rPr>
                <w:color w:val="000000" w:themeColor="text1"/>
                <w:sz w:val="14"/>
                <w:szCs w:val="14"/>
              </w:rPr>
            </w:pPr>
          </w:p>
        </w:tc>
        <w:tc>
          <w:tcPr>
            <w:tcW w:w="320" w:type="pct"/>
            <w:tcBorders>
              <w:top w:val="single" w:sz="4" w:space="0" w:color="auto"/>
              <w:left w:val="nil"/>
              <w:bottom w:val="nil"/>
              <w:right w:val="nil"/>
            </w:tcBorders>
            <w:shd w:val="clear" w:color="auto" w:fill="auto"/>
            <w:noWrap/>
            <w:vAlign w:val="bottom"/>
            <w:hideMark/>
          </w:tcPr>
          <w:p w14:paraId="762B6D5C"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c>
          <w:tcPr>
            <w:tcW w:w="760" w:type="pct"/>
            <w:gridSpan w:val="2"/>
            <w:tcBorders>
              <w:top w:val="single" w:sz="4" w:space="0" w:color="auto"/>
              <w:left w:val="nil"/>
              <w:bottom w:val="nil"/>
              <w:right w:val="nil"/>
            </w:tcBorders>
            <w:shd w:val="clear" w:color="auto" w:fill="auto"/>
            <w:noWrap/>
            <w:vAlign w:val="bottom"/>
            <w:hideMark/>
          </w:tcPr>
          <w:p w14:paraId="7B0F5A74" w14:textId="77777777" w:rsidR="0035380D" w:rsidRPr="00D26C28" w:rsidRDefault="0035380D" w:rsidP="00B6548B">
            <w:pPr>
              <w:jc w:val="center"/>
              <w:rPr>
                <w:color w:val="000000" w:themeColor="text1"/>
                <w:sz w:val="14"/>
                <w:szCs w:val="14"/>
              </w:rPr>
            </w:pPr>
            <w:r w:rsidRPr="00D26C28">
              <w:rPr>
                <w:color w:val="000000" w:themeColor="text1"/>
                <w:sz w:val="14"/>
                <w:szCs w:val="14"/>
              </w:rPr>
              <w:t>Momentum</w:t>
            </w:r>
          </w:p>
          <w:p w14:paraId="170E140C"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c>
          <w:tcPr>
            <w:tcW w:w="346" w:type="pct"/>
            <w:tcBorders>
              <w:top w:val="single" w:sz="4" w:space="0" w:color="auto"/>
              <w:left w:val="nil"/>
              <w:bottom w:val="single" w:sz="4" w:space="0" w:color="000000"/>
              <w:right w:val="nil"/>
            </w:tcBorders>
            <w:shd w:val="clear" w:color="auto" w:fill="auto"/>
            <w:noWrap/>
            <w:vAlign w:val="bottom"/>
            <w:hideMark/>
          </w:tcPr>
          <w:p w14:paraId="1223C63C"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c>
          <w:tcPr>
            <w:tcW w:w="123" w:type="pct"/>
            <w:vMerge w:val="restart"/>
            <w:tcBorders>
              <w:top w:val="single" w:sz="4" w:space="0" w:color="auto"/>
              <w:left w:val="nil"/>
              <w:right w:val="nil"/>
            </w:tcBorders>
          </w:tcPr>
          <w:p w14:paraId="0178B648" w14:textId="77777777" w:rsidR="0035380D" w:rsidRPr="00D26C28" w:rsidRDefault="0035380D" w:rsidP="00B6548B">
            <w:pPr>
              <w:jc w:val="center"/>
              <w:rPr>
                <w:color w:val="000000" w:themeColor="text1"/>
                <w:sz w:val="14"/>
                <w:szCs w:val="14"/>
              </w:rPr>
            </w:pPr>
          </w:p>
        </w:tc>
        <w:tc>
          <w:tcPr>
            <w:tcW w:w="320" w:type="pct"/>
            <w:tcBorders>
              <w:top w:val="single" w:sz="4" w:space="0" w:color="auto"/>
              <w:left w:val="nil"/>
              <w:bottom w:val="nil"/>
              <w:right w:val="nil"/>
            </w:tcBorders>
            <w:shd w:val="clear" w:color="auto" w:fill="auto"/>
            <w:noWrap/>
            <w:vAlign w:val="bottom"/>
            <w:hideMark/>
          </w:tcPr>
          <w:p w14:paraId="0EF58A67"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c>
          <w:tcPr>
            <w:tcW w:w="640" w:type="pct"/>
            <w:gridSpan w:val="2"/>
            <w:tcBorders>
              <w:top w:val="single" w:sz="4" w:space="0" w:color="auto"/>
              <w:left w:val="nil"/>
              <w:bottom w:val="nil"/>
            </w:tcBorders>
            <w:shd w:val="clear" w:color="auto" w:fill="auto"/>
            <w:noWrap/>
            <w:vAlign w:val="bottom"/>
            <w:hideMark/>
          </w:tcPr>
          <w:p w14:paraId="7CCB4544" w14:textId="77777777" w:rsidR="0035380D" w:rsidRPr="00D26C28" w:rsidRDefault="0035380D" w:rsidP="00B6548B">
            <w:pPr>
              <w:jc w:val="center"/>
              <w:rPr>
                <w:color w:val="000000" w:themeColor="text1"/>
                <w:sz w:val="14"/>
                <w:szCs w:val="14"/>
              </w:rPr>
            </w:pPr>
            <w:r w:rsidRPr="00D26C28">
              <w:rPr>
                <w:color w:val="000000" w:themeColor="text1"/>
                <w:sz w:val="14"/>
                <w:szCs w:val="14"/>
              </w:rPr>
              <w:t>Size</w:t>
            </w:r>
          </w:p>
          <w:p w14:paraId="1D2D41B8"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c>
          <w:tcPr>
            <w:tcW w:w="346" w:type="pct"/>
            <w:tcBorders>
              <w:top w:val="single" w:sz="4" w:space="0" w:color="auto"/>
              <w:left w:val="nil"/>
              <w:bottom w:val="nil"/>
              <w:right w:val="nil"/>
            </w:tcBorders>
            <w:vAlign w:val="bottom"/>
          </w:tcPr>
          <w:p w14:paraId="6C3F0363"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r>
      <w:tr w:rsidR="0035380D" w:rsidRPr="00D26C28" w14:paraId="09375863" w14:textId="77777777" w:rsidTr="006132B7">
        <w:trPr>
          <w:cantSplit/>
          <w:trHeight w:hRule="exact" w:val="255"/>
        </w:trPr>
        <w:tc>
          <w:tcPr>
            <w:tcW w:w="275" w:type="pct"/>
            <w:tcBorders>
              <w:top w:val="nil"/>
              <w:bottom w:val="single" w:sz="4" w:space="0" w:color="auto"/>
              <w:right w:val="nil"/>
            </w:tcBorders>
            <w:shd w:val="clear" w:color="auto" w:fill="auto"/>
            <w:noWrap/>
            <w:vAlign w:val="bottom"/>
            <w:hideMark/>
          </w:tcPr>
          <w:p w14:paraId="52EF9B9C" w14:textId="77777777" w:rsidR="0035380D" w:rsidRPr="00D26C28" w:rsidRDefault="0035380D" w:rsidP="00B6548B">
            <w:pPr>
              <w:jc w:val="center"/>
              <w:rPr>
                <w:color w:val="000000" w:themeColor="text1"/>
                <w:sz w:val="14"/>
                <w:szCs w:val="14"/>
              </w:rPr>
            </w:pPr>
            <w:r w:rsidRPr="00D26C28">
              <w:rPr>
                <w:color w:val="000000" w:themeColor="text1"/>
                <w:sz w:val="14"/>
                <w:szCs w:val="14"/>
              </w:rPr>
              <w:t> </w:t>
            </w:r>
          </w:p>
        </w:tc>
        <w:tc>
          <w:tcPr>
            <w:tcW w:w="434" w:type="pct"/>
            <w:tcBorders>
              <w:top w:val="nil"/>
              <w:left w:val="nil"/>
              <w:bottom w:val="single" w:sz="4" w:space="0" w:color="auto"/>
              <w:right w:val="nil"/>
            </w:tcBorders>
            <w:shd w:val="clear" w:color="auto" w:fill="auto"/>
            <w:noWrap/>
            <w:vAlign w:val="bottom"/>
            <w:hideMark/>
          </w:tcPr>
          <w:p w14:paraId="4D3192BA" w14:textId="77777777" w:rsidR="0035380D" w:rsidRPr="00D26C28" w:rsidRDefault="0035380D" w:rsidP="00B6548B">
            <w:pPr>
              <w:jc w:val="center"/>
              <w:rPr>
                <w:color w:val="000000" w:themeColor="text1"/>
                <w:sz w:val="14"/>
                <w:szCs w:val="14"/>
              </w:rPr>
            </w:pPr>
          </w:p>
        </w:tc>
        <w:tc>
          <w:tcPr>
            <w:tcW w:w="320" w:type="pct"/>
            <w:tcBorders>
              <w:top w:val="single" w:sz="4" w:space="0" w:color="auto"/>
              <w:left w:val="nil"/>
              <w:bottom w:val="single" w:sz="4" w:space="0" w:color="auto"/>
              <w:right w:val="nil"/>
            </w:tcBorders>
            <w:shd w:val="clear" w:color="auto" w:fill="auto"/>
            <w:noWrap/>
            <w:vAlign w:val="bottom"/>
            <w:hideMark/>
          </w:tcPr>
          <w:p w14:paraId="01D6C85C" w14:textId="77777777" w:rsidR="0035380D" w:rsidRPr="00D26C28" w:rsidRDefault="0035380D" w:rsidP="00B6548B">
            <w:pPr>
              <w:jc w:val="center"/>
              <w:rPr>
                <w:color w:val="000000" w:themeColor="text1"/>
                <w:sz w:val="14"/>
                <w:szCs w:val="14"/>
              </w:rPr>
            </w:pPr>
            <w:r w:rsidRPr="00D26C28">
              <w:rPr>
                <w:color w:val="000000" w:themeColor="text1"/>
                <w:sz w:val="14"/>
                <w:szCs w:val="14"/>
              </w:rPr>
              <w:t>SF</w:t>
            </w:r>
          </w:p>
        </w:tc>
        <w:tc>
          <w:tcPr>
            <w:tcW w:w="320" w:type="pct"/>
            <w:tcBorders>
              <w:top w:val="single" w:sz="4" w:space="0" w:color="auto"/>
              <w:left w:val="nil"/>
              <w:bottom w:val="single" w:sz="4" w:space="0" w:color="auto"/>
              <w:right w:val="nil"/>
            </w:tcBorders>
            <w:shd w:val="clear" w:color="auto" w:fill="auto"/>
            <w:noWrap/>
            <w:vAlign w:val="bottom"/>
            <w:hideMark/>
          </w:tcPr>
          <w:p w14:paraId="27D11C48" w14:textId="77777777" w:rsidR="0035380D" w:rsidRPr="00D26C28" w:rsidRDefault="0035380D" w:rsidP="00B6548B">
            <w:pPr>
              <w:rPr>
                <w:color w:val="000000" w:themeColor="text1"/>
                <w:sz w:val="14"/>
                <w:szCs w:val="14"/>
              </w:rPr>
            </w:pPr>
            <w:r w:rsidRPr="00D26C28">
              <w:rPr>
                <w:color w:val="000000" w:themeColor="text1"/>
                <w:sz w:val="14"/>
                <w:szCs w:val="14"/>
              </w:rPr>
              <w:t>SNF</w:t>
            </w:r>
          </w:p>
        </w:tc>
        <w:tc>
          <w:tcPr>
            <w:tcW w:w="320" w:type="pct"/>
            <w:tcBorders>
              <w:top w:val="single" w:sz="4" w:space="0" w:color="auto"/>
              <w:left w:val="nil"/>
              <w:bottom w:val="single" w:sz="4" w:space="0" w:color="auto"/>
              <w:right w:val="nil"/>
            </w:tcBorders>
            <w:shd w:val="clear" w:color="auto" w:fill="auto"/>
            <w:noWrap/>
            <w:vAlign w:val="bottom"/>
            <w:hideMark/>
          </w:tcPr>
          <w:p w14:paraId="1C36CC1B" w14:textId="77777777" w:rsidR="0035380D" w:rsidRPr="00D26C28" w:rsidRDefault="0035380D" w:rsidP="00B6548B">
            <w:pPr>
              <w:jc w:val="center"/>
              <w:rPr>
                <w:color w:val="000000" w:themeColor="text1"/>
                <w:sz w:val="14"/>
                <w:szCs w:val="14"/>
              </w:rPr>
            </w:pPr>
            <w:r w:rsidRPr="00D26C28">
              <w:rPr>
                <w:color w:val="000000" w:themeColor="text1"/>
                <w:sz w:val="14"/>
                <w:szCs w:val="14"/>
              </w:rPr>
              <w:t>M3F</w:t>
            </w:r>
          </w:p>
        </w:tc>
        <w:tc>
          <w:tcPr>
            <w:tcW w:w="293" w:type="pct"/>
            <w:tcBorders>
              <w:top w:val="single" w:sz="4" w:space="0" w:color="000000"/>
              <w:left w:val="nil"/>
              <w:bottom w:val="single" w:sz="4" w:space="0" w:color="auto"/>
              <w:right w:val="nil"/>
            </w:tcBorders>
            <w:shd w:val="clear" w:color="auto" w:fill="auto"/>
            <w:noWrap/>
            <w:vAlign w:val="bottom"/>
            <w:hideMark/>
          </w:tcPr>
          <w:p w14:paraId="7D40D908" w14:textId="77777777" w:rsidR="0035380D" w:rsidRPr="00D26C28" w:rsidRDefault="0035380D" w:rsidP="00B6548B">
            <w:pPr>
              <w:jc w:val="center"/>
              <w:rPr>
                <w:color w:val="000000" w:themeColor="text1"/>
                <w:sz w:val="14"/>
                <w:szCs w:val="14"/>
              </w:rPr>
            </w:pPr>
            <w:r w:rsidRPr="00D26C28">
              <w:rPr>
                <w:color w:val="000000" w:themeColor="text1"/>
                <w:sz w:val="14"/>
                <w:szCs w:val="14"/>
              </w:rPr>
              <w:t> M3NF</w:t>
            </w:r>
          </w:p>
        </w:tc>
        <w:tc>
          <w:tcPr>
            <w:tcW w:w="184" w:type="pct"/>
            <w:vMerge/>
            <w:tcBorders>
              <w:left w:val="nil"/>
              <w:bottom w:val="single" w:sz="4" w:space="0" w:color="auto"/>
              <w:right w:val="nil"/>
            </w:tcBorders>
          </w:tcPr>
          <w:p w14:paraId="3BD31512" w14:textId="77777777" w:rsidR="0035380D" w:rsidRPr="00D26C28" w:rsidRDefault="0035380D" w:rsidP="00B6548B">
            <w:pPr>
              <w:jc w:val="center"/>
              <w:rPr>
                <w:color w:val="000000" w:themeColor="text1"/>
                <w:sz w:val="14"/>
                <w:szCs w:val="14"/>
              </w:rPr>
            </w:pPr>
          </w:p>
        </w:tc>
        <w:tc>
          <w:tcPr>
            <w:tcW w:w="320" w:type="pct"/>
            <w:tcBorders>
              <w:top w:val="single" w:sz="4" w:space="0" w:color="auto"/>
              <w:left w:val="nil"/>
              <w:bottom w:val="single" w:sz="4" w:space="0" w:color="auto"/>
              <w:right w:val="nil"/>
            </w:tcBorders>
            <w:shd w:val="clear" w:color="auto" w:fill="auto"/>
            <w:noWrap/>
            <w:vAlign w:val="bottom"/>
            <w:hideMark/>
          </w:tcPr>
          <w:p w14:paraId="2BDC3579" w14:textId="77777777" w:rsidR="0035380D" w:rsidRPr="00D26C28" w:rsidRDefault="0035380D" w:rsidP="00B6548B">
            <w:pPr>
              <w:jc w:val="center"/>
              <w:rPr>
                <w:color w:val="000000" w:themeColor="text1"/>
                <w:sz w:val="14"/>
                <w:szCs w:val="14"/>
              </w:rPr>
            </w:pPr>
            <w:r w:rsidRPr="00D26C28">
              <w:rPr>
                <w:color w:val="000000" w:themeColor="text1"/>
                <w:sz w:val="14"/>
                <w:szCs w:val="14"/>
              </w:rPr>
              <w:t>SF</w:t>
            </w:r>
          </w:p>
        </w:tc>
        <w:tc>
          <w:tcPr>
            <w:tcW w:w="440" w:type="pct"/>
            <w:tcBorders>
              <w:top w:val="single" w:sz="4" w:space="0" w:color="auto"/>
              <w:left w:val="nil"/>
              <w:bottom w:val="single" w:sz="4" w:space="0" w:color="auto"/>
              <w:right w:val="nil"/>
            </w:tcBorders>
            <w:shd w:val="clear" w:color="auto" w:fill="auto"/>
            <w:noWrap/>
            <w:vAlign w:val="bottom"/>
            <w:hideMark/>
          </w:tcPr>
          <w:p w14:paraId="39FC25F2" w14:textId="77777777" w:rsidR="0035380D" w:rsidRPr="00D26C28" w:rsidRDefault="0035380D" w:rsidP="00B6548B">
            <w:pPr>
              <w:jc w:val="center"/>
              <w:rPr>
                <w:color w:val="000000" w:themeColor="text1"/>
                <w:sz w:val="14"/>
                <w:szCs w:val="14"/>
              </w:rPr>
            </w:pPr>
            <w:r w:rsidRPr="00D26C28">
              <w:rPr>
                <w:color w:val="000000" w:themeColor="text1"/>
                <w:sz w:val="14"/>
                <w:szCs w:val="14"/>
              </w:rPr>
              <w:t>SNF</w:t>
            </w:r>
          </w:p>
        </w:tc>
        <w:tc>
          <w:tcPr>
            <w:tcW w:w="320" w:type="pct"/>
            <w:tcBorders>
              <w:top w:val="single" w:sz="4" w:space="0" w:color="auto"/>
              <w:left w:val="nil"/>
              <w:bottom w:val="single" w:sz="4" w:space="0" w:color="auto"/>
              <w:right w:val="nil"/>
            </w:tcBorders>
            <w:shd w:val="clear" w:color="auto" w:fill="auto"/>
            <w:noWrap/>
            <w:vAlign w:val="bottom"/>
            <w:hideMark/>
          </w:tcPr>
          <w:p w14:paraId="1948773A" w14:textId="77777777" w:rsidR="0035380D" w:rsidRPr="00D26C28" w:rsidRDefault="0035380D" w:rsidP="00B6548B">
            <w:pPr>
              <w:jc w:val="center"/>
              <w:rPr>
                <w:color w:val="000000" w:themeColor="text1"/>
                <w:sz w:val="14"/>
                <w:szCs w:val="14"/>
              </w:rPr>
            </w:pPr>
            <w:r w:rsidRPr="00D26C28">
              <w:rPr>
                <w:color w:val="000000" w:themeColor="text1"/>
                <w:sz w:val="14"/>
                <w:szCs w:val="14"/>
              </w:rPr>
              <w:t>M3F</w:t>
            </w:r>
          </w:p>
        </w:tc>
        <w:tc>
          <w:tcPr>
            <w:tcW w:w="346" w:type="pct"/>
            <w:tcBorders>
              <w:top w:val="single" w:sz="4" w:space="0" w:color="000000"/>
              <w:left w:val="nil"/>
              <w:bottom w:val="single" w:sz="4" w:space="0" w:color="auto"/>
              <w:right w:val="nil"/>
            </w:tcBorders>
            <w:shd w:val="clear" w:color="auto" w:fill="auto"/>
            <w:noWrap/>
            <w:vAlign w:val="bottom"/>
            <w:hideMark/>
          </w:tcPr>
          <w:p w14:paraId="0C12BC66" w14:textId="77777777" w:rsidR="0035380D" w:rsidRPr="00D26C28" w:rsidRDefault="0035380D" w:rsidP="00B6548B">
            <w:pPr>
              <w:jc w:val="center"/>
              <w:rPr>
                <w:color w:val="000000" w:themeColor="text1"/>
                <w:sz w:val="14"/>
                <w:szCs w:val="14"/>
              </w:rPr>
            </w:pPr>
            <w:r w:rsidRPr="00D26C28">
              <w:rPr>
                <w:color w:val="000000" w:themeColor="text1"/>
                <w:sz w:val="14"/>
                <w:szCs w:val="14"/>
              </w:rPr>
              <w:t> M3NF</w:t>
            </w:r>
          </w:p>
        </w:tc>
        <w:tc>
          <w:tcPr>
            <w:tcW w:w="123" w:type="pct"/>
            <w:vMerge/>
            <w:tcBorders>
              <w:left w:val="nil"/>
              <w:bottom w:val="single" w:sz="4" w:space="0" w:color="auto"/>
              <w:right w:val="nil"/>
            </w:tcBorders>
          </w:tcPr>
          <w:p w14:paraId="45D23DBE" w14:textId="77777777" w:rsidR="0035380D" w:rsidRPr="00D26C28" w:rsidRDefault="0035380D" w:rsidP="00B6548B">
            <w:pPr>
              <w:jc w:val="center"/>
              <w:rPr>
                <w:color w:val="000000" w:themeColor="text1"/>
                <w:sz w:val="14"/>
                <w:szCs w:val="14"/>
              </w:rPr>
            </w:pPr>
          </w:p>
        </w:tc>
        <w:tc>
          <w:tcPr>
            <w:tcW w:w="320" w:type="pct"/>
            <w:tcBorders>
              <w:top w:val="single" w:sz="4" w:space="0" w:color="auto"/>
              <w:left w:val="nil"/>
              <w:bottom w:val="single" w:sz="4" w:space="0" w:color="auto"/>
              <w:right w:val="nil"/>
            </w:tcBorders>
            <w:shd w:val="clear" w:color="auto" w:fill="auto"/>
            <w:noWrap/>
            <w:vAlign w:val="bottom"/>
            <w:hideMark/>
          </w:tcPr>
          <w:p w14:paraId="2D976DB4" w14:textId="77777777" w:rsidR="0035380D" w:rsidRPr="00D26C28" w:rsidRDefault="0035380D" w:rsidP="00B6548B">
            <w:pPr>
              <w:jc w:val="center"/>
              <w:rPr>
                <w:color w:val="000000" w:themeColor="text1"/>
                <w:sz w:val="14"/>
                <w:szCs w:val="14"/>
              </w:rPr>
            </w:pPr>
            <w:r w:rsidRPr="00D26C28">
              <w:rPr>
                <w:color w:val="000000" w:themeColor="text1"/>
                <w:sz w:val="14"/>
                <w:szCs w:val="14"/>
              </w:rPr>
              <w:t>SF</w:t>
            </w:r>
          </w:p>
        </w:tc>
        <w:tc>
          <w:tcPr>
            <w:tcW w:w="320" w:type="pct"/>
            <w:tcBorders>
              <w:top w:val="single" w:sz="4" w:space="0" w:color="auto"/>
              <w:left w:val="nil"/>
              <w:bottom w:val="single" w:sz="4" w:space="0" w:color="auto"/>
              <w:right w:val="nil"/>
            </w:tcBorders>
            <w:shd w:val="clear" w:color="auto" w:fill="auto"/>
            <w:noWrap/>
            <w:vAlign w:val="bottom"/>
            <w:hideMark/>
          </w:tcPr>
          <w:p w14:paraId="25585767" w14:textId="77777777" w:rsidR="0035380D" w:rsidRPr="00D26C28" w:rsidRDefault="0035380D" w:rsidP="00B6548B">
            <w:pPr>
              <w:jc w:val="center"/>
              <w:rPr>
                <w:color w:val="000000" w:themeColor="text1"/>
                <w:sz w:val="14"/>
                <w:szCs w:val="14"/>
              </w:rPr>
            </w:pPr>
            <w:r w:rsidRPr="00D26C28">
              <w:rPr>
                <w:color w:val="000000" w:themeColor="text1"/>
                <w:sz w:val="14"/>
                <w:szCs w:val="14"/>
              </w:rPr>
              <w:t>SNF</w:t>
            </w:r>
          </w:p>
        </w:tc>
        <w:tc>
          <w:tcPr>
            <w:tcW w:w="320" w:type="pct"/>
            <w:tcBorders>
              <w:top w:val="single" w:sz="4" w:space="0" w:color="auto"/>
              <w:left w:val="nil"/>
              <w:bottom w:val="single" w:sz="4" w:space="0" w:color="auto"/>
            </w:tcBorders>
            <w:shd w:val="clear" w:color="auto" w:fill="auto"/>
            <w:noWrap/>
            <w:vAlign w:val="bottom"/>
            <w:hideMark/>
          </w:tcPr>
          <w:p w14:paraId="491DC90F" w14:textId="77777777" w:rsidR="0035380D" w:rsidRPr="00D26C28" w:rsidRDefault="0035380D" w:rsidP="00B6548B">
            <w:pPr>
              <w:jc w:val="center"/>
              <w:rPr>
                <w:color w:val="000000" w:themeColor="text1"/>
                <w:sz w:val="14"/>
                <w:szCs w:val="14"/>
              </w:rPr>
            </w:pPr>
            <w:r w:rsidRPr="00D26C28">
              <w:rPr>
                <w:color w:val="000000" w:themeColor="text1"/>
                <w:sz w:val="14"/>
                <w:szCs w:val="14"/>
              </w:rPr>
              <w:t>M3F</w:t>
            </w:r>
          </w:p>
        </w:tc>
        <w:tc>
          <w:tcPr>
            <w:tcW w:w="346" w:type="pct"/>
            <w:tcBorders>
              <w:top w:val="single" w:sz="4" w:space="0" w:color="auto"/>
              <w:left w:val="nil"/>
              <w:bottom w:val="single" w:sz="4" w:space="0" w:color="auto"/>
              <w:right w:val="nil"/>
            </w:tcBorders>
            <w:vAlign w:val="bottom"/>
          </w:tcPr>
          <w:p w14:paraId="16B71899" w14:textId="77777777" w:rsidR="0035380D" w:rsidRPr="00D26C28" w:rsidRDefault="0035380D" w:rsidP="00B6548B">
            <w:pPr>
              <w:rPr>
                <w:color w:val="000000" w:themeColor="text1"/>
                <w:sz w:val="14"/>
                <w:szCs w:val="14"/>
              </w:rPr>
            </w:pPr>
            <w:r w:rsidRPr="00D26C28">
              <w:rPr>
                <w:color w:val="000000" w:themeColor="text1"/>
                <w:sz w:val="14"/>
                <w:szCs w:val="14"/>
              </w:rPr>
              <w:t> M3NF</w:t>
            </w:r>
          </w:p>
        </w:tc>
      </w:tr>
      <w:tr w:rsidR="0035380D" w:rsidRPr="00D26C28" w14:paraId="52B84653" w14:textId="77777777" w:rsidTr="006132B7">
        <w:trPr>
          <w:cantSplit/>
          <w:trHeight w:hRule="exact" w:val="255"/>
        </w:trPr>
        <w:tc>
          <w:tcPr>
            <w:tcW w:w="275" w:type="pct"/>
            <w:tcBorders>
              <w:top w:val="nil"/>
              <w:bottom w:val="nil"/>
              <w:right w:val="nil"/>
            </w:tcBorders>
            <w:shd w:val="clear" w:color="auto" w:fill="auto"/>
            <w:noWrap/>
            <w:vAlign w:val="bottom"/>
            <w:hideMark/>
          </w:tcPr>
          <w:p w14:paraId="2B468749" w14:textId="77777777" w:rsidR="0035380D" w:rsidRPr="00D26C28" w:rsidRDefault="0035380D" w:rsidP="00B6548B">
            <w:pPr>
              <w:rPr>
                <w:color w:val="000000" w:themeColor="text1"/>
                <w:sz w:val="14"/>
                <w:szCs w:val="14"/>
              </w:rPr>
            </w:pPr>
            <w:r w:rsidRPr="00D26C28">
              <w:rPr>
                <w:color w:val="000000" w:themeColor="text1"/>
                <w:sz w:val="14"/>
                <w:szCs w:val="14"/>
              </w:rPr>
              <w:t>2007</w:t>
            </w:r>
          </w:p>
        </w:tc>
        <w:tc>
          <w:tcPr>
            <w:tcW w:w="434" w:type="pct"/>
            <w:tcBorders>
              <w:top w:val="nil"/>
              <w:left w:val="nil"/>
              <w:bottom w:val="nil"/>
              <w:right w:val="nil"/>
            </w:tcBorders>
            <w:shd w:val="clear" w:color="auto" w:fill="auto"/>
            <w:noWrap/>
            <w:vAlign w:val="bottom"/>
            <w:hideMark/>
          </w:tcPr>
          <w:p w14:paraId="4BC0D3A3" w14:textId="77777777" w:rsidR="0035380D" w:rsidRPr="00D26C28" w:rsidRDefault="0035380D" w:rsidP="00B6548B">
            <w:pPr>
              <w:rPr>
                <w:color w:val="000000" w:themeColor="text1"/>
                <w:sz w:val="14"/>
                <w:szCs w:val="14"/>
              </w:rPr>
            </w:pPr>
            <w:r w:rsidRPr="00D26C28">
              <w:rPr>
                <w:color w:val="000000" w:themeColor="text1"/>
                <w:sz w:val="14"/>
                <w:szCs w:val="14"/>
              </w:rPr>
              <w:t>Returns</w:t>
            </w:r>
          </w:p>
        </w:tc>
        <w:tc>
          <w:tcPr>
            <w:tcW w:w="320" w:type="pct"/>
            <w:tcBorders>
              <w:top w:val="nil"/>
              <w:left w:val="nil"/>
              <w:bottom w:val="nil"/>
              <w:right w:val="nil"/>
            </w:tcBorders>
            <w:shd w:val="clear" w:color="auto" w:fill="auto"/>
            <w:noWrap/>
            <w:vAlign w:val="bottom"/>
            <w:hideMark/>
          </w:tcPr>
          <w:p w14:paraId="3F83DF12" w14:textId="77777777" w:rsidR="0035380D" w:rsidRPr="00D26C28" w:rsidRDefault="0035380D" w:rsidP="00B6548B">
            <w:pPr>
              <w:jc w:val="center"/>
              <w:rPr>
                <w:color w:val="000000" w:themeColor="text1"/>
                <w:sz w:val="14"/>
                <w:szCs w:val="14"/>
              </w:rPr>
            </w:pPr>
            <w:r w:rsidRPr="00D26C28">
              <w:rPr>
                <w:color w:val="000000" w:themeColor="text1"/>
                <w:sz w:val="14"/>
                <w:szCs w:val="14"/>
              </w:rPr>
              <w:t>1.43%</w:t>
            </w:r>
          </w:p>
        </w:tc>
        <w:tc>
          <w:tcPr>
            <w:tcW w:w="320" w:type="pct"/>
            <w:tcBorders>
              <w:top w:val="nil"/>
              <w:left w:val="nil"/>
              <w:bottom w:val="nil"/>
              <w:right w:val="nil"/>
            </w:tcBorders>
            <w:shd w:val="clear" w:color="auto" w:fill="auto"/>
            <w:noWrap/>
            <w:vAlign w:val="bottom"/>
            <w:hideMark/>
          </w:tcPr>
          <w:p w14:paraId="41117AA0" w14:textId="77777777" w:rsidR="0035380D" w:rsidRPr="00D26C28" w:rsidRDefault="0035380D" w:rsidP="00B6548B">
            <w:pPr>
              <w:jc w:val="center"/>
              <w:rPr>
                <w:color w:val="000000" w:themeColor="text1"/>
                <w:sz w:val="14"/>
                <w:szCs w:val="14"/>
              </w:rPr>
            </w:pPr>
            <w:r w:rsidRPr="00D26C28">
              <w:rPr>
                <w:color w:val="000000" w:themeColor="text1"/>
                <w:sz w:val="14"/>
                <w:szCs w:val="14"/>
              </w:rPr>
              <w:t>1.51%</w:t>
            </w:r>
          </w:p>
        </w:tc>
        <w:tc>
          <w:tcPr>
            <w:tcW w:w="320" w:type="pct"/>
            <w:tcBorders>
              <w:top w:val="nil"/>
              <w:left w:val="nil"/>
              <w:bottom w:val="nil"/>
              <w:right w:val="nil"/>
            </w:tcBorders>
            <w:shd w:val="clear" w:color="auto" w:fill="auto"/>
            <w:noWrap/>
            <w:vAlign w:val="bottom"/>
            <w:hideMark/>
          </w:tcPr>
          <w:p w14:paraId="569A11BB" w14:textId="77777777" w:rsidR="0035380D" w:rsidRPr="00D26C28" w:rsidRDefault="0035380D" w:rsidP="00B6548B">
            <w:pPr>
              <w:jc w:val="center"/>
              <w:rPr>
                <w:color w:val="000000" w:themeColor="text1"/>
                <w:sz w:val="14"/>
                <w:szCs w:val="14"/>
              </w:rPr>
            </w:pPr>
            <w:r w:rsidRPr="00D26C28">
              <w:rPr>
                <w:color w:val="000000" w:themeColor="text1"/>
                <w:sz w:val="14"/>
                <w:szCs w:val="14"/>
              </w:rPr>
              <w:t>2.03%</w:t>
            </w:r>
          </w:p>
        </w:tc>
        <w:tc>
          <w:tcPr>
            <w:tcW w:w="293" w:type="pct"/>
            <w:tcBorders>
              <w:top w:val="nil"/>
              <w:left w:val="nil"/>
              <w:bottom w:val="nil"/>
              <w:right w:val="nil"/>
            </w:tcBorders>
            <w:shd w:val="clear" w:color="auto" w:fill="auto"/>
            <w:noWrap/>
            <w:vAlign w:val="bottom"/>
            <w:hideMark/>
          </w:tcPr>
          <w:p w14:paraId="6FA72951" w14:textId="77777777" w:rsidR="0035380D" w:rsidRPr="00D26C28" w:rsidRDefault="0035380D" w:rsidP="00B6548B">
            <w:pPr>
              <w:jc w:val="center"/>
              <w:rPr>
                <w:color w:val="000000" w:themeColor="text1"/>
                <w:sz w:val="14"/>
                <w:szCs w:val="14"/>
              </w:rPr>
            </w:pPr>
            <w:r w:rsidRPr="00D26C28">
              <w:rPr>
                <w:color w:val="000000" w:themeColor="text1"/>
                <w:sz w:val="14"/>
                <w:szCs w:val="14"/>
              </w:rPr>
              <w:t>2.10%</w:t>
            </w:r>
          </w:p>
        </w:tc>
        <w:tc>
          <w:tcPr>
            <w:tcW w:w="184" w:type="pct"/>
            <w:tcBorders>
              <w:top w:val="nil"/>
              <w:left w:val="nil"/>
              <w:bottom w:val="nil"/>
              <w:right w:val="nil"/>
            </w:tcBorders>
          </w:tcPr>
          <w:p w14:paraId="7AE90853"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58F15AC0" w14:textId="77777777" w:rsidR="0035380D" w:rsidRPr="00D26C28" w:rsidRDefault="0035380D" w:rsidP="00B6548B">
            <w:pPr>
              <w:jc w:val="center"/>
              <w:rPr>
                <w:color w:val="000000" w:themeColor="text1"/>
                <w:sz w:val="14"/>
                <w:szCs w:val="14"/>
              </w:rPr>
            </w:pPr>
            <w:r w:rsidRPr="00D26C28">
              <w:rPr>
                <w:color w:val="000000" w:themeColor="text1"/>
                <w:sz w:val="14"/>
                <w:szCs w:val="14"/>
              </w:rPr>
              <w:t>0.77%</w:t>
            </w:r>
          </w:p>
        </w:tc>
        <w:tc>
          <w:tcPr>
            <w:tcW w:w="440" w:type="pct"/>
            <w:tcBorders>
              <w:top w:val="nil"/>
              <w:left w:val="nil"/>
              <w:bottom w:val="nil"/>
              <w:right w:val="nil"/>
            </w:tcBorders>
            <w:shd w:val="clear" w:color="auto" w:fill="auto"/>
            <w:noWrap/>
            <w:vAlign w:val="bottom"/>
            <w:hideMark/>
          </w:tcPr>
          <w:p w14:paraId="3E3368AB" w14:textId="77777777" w:rsidR="0035380D" w:rsidRPr="00D26C28" w:rsidRDefault="0035380D" w:rsidP="00B6548B">
            <w:pPr>
              <w:jc w:val="center"/>
              <w:rPr>
                <w:color w:val="000000" w:themeColor="text1"/>
                <w:sz w:val="14"/>
                <w:szCs w:val="14"/>
              </w:rPr>
            </w:pPr>
            <w:r w:rsidRPr="00D26C28">
              <w:rPr>
                <w:color w:val="000000" w:themeColor="text1"/>
                <w:sz w:val="14"/>
                <w:szCs w:val="14"/>
              </w:rPr>
              <w:t>1.16%</w:t>
            </w:r>
          </w:p>
        </w:tc>
        <w:tc>
          <w:tcPr>
            <w:tcW w:w="320" w:type="pct"/>
            <w:tcBorders>
              <w:top w:val="nil"/>
              <w:left w:val="nil"/>
              <w:bottom w:val="nil"/>
              <w:right w:val="nil"/>
            </w:tcBorders>
            <w:shd w:val="clear" w:color="auto" w:fill="auto"/>
            <w:noWrap/>
            <w:vAlign w:val="bottom"/>
            <w:hideMark/>
          </w:tcPr>
          <w:p w14:paraId="554337B2" w14:textId="77777777" w:rsidR="0035380D" w:rsidRPr="00D26C28" w:rsidRDefault="0035380D" w:rsidP="00B6548B">
            <w:pPr>
              <w:jc w:val="center"/>
              <w:rPr>
                <w:color w:val="000000" w:themeColor="text1"/>
                <w:sz w:val="14"/>
                <w:szCs w:val="14"/>
              </w:rPr>
            </w:pPr>
            <w:r w:rsidRPr="00D26C28">
              <w:rPr>
                <w:color w:val="000000" w:themeColor="text1"/>
                <w:sz w:val="14"/>
                <w:szCs w:val="14"/>
              </w:rPr>
              <w:t>1.55%</w:t>
            </w:r>
          </w:p>
        </w:tc>
        <w:tc>
          <w:tcPr>
            <w:tcW w:w="346" w:type="pct"/>
            <w:tcBorders>
              <w:top w:val="nil"/>
              <w:left w:val="nil"/>
              <w:bottom w:val="nil"/>
              <w:right w:val="nil"/>
            </w:tcBorders>
            <w:shd w:val="clear" w:color="auto" w:fill="auto"/>
            <w:noWrap/>
            <w:vAlign w:val="bottom"/>
            <w:hideMark/>
          </w:tcPr>
          <w:p w14:paraId="0EBC7DC3" w14:textId="77777777" w:rsidR="0035380D" w:rsidRPr="00D26C28" w:rsidRDefault="0035380D" w:rsidP="00B6548B">
            <w:pPr>
              <w:jc w:val="center"/>
              <w:rPr>
                <w:color w:val="000000" w:themeColor="text1"/>
                <w:sz w:val="14"/>
                <w:szCs w:val="14"/>
              </w:rPr>
            </w:pPr>
            <w:r w:rsidRPr="00D26C28">
              <w:rPr>
                <w:color w:val="000000" w:themeColor="text1"/>
                <w:sz w:val="14"/>
                <w:szCs w:val="14"/>
              </w:rPr>
              <w:t>1.34%</w:t>
            </w:r>
          </w:p>
        </w:tc>
        <w:tc>
          <w:tcPr>
            <w:tcW w:w="123" w:type="pct"/>
            <w:tcBorders>
              <w:top w:val="nil"/>
              <w:left w:val="nil"/>
              <w:bottom w:val="nil"/>
              <w:right w:val="nil"/>
            </w:tcBorders>
          </w:tcPr>
          <w:p w14:paraId="70314A00"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2DF0C9A1" w14:textId="77777777" w:rsidR="0035380D" w:rsidRPr="00D26C28" w:rsidRDefault="0035380D" w:rsidP="00B6548B">
            <w:pPr>
              <w:jc w:val="center"/>
              <w:rPr>
                <w:color w:val="000000" w:themeColor="text1"/>
                <w:sz w:val="14"/>
                <w:szCs w:val="14"/>
              </w:rPr>
            </w:pPr>
            <w:r w:rsidRPr="00D26C28">
              <w:rPr>
                <w:color w:val="000000" w:themeColor="text1"/>
                <w:sz w:val="14"/>
                <w:szCs w:val="14"/>
              </w:rPr>
              <w:t>1.33%</w:t>
            </w:r>
          </w:p>
        </w:tc>
        <w:tc>
          <w:tcPr>
            <w:tcW w:w="320" w:type="pct"/>
            <w:tcBorders>
              <w:top w:val="nil"/>
              <w:left w:val="nil"/>
              <w:bottom w:val="nil"/>
              <w:right w:val="nil"/>
            </w:tcBorders>
            <w:shd w:val="clear" w:color="auto" w:fill="auto"/>
            <w:noWrap/>
            <w:vAlign w:val="bottom"/>
            <w:hideMark/>
          </w:tcPr>
          <w:p w14:paraId="0973E10F" w14:textId="77777777" w:rsidR="0035380D" w:rsidRPr="00D26C28" w:rsidRDefault="0035380D" w:rsidP="00B6548B">
            <w:pPr>
              <w:jc w:val="center"/>
              <w:rPr>
                <w:color w:val="000000" w:themeColor="text1"/>
                <w:sz w:val="14"/>
                <w:szCs w:val="14"/>
              </w:rPr>
            </w:pPr>
            <w:r w:rsidRPr="00D26C28">
              <w:rPr>
                <w:color w:val="000000" w:themeColor="text1"/>
                <w:sz w:val="14"/>
                <w:szCs w:val="14"/>
              </w:rPr>
              <w:t>1.58%</w:t>
            </w:r>
          </w:p>
        </w:tc>
        <w:tc>
          <w:tcPr>
            <w:tcW w:w="320" w:type="pct"/>
            <w:tcBorders>
              <w:top w:val="nil"/>
              <w:left w:val="nil"/>
              <w:bottom w:val="nil"/>
            </w:tcBorders>
            <w:shd w:val="clear" w:color="auto" w:fill="auto"/>
            <w:noWrap/>
            <w:vAlign w:val="bottom"/>
            <w:hideMark/>
          </w:tcPr>
          <w:p w14:paraId="3D8DBF70" w14:textId="77777777" w:rsidR="0035380D" w:rsidRPr="00D26C28" w:rsidRDefault="0035380D" w:rsidP="00B6548B">
            <w:pPr>
              <w:jc w:val="center"/>
              <w:rPr>
                <w:color w:val="000000" w:themeColor="text1"/>
                <w:sz w:val="14"/>
                <w:szCs w:val="14"/>
              </w:rPr>
            </w:pPr>
            <w:r w:rsidRPr="00D26C28">
              <w:rPr>
                <w:color w:val="000000" w:themeColor="text1"/>
                <w:sz w:val="14"/>
                <w:szCs w:val="14"/>
              </w:rPr>
              <w:t>1.48%</w:t>
            </w:r>
          </w:p>
        </w:tc>
        <w:tc>
          <w:tcPr>
            <w:tcW w:w="346" w:type="pct"/>
            <w:tcBorders>
              <w:top w:val="nil"/>
              <w:left w:val="nil"/>
              <w:bottom w:val="nil"/>
              <w:right w:val="nil"/>
            </w:tcBorders>
            <w:vAlign w:val="bottom"/>
          </w:tcPr>
          <w:p w14:paraId="01F5EE01" w14:textId="77777777" w:rsidR="0035380D" w:rsidRPr="00D26C28" w:rsidRDefault="0035380D" w:rsidP="00B6548B">
            <w:pPr>
              <w:jc w:val="center"/>
              <w:rPr>
                <w:color w:val="000000" w:themeColor="text1"/>
                <w:sz w:val="14"/>
                <w:szCs w:val="14"/>
              </w:rPr>
            </w:pPr>
            <w:r w:rsidRPr="00D26C28">
              <w:rPr>
                <w:color w:val="000000" w:themeColor="text1"/>
                <w:sz w:val="14"/>
                <w:szCs w:val="14"/>
              </w:rPr>
              <w:t>1.73%</w:t>
            </w:r>
          </w:p>
        </w:tc>
      </w:tr>
      <w:tr w:rsidR="0035380D" w:rsidRPr="00D26C28" w14:paraId="05A6F98F" w14:textId="77777777" w:rsidTr="006132B7">
        <w:trPr>
          <w:cantSplit/>
          <w:trHeight w:hRule="exact" w:val="255"/>
        </w:trPr>
        <w:tc>
          <w:tcPr>
            <w:tcW w:w="275" w:type="pct"/>
            <w:tcBorders>
              <w:top w:val="nil"/>
              <w:bottom w:val="nil"/>
              <w:right w:val="nil"/>
            </w:tcBorders>
            <w:shd w:val="clear" w:color="auto" w:fill="auto"/>
            <w:noWrap/>
            <w:vAlign w:val="bottom"/>
            <w:hideMark/>
          </w:tcPr>
          <w:p w14:paraId="026EAD35" w14:textId="77777777" w:rsidR="0035380D" w:rsidRPr="00D26C28" w:rsidRDefault="0035380D" w:rsidP="00B6548B">
            <w:pPr>
              <w:rPr>
                <w:color w:val="000000" w:themeColor="text1"/>
                <w:sz w:val="14"/>
                <w:szCs w:val="14"/>
              </w:rPr>
            </w:pPr>
          </w:p>
        </w:tc>
        <w:tc>
          <w:tcPr>
            <w:tcW w:w="434" w:type="pct"/>
            <w:tcBorders>
              <w:top w:val="nil"/>
              <w:left w:val="nil"/>
              <w:bottom w:val="nil"/>
              <w:right w:val="nil"/>
            </w:tcBorders>
            <w:shd w:val="clear" w:color="auto" w:fill="auto"/>
            <w:noWrap/>
            <w:vAlign w:val="bottom"/>
            <w:hideMark/>
          </w:tcPr>
          <w:p w14:paraId="6AF78692" w14:textId="77777777" w:rsidR="0035380D" w:rsidRPr="00D26C28" w:rsidRDefault="0035380D" w:rsidP="00B6548B">
            <w:pPr>
              <w:rPr>
                <w:i/>
                <w:iCs/>
                <w:color w:val="000000" w:themeColor="text1"/>
                <w:sz w:val="14"/>
                <w:szCs w:val="14"/>
              </w:rPr>
            </w:pPr>
            <w:r w:rsidRPr="00D26C28">
              <w:rPr>
                <w:i/>
                <w:iCs/>
                <w:color w:val="000000" w:themeColor="text1"/>
                <w:sz w:val="14"/>
                <w:szCs w:val="14"/>
              </w:rPr>
              <w:t>t-</w:t>
            </w:r>
            <w:r w:rsidRPr="00D26C28">
              <w:rPr>
                <w:color w:val="000000" w:themeColor="text1"/>
                <w:sz w:val="14"/>
                <w:szCs w:val="14"/>
              </w:rPr>
              <w:t>statistics</w:t>
            </w:r>
          </w:p>
        </w:tc>
        <w:tc>
          <w:tcPr>
            <w:tcW w:w="320" w:type="pct"/>
            <w:tcBorders>
              <w:top w:val="nil"/>
              <w:left w:val="nil"/>
              <w:bottom w:val="nil"/>
              <w:right w:val="nil"/>
            </w:tcBorders>
            <w:shd w:val="clear" w:color="auto" w:fill="auto"/>
            <w:noWrap/>
            <w:vAlign w:val="bottom"/>
            <w:hideMark/>
          </w:tcPr>
          <w:p w14:paraId="34F27159" w14:textId="77777777" w:rsidR="0035380D" w:rsidRPr="00D26C28" w:rsidRDefault="0035380D" w:rsidP="00B6548B">
            <w:pPr>
              <w:jc w:val="center"/>
              <w:rPr>
                <w:color w:val="000000" w:themeColor="text1"/>
                <w:sz w:val="14"/>
                <w:szCs w:val="14"/>
              </w:rPr>
            </w:pPr>
            <w:r w:rsidRPr="00D26C28">
              <w:rPr>
                <w:color w:val="000000" w:themeColor="text1"/>
                <w:sz w:val="14"/>
                <w:szCs w:val="14"/>
              </w:rPr>
              <w:t>3.41</w:t>
            </w:r>
          </w:p>
        </w:tc>
        <w:tc>
          <w:tcPr>
            <w:tcW w:w="320" w:type="pct"/>
            <w:tcBorders>
              <w:top w:val="nil"/>
              <w:left w:val="nil"/>
              <w:bottom w:val="nil"/>
              <w:right w:val="nil"/>
            </w:tcBorders>
            <w:shd w:val="clear" w:color="auto" w:fill="auto"/>
            <w:noWrap/>
            <w:vAlign w:val="bottom"/>
            <w:hideMark/>
          </w:tcPr>
          <w:p w14:paraId="53F339E0" w14:textId="77777777" w:rsidR="0035380D" w:rsidRPr="00D26C28" w:rsidRDefault="0035380D" w:rsidP="00B6548B">
            <w:pPr>
              <w:jc w:val="center"/>
              <w:rPr>
                <w:color w:val="000000" w:themeColor="text1"/>
                <w:sz w:val="14"/>
                <w:szCs w:val="14"/>
              </w:rPr>
            </w:pPr>
            <w:r w:rsidRPr="00D26C28">
              <w:rPr>
                <w:color w:val="000000" w:themeColor="text1"/>
                <w:sz w:val="14"/>
                <w:szCs w:val="14"/>
              </w:rPr>
              <w:t>2.84</w:t>
            </w:r>
          </w:p>
        </w:tc>
        <w:tc>
          <w:tcPr>
            <w:tcW w:w="320" w:type="pct"/>
            <w:tcBorders>
              <w:top w:val="nil"/>
              <w:left w:val="nil"/>
              <w:bottom w:val="nil"/>
              <w:right w:val="nil"/>
            </w:tcBorders>
            <w:shd w:val="clear" w:color="auto" w:fill="auto"/>
            <w:noWrap/>
            <w:vAlign w:val="bottom"/>
            <w:hideMark/>
          </w:tcPr>
          <w:p w14:paraId="35001859" w14:textId="77777777" w:rsidR="0035380D" w:rsidRPr="00D26C28" w:rsidRDefault="0035380D" w:rsidP="00B6548B">
            <w:pPr>
              <w:jc w:val="center"/>
              <w:rPr>
                <w:color w:val="000000" w:themeColor="text1"/>
                <w:sz w:val="14"/>
                <w:szCs w:val="14"/>
              </w:rPr>
            </w:pPr>
            <w:r w:rsidRPr="00D26C28">
              <w:rPr>
                <w:color w:val="000000" w:themeColor="text1"/>
                <w:sz w:val="14"/>
                <w:szCs w:val="14"/>
              </w:rPr>
              <w:t>4.03</w:t>
            </w:r>
          </w:p>
        </w:tc>
        <w:tc>
          <w:tcPr>
            <w:tcW w:w="293" w:type="pct"/>
            <w:tcBorders>
              <w:top w:val="nil"/>
              <w:left w:val="nil"/>
              <w:bottom w:val="nil"/>
              <w:right w:val="nil"/>
            </w:tcBorders>
            <w:shd w:val="clear" w:color="auto" w:fill="auto"/>
            <w:noWrap/>
            <w:vAlign w:val="bottom"/>
            <w:hideMark/>
          </w:tcPr>
          <w:p w14:paraId="5FB2DD3B" w14:textId="77777777" w:rsidR="0035380D" w:rsidRPr="00D26C28" w:rsidRDefault="0035380D" w:rsidP="00B6548B">
            <w:pPr>
              <w:jc w:val="center"/>
              <w:rPr>
                <w:color w:val="000000" w:themeColor="text1"/>
                <w:sz w:val="14"/>
                <w:szCs w:val="14"/>
              </w:rPr>
            </w:pPr>
            <w:r w:rsidRPr="00D26C28">
              <w:rPr>
                <w:color w:val="000000" w:themeColor="text1"/>
                <w:sz w:val="14"/>
                <w:szCs w:val="14"/>
              </w:rPr>
              <w:t>3.90</w:t>
            </w:r>
          </w:p>
        </w:tc>
        <w:tc>
          <w:tcPr>
            <w:tcW w:w="184" w:type="pct"/>
            <w:tcBorders>
              <w:top w:val="nil"/>
              <w:left w:val="nil"/>
              <w:bottom w:val="nil"/>
              <w:right w:val="nil"/>
            </w:tcBorders>
          </w:tcPr>
          <w:p w14:paraId="6BDE0489"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3F60EF62" w14:textId="77777777" w:rsidR="0035380D" w:rsidRPr="00D26C28" w:rsidRDefault="0035380D" w:rsidP="00B6548B">
            <w:pPr>
              <w:jc w:val="center"/>
              <w:rPr>
                <w:color w:val="000000" w:themeColor="text1"/>
                <w:sz w:val="14"/>
                <w:szCs w:val="14"/>
              </w:rPr>
            </w:pPr>
            <w:r w:rsidRPr="00D26C28">
              <w:rPr>
                <w:color w:val="000000" w:themeColor="text1"/>
                <w:sz w:val="14"/>
                <w:szCs w:val="14"/>
              </w:rPr>
              <w:t>1.35</w:t>
            </w:r>
          </w:p>
        </w:tc>
        <w:tc>
          <w:tcPr>
            <w:tcW w:w="440" w:type="pct"/>
            <w:tcBorders>
              <w:top w:val="nil"/>
              <w:left w:val="nil"/>
              <w:bottom w:val="nil"/>
              <w:right w:val="nil"/>
            </w:tcBorders>
            <w:shd w:val="clear" w:color="auto" w:fill="auto"/>
            <w:noWrap/>
            <w:vAlign w:val="bottom"/>
            <w:hideMark/>
          </w:tcPr>
          <w:p w14:paraId="04CC66EF" w14:textId="77777777" w:rsidR="0035380D" w:rsidRPr="00D26C28" w:rsidRDefault="0035380D" w:rsidP="00B6548B">
            <w:pPr>
              <w:jc w:val="center"/>
              <w:rPr>
                <w:color w:val="000000" w:themeColor="text1"/>
                <w:sz w:val="14"/>
                <w:szCs w:val="14"/>
              </w:rPr>
            </w:pPr>
            <w:r w:rsidRPr="00D26C28">
              <w:rPr>
                <w:color w:val="000000" w:themeColor="text1"/>
                <w:sz w:val="14"/>
                <w:szCs w:val="14"/>
              </w:rPr>
              <w:t>1.69</w:t>
            </w:r>
          </w:p>
        </w:tc>
        <w:tc>
          <w:tcPr>
            <w:tcW w:w="320" w:type="pct"/>
            <w:tcBorders>
              <w:top w:val="nil"/>
              <w:left w:val="nil"/>
              <w:bottom w:val="nil"/>
              <w:right w:val="nil"/>
            </w:tcBorders>
            <w:shd w:val="clear" w:color="auto" w:fill="auto"/>
            <w:noWrap/>
            <w:vAlign w:val="bottom"/>
            <w:hideMark/>
          </w:tcPr>
          <w:p w14:paraId="30959A9E" w14:textId="77777777" w:rsidR="0035380D" w:rsidRPr="00D26C28" w:rsidRDefault="0035380D" w:rsidP="00B6548B">
            <w:pPr>
              <w:jc w:val="center"/>
              <w:rPr>
                <w:color w:val="000000" w:themeColor="text1"/>
                <w:sz w:val="14"/>
                <w:szCs w:val="14"/>
              </w:rPr>
            </w:pPr>
            <w:r w:rsidRPr="00D26C28">
              <w:rPr>
                <w:color w:val="000000" w:themeColor="text1"/>
                <w:sz w:val="14"/>
                <w:szCs w:val="14"/>
              </w:rPr>
              <w:t>2.73</w:t>
            </w:r>
          </w:p>
        </w:tc>
        <w:tc>
          <w:tcPr>
            <w:tcW w:w="346" w:type="pct"/>
            <w:tcBorders>
              <w:top w:val="nil"/>
              <w:left w:val="nil"/>
              <w:bottom w:val="nil"/>
              <w:right w:val="nil"/>
            </w:tcBorders>
            <w:shd w:val="clear" w:color="auto" w:fill="auto"/>
            <w:noWrap/>
            <w:vAlign w:val="bottom"/>
            <w:hideMark/>
          </w:tcPr>
          <w:p w14:paraId="76597749" w14:textId="77777777" w:rsidR="0035380D" w:rsidRPr="00D26C28" w:rsidRDefault="0035380D" w:rsidP="00B6548B">
            <w:pPr>
              <w:jc w:val="center"/>
              <w:rPr>
                <w:color w:val="000000" w:themeColor="text1"/>
                <w:sz w:val="14"/>
                <w:szCs w:val="14"/>
              </w:rPr>
            </w:pPr>
            <w:r w:rsidRPr="00D26C28">
              <w:rPr>
                <w:color w:val="000000" w:themeColor="text1"/>
                <w:sz w:val="14"/>
                <w:szCs w:val="14"/>
              </w:rPr>
              <w:t>2.25</w:t>
            </w:r>
          </w:p>
        </w:tc>
        <w:tc>
          <w:tcPr>
            <w:tcW w:w="123" w:type="pct"/>
            <w:tcBorders>
              <w:top w:val="nil"/>
              <w:left w:val="nil"/>
              <w:bottom w:val="nil"/>
              <w:right w:val="nil"/>
            </w:tcBorders>
          </w:tcPr>
          <w:p w14:paraId="61422E31"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42F3059C" w14:textId="77777777" w:rsidR="0035380D" w:rsidRPr="00D26C28" w:rsidRDefault="0035380D" w:rsidP="00B6548B">
            <w:pPr>
              <w:jc w:val="center"/>
              <w:rPr>
                <w:color w:val="000000" w:themeColor="text1"/>
                <w:sz w:val="14"/>
                <w:szCs w:val="14"/>
              </w:rPr>
            </w:pPr>
            <w:r w:rsidRPr="00D26C28">
              <w:rPr>
                <w:color w:val="000000" w:themeColor="text1"/>
                <w:sz w:val="14"/>
                <w:szCs w:val="14"/>
              </w:rPr>
              <w:t>3.24</w:t>
            </w:r>
          </w:p>
        </w:tc>
        <w:tc>
          <w:tcPr>
            <w:tcW w:w="320" w:type="pct"/>
            <w:tcBorders>
              <w:top w:val="nil"/>
              <w:left w:val="nil"/>
              <w:bottom w:val="nil"/>
              <w:right w:val="nil"/>
            </w:tcBorders>
            <w:shd w:val="clear" w:color="auto" w:fill="auto"/>
            <w:noWrap/>
            <w:vAlign w:val="bottom"/>
            <w:hideMark/>
          </w:tcPr>
          <w:p w14:paraId="002B1C86" w14:textId="77777777" w:rsidR="0035380D" w:rsidRPr="00D26C28" w:rsidRDefault="0035380D" w:rsidP="00B6548B">
            <w:pPr>
              <w:jc w:val="center"/>
              <w:rPr>
                <w:color w:val="000000" w:themeColor="text1"/>
                <w:sz w:val="14"/>
                <w:szCs w:val="14"/>
              </w:rPr>
            </w:pPr>
            <w:r w:rsidRPr="00D26C28">
              <w:rPr>
                <w:color w:val="000000" w:themeColor="text1"/>
                <w:sz w:val="14"/>
                <w:szCs w:val="14"/>
              </w:rPr>
              <w:t>3.54</w:t>
            </w:r>
          </w:p>
        </w:tc>
        <w:tc>
          <w:tcPr>
            <w:tcW w:w="320" w:type="pct"/>
            <w:tcBorders>
              <w:top w:val="nil"/>
              <w:left w:val="nil"/>
              <w:bottom w:val="nil"/>
            </w:tcBorders>
            <w:shd w:val="clear" w:color="auto" w:fill="auto"/>
            <w:noWrap/>
            <w:vAlign w:val="bottom"/>
            <w:hideMark/>
          </w:tcPr>
          <w:p w14:paraId="10F1F4E8" w14:textId="77777777" w:rsidR="0035380D" w:rsidRPr="00D26C28" w:rsidRDefault="0035380D" w:rsidP="00B6548B">
            <w:pPr>
              <w:jc w:val="center"/>
              <w:rPr>
                <w:color w:val="000000" w:themeColor="text1"/>
                <w:sz w:val="14"/>
                <w:szCs w:val="14"/>
              </w:rPr>
            </w:pPr>
            <w:r w:rsidRPr="00D26C28">
              <w:rPr>
                <w:color w:val="000000" w:themeColor="text1"/>
                <w:sz w:val="14"/>
                <w:szCs w:val="14"/>
              </w:rPr>
              <w:t>2.06</w:t>
            </w:r>
          </w:p>
        </w:tc>
        <w:tc>
          <w:tcPr>
            <w:tcW w:w="346" w:type="pct"/>
            <w:tcBorders>
              <w:top w:val="nil"/>
              <w:left w:val="nil"/>
              <w:bottom w:val="nil"/>
              <w:right w:val="nil"/>
            </w:tcBorders>
            <w:vAlign w:val="bottom"/>
          </w:tcPr>
          <w:p w14:paraId="2D4D32EA" w14:textId="77777777" w:rsidR="0035380D" w:rsidRPr="00D26C28" w:rsidRDefault="0035380D" w:rsidP="00B6548B">
            <w:pPr>
              <w:jc w:val="center"/>
              <w:rPr>
                <w:color w:val="000000" w:themeColor="text1"/>
                <w:sz w:val="14"/>
                <w:szCs w:val="14"/>
              </w:rPr>
            </w:pPr>
            <w:r w:rsidRPr="00D26C28">
              <w:rPr>
                <w:color w:val="000000" w:themeColor="text1"/>
                <w:sz w:val="14"/>
                <w:szCs w:val="14"/>
              </w:rPr>
              <w:t>2.34</w:t>
            </w:r>
          </w:p>
        </w:tc>
      </w:tr>
      <w:tr w:rsidR="0035380D" w:rsidRPr="00D26C28" w14:paraId="524506C2" w14:textId="77777777" w:rsidTr="006132B7">
        <w:trPr>
          <w:cantSplit/>
          <w:trHeight w:hRule="exact" w:val="255"/>
        </w:trPr>
        <w:tc>
          <w:tcPr>
            <w:tcW w:w="275" w:type="pct"/>
            <w:tcBorders>
              <w:top w:val="nil"/>
              <w:bottom w:val="nil"/>
              <w:right w:val="nil"/>
            </w:tcBorders>
            <w:shd w:val="clear" w:color="auto" w:fill="auto"/>
            <w:noWrap/>
            <w:vAlign w:val="bottom"/>
            <w:hideMark/>
          </w:tcPr>
          <w:p w14:paraId="71C091A0"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039FAD8D" w14:textId="77777777" w:rsidR="0035380D" w:rsidRPr="00D26C28" w:rsidRDefault="0035380D" w:rsidP="00B6548B">
            <w:pPr>
              <w:rPr>
                <w:color w:val="000000" w:themeColor="text1"/>
                <w:sz w:val="14"/>
                <w:szCs w:val="14"/>
              </w:rPr>
            </w:pPr>
            <w:r w:rsidRPr="00D26C28">
              <w:rPr>
                <w:color w:val="000000" w:themeColor="text1"/>
                <w:sz w:val="14"/>
                <w:szCs w:val="14"/>
              </w:rPr>
              <w:t>Volatility</w:t>
            </w:r>
          </w:p>
        </w:tc>
        <w:tc>
          <w:tcPr>
            <w:tcW w:w="320" w:type="pct"/>
            <w:tcBorders>
              <w:top w:val="nil"/>
              <w:left w:val="nil"/>
              <w:bottom w:val="nil"/>
              <w:right w:val="nil"/>
            </w:tcBorders>
            <w:shd w:val="clear" w:color="auto" w:fill="auto"/>
            <w:noWrap/>
            <w:vAlign w:val="bottom"/>
            <w:hideMark/>
          </w:tcPr>
          <w:p w14:paraId="1FD1A89B" w14:textId="77777777" w:rsidR="0035380D" w:rsidRPr="00D26C28" w:rsidRDefault="0035380D" w:rsidP="00B6548B">
            <w:pPr>
              <w:jc w:val="center"/>
              <w:rPr>
                <w:color w:val="000000" w:themeColor="text1"/>
                <w:sz w:val="14"/>
                <w:szCs w:val="14"/>
              </w:rPr>
            </w:pPr>
            <w:r w:rsidRPr="00D26C28">
              <w:rPr>
                <w:color w:val="000000" w:themeColor="text1"/>
                <w:sz w:val="14"/>
                <w:szCs w:val="14"/>
              </w:rPr>
              <w:t>4.52%</w:t>
            </w:r>
          </w:p>
        </w:tc>
        <w:tc>
          <w:tcPr>
            <w:tcW w:w="320" w:type="pct"/>
            <w:tcBorders>
              <w:top w:val="nil"/>
              <w:left w:val="nil"/>
              <w:bottom w:val="nil"/>
              <w:right w:val="nil"/>
            </w:tcBorders>
            <w:shd w:val="clear" w:color="auto" w:fill="auto"/>
            <w:noWrap/>
            <w:vAlign w:val="bottom"/>
            <w:hideMark/>
          </w:tcPr>
          <w:p w14:paraId="493E067E" w14:textId="77777777" w:rsidR="0035380D" w:rsidRPr="00D26C28" w:rsidRDefault="0035380D" w:rsidP="00B6548B">
            <w:pPr>
              <w:jc w:val="center"/>
              <w:rPr>
                <w:color w:val="000000" w:themeColor="text1"/>
                <w:sz w:val="14"/>
                <w:szCs w:val="14"/>
              </w:rPr>
            </w:pPr>
            <w:r w:rsidRPr="00D26C28">
              <w:rPr>
                <w:color w:val="000000" w:themeColor="text1"/>
                <w:sz w:val="14"/>
                <w:szCs w:val="14"/>
              </w:rPr>
              <w:t>5.62%</w:t>
            </w:r>
          </w:p>
        </w:tc>
        <w:tc>
          <w:tcPr>
            <w:tcW w:w="320" w:type="pct"/>
            <w:tcBorders>
              <w:top w:val="nil"/>
              <w:left w:val="nil"/>
              <w:bottom w:val="nil"/>
              <w:right w:val="nil"/>
            </w:tcBorders>
            <w:shd w:val="clear" w:color="auto" w:fill="auto"/>
            <w:noWrap/>
            <w:vAlign w:val="bottom"/>
            <w:hideMark/>
          </w:tcPr>
          <w:p w14:paraId="6B8BF4D9" w14:textId="77777777" w:rsidR="0035380D" w:rsidRPr="00D26C28" w:rsidRDefault="0035380D" w:rsidP="00B6548B">
            <w:pPr>
              <w:jc w:val="center"/>
              <w:rPr>
                <w:color w:val="000000" w:themeColor="text1"/>
                <w:sz w:val="14"/>
                <w:szCs w:val="14"/>
              </w:rPr>
            </w:pPr>
            <w:r w:rsidRPr="00D26C28">
              <w:rPr>
                <w:color w:val="000000" w:themeColor="text1"/>
                <w:sz w:val="14"/>
                <w:szCs w:val="14"/>
              </w:rPr>
              <w:t>5.75%</w:t>
            </w:r>
          </w:p>
        </w:tc>
        <w:tc>
          <w:tcPr>
            <w:tcW w:w="293" w:type="pct"/>
            <w:tcBorders>
              <w:top w:val="nil"/>
              <w:left w:val="nil"/>
              <w:bottom w:val="nil"/>
              <w:right w:val="nil"/>
            </w:tcBorders>
            <w:shd w:val="clear" w:color="auto" w:fill="auto"/>
            <w:noWrap/>
            <w:vAlign w:val="bottom"/>
            <w:hideMark/>
          </w:tcPr>
          <w:p w14:paraId="733D2A4E" w14:textId="77777777" w:rsidR="0035380D" w:rsidRPr="00D26C28" w:rsidRDefault="0035380D" w:rsidP="00B6548B">
            <w:pPr>
              <w:jc w:val="center"/>
              <w:rPr>
                <w:color w:val="000000" w:themeColor="text1"/>
                <w:sz w:val="14"/>
                <w:szCs w:val="14"/>
              </w:rPr>
            </w:pPr>
            <w:r w:rsidRPr="00D26C28">
              <w:rPr>
                <w:color w:val="000000" w:themeColor="text1"/>
                <w:sz w:val="14"/>
                <w:szCs w:val="14"/>
              </w:rPr>
              <w:t>5.84%</w:t>
            </w:r>
          </w:p>
        </w:tc>
        <w:tc>
          <w:tcPr>
            <w:tcW w:w="184" w:type="pct"/>
            <w:tcBorders>
              <w:top w:val="nil"/>
              <w:left w:val="nil"/>
              <w:bottom w:val="nil"/>
              <w:right w:val="nil"/>
            </w:tcBorders>
          </w:tcPr>
          <w:p w14:paraId="0C8CEDBF"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15897229" w14:textId="77777777" w:rsidR="0035380D" w:rsidRPr="00D26C28" w:rsidRDefault="0035380D" w:rsidP="00B6548B">
            <w:pPr>
              <w:jc w:val="center"/>
              <w:rPr>
                <w:color w:val="000000" w:themeColor="text1"/>
                <w:sz w:val="14"/>
                <w:szCs w:val="14"/>
              </w:rPr>
            </w:pPr>
            <w:r w:rsidRPr="00D26C28">
              <w:rPr>
                <w:color w:val="000000" w:themeColor="text1"/>
                <w:sz w:val="14"/>
                <w:szCs w:val="14"/>
              </w:rPr>
              <w:t>5.56%</w:t>
            </w:r>
          </w:p>
        </w:tc>
        <w:tc>
          <w:tcPr>
            <w:tcW w:w="440" w:type="pct"/>
            <w:tcBorders>
              <w:top w:val="nil"/>
              <w:left w:val="nil"/>
              <w:bottom w:val="nil"/>
              <w:right w:val="nil"/>
            </w:tcBorders>
            <w:shd w:val="clear" w:color="auto" w:fill="auto"/>
            <w:noWrap/>
            <w:vAlign w:val="bottom"/>
            <w:hideMark/>
          </w:tcPr>
          <w:p w14:paraId="54ED4418" w14:textId="77777777" w:rsidR="0035380D" w:rsidRPr="00D26C28" w:rsidRDefault="0035380D" w:rsidP="00B6548B">
            <w:pPr>
              <w:jc w:val="center"/>
              <w:rPr>
                <w:color w:val="000000" w:themeColor="text1"/>
                <w:sz w:val="14"/>
                <w:szCs w:val="14"/>
              </w:rPr>
            </w:pPr>
            <w:r w:rsidRPr="00D26C28">
              <w:rPr>
                <w:color w:val="000000" w:themeColor="text1"/>
                <w:sz w:val="14"/>
                <w:szCs w:val="14"/>
              </w:rPr>
              <w:t>6.23%</w:t>
            </w:r>
          </w:p>
        </w:tc>
        <w:tc>
          <w:tcPr>
            <w:tcW w:w="320" w:type="pct"/>
            <w:tcBorders>
              <w:top w:val="nil"/>
              <w:left w:val="nil"/>
              <w:bottom w:val="nil"/>
              <w:right w:val="nil"/>
            </w:tcBorders>
            <w:shd w:val="clear" w:color="auto" w:fill="auto"/>
            <w:noWrap/>
            <w:vAlign w:val="bottom"/>
            <w:hideMark/>
          </w:tcPr>
          <w:p w14:paraId="2D5A2536" w14:textId="77777777" w:rsidR="0035380D" w:rsidRPr="00D26C28" w:rsidRDefault="0035380D" w:rsidP="00B6548B">
            <w:pPr>
              <w:jc w:val="center"/>
              <w:rPr>
                <w:color w:val="000000" w:themeColor="text1"/>
                <w:sz w:val="14"/>
                <w:szCs w:val="14"/>
              </w:rPr>
            </w:pPr>
            <w:r w:rsidRPr="00D26C28">
              <w:rPr>
                <w:color w:val="000000" w:themeColor="text1"/>
                <w:sz w:val="14"/>
                <w:szCs w:val="14"/>
              </w:rPr>
              <w:t>6.14%</w:t>
            </w:r>
          </w:p>
        </w:tc>
        <w:tc>
          <w:tcPr>
            <w:tcW w:w="346" w:type="pct"/>
            <w:tcBorders>
              <w:top w:val="nil"/>
              <w:left w:val="nil"/>
              <w:bottom w:val="nil"/>
              <w:right w:val="nil"/>
            </w:tcBorders>
            <w:shd w:val="clear" w:color="auto" w:fill="auto"/>
            <w:noWrap/>
            <w:vAlign w:val="bottom"/>
            <w:hideMark/>
          </w:tcPr>
          <w:p w14:paraId="76524FF2" w14:textId="77777777" w:rsidR="0035380D" w:rsidRPr="00D26C28" w:rsidRDefault="0035380D" w:rsidP="00B6548B">
            <w:pPr>
              <w:jc w:val="center"/>
              <w:rPr>
                <w:color w:val="000000" w:themeColor="text1"/>
                <w:sz w:val="14"/>
                <w:szCs w:val="14"/>
              </w:rPr>
            </w:pPr>
            <w:r w:rsidRPr="00D26C28">
              <w:rPr>
                <w:color w:val="000000" w:themeColor="text1"/>
                <w:sz w:val="14"/>
                <w:szCs w:val="14"/>
              </w:rPr>
              <w:t>6.28%</w:t>
            </w:r>
          </w:p>
        </w:tc>
        <w:tc>
          <w:tcPr>
            <w:tcW w:w="123" w:type="pct"/>
            <w:tcBorders>
              <w:top w:val="nil"/>
              <w:left w:val="nil"/>
              <w:bottom w:val="nil"/>
              <w:right w:val="nil"/>
            </w:tcBorders>
          </w:tcPr>
          <w:p w14:paraId="4ED1F41E"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678F10D1" w14:textId="77777777" w:rsidR="0035380D" w:rsidRPr="00D26C28" w:rsidRDefault="0035380D" w:rsidP="00B6548B">
            <w:pPr>
              <w:jc w:val="center"/>
              <w:rPr>
                <w:color w:val="000000" w:themeColor="text1"/>
                <w:sz w:val="14"/>
                <w:szCs w:val="14"/>
              </w:rPr>
            </w:pPr>
            <w:r w:rsidRPr="00D26C28">
              <w:rPr>
                <w:color w:val="000000" w:themeColor="text1"/>
                <w:sz w:val="14"/>
                <w:szCs w:val="14"/>
              </w:rPr>
              <w:t>3.45%</w:t>
            </w:r>
          </w:p>
        </w:tc>
        <w:tc>
          <w:tcPr>
            <w:tcW w:w="320" w:type="pct"/>
            <w:tcBorders>
              <w:top w:val="nil"/>
              <w:left w:val="nil"/>
              <w:bottom w:val="nil"/>
              <w:right w:val="nil"/>
            </w:tcBorders>
            <w:shd w:val="clear" w:color="auto" w:fill="auto"/>
            <w:noWrap/>
            <w:vAlign w:val="bottom"/>
            <w:hideMark/>
          </w:tcPr>
          <w:p w14:paraId="76850DAB" w14:textId="77777777" w:rsidR="0035380D" w:rsidRPr="00D26C28" w:rsidRDefault="0035380D" w:rsidP="00B6548B">
            <w:pPr>
              <w:jc w:val="center"/>
              <w:rPr>
                <w:color w:val="000000" w:themeColor="text1"/>
                <w:sz w:val="14"/>
                <w:szCs w:val="14"/>
              </w:rPr>
            </w:pPr>
            <w:r w:rsidRPr="00D26C28">
              <w:rPr>
                <w:color w:val="000000" w:themeColor="text1"/>
                <w:sz w:val="14"/>
                <w:szCs w:val="14"/>
              </w:rPr>
              <w:t>3.77%</w:t>
            </w:r>
          </w:p>
        </w:tc>
        <w:tc>
          <w:tcPr>
            <w:tcW w:w="320" w:type="pct"/>
            <w:tcBorders>
              <w:top w:val="nil"/>
              <w:left w:val="nil"/>
              <w:bottom w:val="nil"/>
            </w:tcBorders>
            <w:shd w:val="clear" w:color="auto" w:fill="auto"/>
            <w:noWrap/>
            <w:vAlign w:val="bottom"/>
            <w:hideMark/>
          </w:tcPr>
          <w:p w14:paraId="696A60F7" w14:textId="77777777" w:rsidR="0035380D" w:rsidRPr="00D26C28" w:rsidRDefault="0035380D" w:rsidP="00B6548B">
            <w:pPr>
              <w:jc w:val="center"/>
              <w:rPr>
                <w:color w:val="000000" w:themeColor="text1"/>
                <w:sz w:val="14"/>
                <w:szCs w:val="14"/>
              </w:rPr>
            </w:pPr>
            <w:r w:rsidRPr="00D26C28">
              <w:rPr>
                <w:color w:val="000000" w:themeColor="text1"/>
                <w:sz w:val="14"/>
                <w:szCs w:val="14"/>
              </w:rPr>
              <w:t>5.79%</w:t>
            </w:r>
          </w:p>
        </w:tc>
        <w:tc>
          <w:tcPr>
            <w:tcW w:w="346" w:type="pct"/>
            <w:tcBorders>
              <w:top w:val="nil"/>
              <w:left w:val="nil"/>
              <w:bottom w:val="nil"/>
              <w:right w:val="nil"/>
            </w:tcBorders>
            <w:vAlign w:val="bottom"/>
          </w:tcPr>
          <w:p w14:paraId="3116C9B6" w14:textId="77777777" w:rsidR="0035380D" w:rsidRPr="00D26C28" w:rsidRDefault="0035380D" w:rsidP="00B6548B">
            <w:pPr>
              <w:jc w:val="center"/>
              <w:rPr>
                <w:color w:val="000000" w:themeColor="text1"/>
                <w:sz w:val="14"/>
                <w:szCs w:val="14"/>
              </w:rPr>
            </w:pPr>
            <w:r w:rsidRPr="00D26C28">
              <w:rPr>
                <w:color w:val="000000" w:themeColor="text1"/>
                <w:sz w:val="14"/>
                <w:szCs w:val="14"/>
              </w:rPr>
              <w:t>6.10%</w:t>
            </w:r>
          </w:p>
        </w:tc>
      </w:tr>
      <w:tr w:rsidR="0035380D" w:rsidRPr="00D26C28" w14:paraId="75C864BE" w14:textId="77777777" w:rsidTr="006132B7">
        <w:trPr>
          <w:cantSplit/>
          <w:trHeight w:hRule="exact" w:val="255"/>
        </w:trPr>
        <w:tc>
          <w:tcPr>
            <w:tcW w:w="275" w:type="pct"/>
            <w:tcBorders>
              <w:top w:val="nil"/>
              <w:bottom w:val="nil"/>
              <w:right w:val="nil"/>
            </w:tcBorders>
            <w:shd w:val="clear" w:color="auto" w:fill="auto"/>
            <w:noWrap/>
            <w:vAlign w:val="bottom"/>
            <w:hideMark/>
          </w:tcPr>
          <w:p w14:paraId="3D2130CB"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3D59C04D" w14:textId="77777777" w:rsidR="0035380D" w:rsidRPr="00D26C28" w:rsidRDefault="0035380D" w:rsidP="00B6548B">
            <w:pPr>
              <w:rPr>
                <w:color w:val="000000" w:themeColor="text1"/>
                <w:sz w:val="14"/>
                <w:szCs w:val="14"/>
              </w:rPr>
            </w:pPr>
            <w:r w:rsidRPr="00D26C28">
              <w:rPr>
                <w:color w:val="000000" w:themeColor="text1"/>
                <w:sz w:val="14"/>
                <w:szCs w:val="14"/>
              </w:rPr>
              <w:t>Sharpe</w:t>
            </w:r>
          </w:p>
        </w:tc>
        <w:tc>
          <w:tcPr>
            <w:tcW w:w="320" w:type="pct"/>
            <w:tcBorders>
              <w:top w:val="nil"/>
              <w:left w:val="nil"/>
              <w:bottom w:val="nil"/>
              <w:right w:val="nil"/>
            </w:tcBorders>
            <w:shd w:val="clear" w:color="auto" w:fill="auto"/>
            <w:noWrap/>
            <w:vAlign w:val="bottom"/>
            <w:hideMark/>
          </w:tcPr>
          <w:p w14:paraId="37331AAC" w14:textId="77777777" w:rsidR="0035380D" w:rsidRPr="00D26C28" w:rsidRDefault="0035380D" w:rsidP="00B6548B">
            <w:pPr>
              <w:jc w:val="center"/>
              <w:rPr>
                <w:color w:val="000000" w:themeColor="text1"/>
                <w:sz w:val="14"/>
                <w:szCs w:val="14"/>
              </w:rPr>
            </w:pPr>
            <w:r w:rsidRPr="00D26C28">
              <w:rPr>
                <w:color w:val="000000" w:themeColor="text1"/>
                <w:sz w:val="14"/>
                <w:szCs w:val="14"/>
              </w:rPr>
              <w:t>1.19</w:t>
            </w:r>
          </w:p>
        </w:tc>
        <w:tc>
          <w:tcPr>
            <w:tcW w:w="320" w:type="pct"/>
            <w:tcBorders>
              <w:top w:val="nil"/>
              <w:left w:val="nil"/>
              <w:bottom w:val="nil"/>
              <w:right w:val="nil"/>
            </w:tcBorders>
            <w:shd w:val="clear" w:color="auto" w:fill="auto"/>
            <w:noWrap/>
            <w:vAlign w:val="bottom"/>
            <w:hideMark/>
          </w:tcPr>
          <w:p w14:paraId="3E930403" w14:textId="77777777" w:rsidR="0035380D" w:rsidRPr="00D26C28" w:rsidRDefault="0035380D" w:rsidP="00B6548B">
            <w:pPr>
              <w:jc w:val="center"/>
              <w:rPr>
                <w:color w:val="000000" w:themeColor="text1"/>
                <w:sz w:val="14"/>
                <w:szCs w:val="14"/>
              </w:rPr>
            </w:pPr>
            <w:r w:rsidRPr="00D26C28">
              <w:rPr>
                <w:color w:val="000000" w:themeColor="text1"/>
                <w:sz w:val="14"/>
                <w:szCs w:val="14"/>
              </w:rPr>
              <w:t>1.01</w:t>
            </w:r>
          </w:p>
        </w:tc>
        <w:tc>
          <w:tcPr>
            <w:tcW w:w="320" w:type="pct"/>
            <w:tcBorders>
              <w:top w:val="nil"/>
              <w:left w:val="nil"/>
              <w:bottom w:val="nil"/>
              <w:right w:val="nil"/>
            </w:tcBorders>
            <w:shd w:val="clear" w:color="auto" w:fill="auto"/>
            <w:noWrap/>
            <w:vAlign w:val="bottom"/>
            <w:hideMark/>
          </w:tcPr>
          <w:p w14:paraId="290DC487" w14:textId="77777777" w:rsidR="0035380D" w:rsidRPr="00D26C28" w:rsidRDefault="0035380D" w:rsidP="00B6548B">
            <w:pPr>
              <w:jc w:val="center"/>
              <w:rPr>
                <w:color w:val="000000" w:themeColor="text1"/>
                <w:sz w:val="14"/>
                <w:szCs w:val="14"/>
              </w:rPr>
            </w:pPr>
            <w:r w:rsidRPr="00D26C28">
              <w:rPr>
                <w:color w:val="000000" w:themeColor="text1"/>
                <w:sz w:val="14"/>
                <w:szCs w:val="14"/>
              </w:rPr>
              <w:t>1.37</w:t>
            </w:r>
          </w:p>
        </w:tc>
        <w:tc>
          <w:tcPr>
            <w:tcW w:w="293" w:type="pct"/>
            <w:tcBorders>
              <w:top w:val="nil"/>
              <w:left w:val="nil"/>
              <w:bottom w:val="nil"/>
              <w:right w:val="nil"/>
            </w:tcBorders>
            <w:shd w:val="clear" w:color="auto" w:fill="auto"/>
            <w:noWrap/>
            <w:vAlign w:val="bottom"/>
            <w:hideMark/>
          </w:tcPr>
          <w:p w14:paraId="103935EE" w14:textId="77777777" w:rsidR="0035380D" w:rsidRPr="00D26C28" w:rsidRDefault="0035380D" w:rsidP="00B6548B">
            <w:pPr>
              <w:jc w:val="center"/>
              <w:rPr>
                <w:color w:val="000000" w:themeColor="text1"/>
                <w:sz w:val="14"/>
                <w:szCs w:val="14"/>
              </w:rPr>
            </w:pPr>
            <w:r w:rsidRPr="00D26C28">
              <w:rPr>
                <w:color w:val="000000" w:themeColor="text1"/>
                <w:sz w:val="14"/>
                <w:szCs w:val="14"/>
              </w:rPr>
              <w:t>1.40</w:t>
            </w:r>
          </w:p>
        </w:tc>
        <w:tc>
          <w:tcPr>
            <w:tcW w:w="184" w:type="pct"/>
            <w:tcBorders>
              <w:top w:val="nil"/>
              <w:left w:val="nil"/>
              <w:bottom w:val="nil"/>
              <w:right w:val="nil"/>
            </w:tcBorders>
          </w:tcPr>
          <w:p w14:paraId="7DD6987D"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2CA4F9FC" w14:textId="77777777" w:rsidR="0035380D" w:rsidRPr="00D26C28" w:rsidRDefault="0035380D" w:rsidP="00B6548B">
            <w:pPr>
              <w:jc w:val="center"/>
              <w:rPr>
                <w:color w:val="000000" w:themeColor="text1"/>
                <w:sz w:val="14"/>
                <w:szCs w:val="14"/>
              </w:rPr>
            </w:pPr>
            <w:r w:rsidRPr="00D26C28">
              <w:rPr>
                <w:color w:val="000000" w:themeColor="text1"/>
                <w:sz w:val="14"/>
                <w:szCs w:val="14"/>
              </w:rPr>
              <w:t>0.50</w:t>
            </w:r>
          </w:p>
        </w:tc>
        <w:tc>
          <w:tcPr>
            <w:tcW w:w="440" w:type="pct"/>
            <w:tcBorders>
              <w:top w:val="nil"/>
              <w:left w:val="nil"/>
              <w:bottom w:val="nil"/>
              <w:right w:val="nil"/>
            </w:tcBorders>
            <w:shd w:val="clear" w:color="auto" w:fill="auto"/>
            <w:noWrap/>
            <w:vAlign w:val="bottom"/>
            <w:hideMark/>
          </w:tcPr>
          <w:p w14:paraId="5016F4B7" w14:textId="77777777" w:rsidR="0035380D" w:rsidRPr="00D26C28" w:rsidRDefault="0035380D" w:rsidP="00B6548B">
            <w:pPr>
              <w:jc w:val="center"/>
              <w:rPr>
                <w:color w:val="000000" w:themeColor="text1"/>
                <w:sz w:val="14"/>
                <w:szCs w:val="14"/>
              </w:rPr>
            </w:pPr>
            <w:r w:rsidRPr="00D26C28">
              <w:rPr>
                <w:color w:val="000000" w:themeColor="text1"/>
                <w:sz w:val="14"/>
                <w:szCs w:val="14"/>
              </w:rPr>
              <w:t>0.69</w:t>
            </w:r>
          </w:p>
        </w:tc>
        <w:tc>
          <w:tcPr>
            <w:tcW w:w="320" w:type="pct"/>
            <w:tcBorders>
              <w:top w:val="nil"/>
              <w:left w:val="nil"/>
              <w:bottom w:val="nil"/>
              <w:right w:val="nil"/>
            </w:tcBorders>
            <w:shd w:val="clear" w:color="auto" w:fill="auto"/>
            <w:noWrap/>
            <w:vAlign w:val="bottom"/>
            <w:hideMark/>
          </w:tcPr>
          <w:p w14:paraId="1BB6E4DA" w14:textId="77777777" w:rsidR="0035380D" w:rsidRPr="00D26C28" w:rsidRDefault="0035380D" w:rsidP="00B6548B">
            <w:pPr>
              <w:jc w:val="center"/>
              <w:rPr>
                <w:color w:val="000000" w:themeColor="text1"/>
                <w:sz w:val="14"/>
                <w:szCs w:val="14"/>
              </w:rPr>
            </w:pPr>
            <w:r w:rsidRPr="00D26C28">
              <w:rPr>
                <w:color w:val="000000" w:themeColor="text1"/>
                <w:sz w:val="14"/>
                <w:szCs w:val="14"/>
              </w:rPr>
              <w:t>0.96</w:t>
            </w:r>
          </w:p>
        </w:tc>
        <w:tc>
          <w:tcPr>
            <w:tcW w:w="346" w:type="pct"/>
            <w:tcBorders>
              <w:top w:val="nil"/>
              <w:left w:val="nil"/>
              <w:bottom w:val="nil"/>
              <w:right w:val="nil"/>
            </w:tcBorders>
            <w:shd w:val="clear" w:color="auto" w:fill="auto"/>
            <w:noWrap/>
            <w:vAlign w:val="bottom"/>
            <w:hideMark/>
          </w:tcPr>
          <w:p w14:paraId="527646E7" w14:textId="77777777" w:rsidR="0035380D" w:rsidRPr="00D26C28" w:rsidRDefault="0035380D" w:rsidP="00B6548B">
            <w:pPr>
              <w:jc w:val="center"/>
              <w:rPr>
                <w:color w:val="000000" w:themeColor="text1"/>
                <w:sz w:val="14"/>
                <w:szCs w:val="14"/>
              </w:rPr>
            </w:pPr>
            <w:r w:rsidRPr="00D26C28">
              <w:rPr>
                <w:color w:val="000000" w:themeColor="text1"/>
                <w:sz w:val="14"/>
                <w:szCs w:val="14"/>
              </w:rPr>
              <w:t>0.80</w:t>
            </w:r>
          </w:p>
        </w:tc>
        <w:tc>
          <w:tcPr>
            <w:tcW w:w="123" w:type="pct"/>
            <w:tcBorders>
              <w:top w:val="nil"/>
              <w:left w:val="nil"/>
              <w:bottom w:val="nil"/>
              <w:right w:val="nil"/>
            </w:tcBorders>
          </w:tcPr>
          <w:p w14:paraId="1E8ADF3E"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50A30066" w14:textId="77777777" w:rsidR="0035380D" w:rsidRPr="00D26C28" w:rsidRDefault="0035380D" w:rsidP="00B6548B">
            <w:pPr>
              <w:jc w:val="center"/>
              <w:rPr>
                <w:color w:val="000000" w:themeColor="text1"/>
                <w:sz w:val="14"/>
                <w:szCs w:val="14"/>
              </w:rPr>
            </w:pPr>
            <w:r w:rsidRPr="00D26C28">
              <w:rPr>
                <w:color w:val="000000" w:themeColor="text1"/>
                <w:sz w:val="14"/>
                <w:szCs w:val="14"/>
              </w:rPr>
              <w:t>1.44</w:t>
            </w:r>
          </w:p>
        </w:tc>
        <w:tc>
          <w:tcPr>
            <w:tcW w:w="320" w:type="pct"/>
            <w:tcBorders>
              <w:top w:val="nil"/>
              <w:left w:val="nil"/>
              <w:bottom w:val="nil"/>
              <w:right w:val="nil"/>
            </w:tcBorders>
            <w:shd w:val="clear" w:color="auto" w:fill="auto"/>
            <w:noWrap/>
            <w:vAlign w:val="bottom"/>
            <w:hideMark/>
          </w:tcPr>
          <w:p w14:paraId="18532FB6" w14:textId="77777777" w:rsidR="0035380D" w:rsidRPr="00D26C28" w:rsidRDefault="0035380D" w:rsidP="00B6548B">
            <w:pPr>
              <w:jc w:val="center"/>
              <w:rPr>
                <w:color w:val="000000" w:themeColor="text1"/>
                <w:sz w:val="14"/>
                <w:szCs w:val="14"/>
              </w:rPr>
            </w:pPr>
            <w:r w:rsidRPr="00D26C28">
              <w:rPr>
                <w:color w:val="000000" w:themeColor="text1"/>
                <w:sz w:val="14"/>
                <w:szCs w:val="14"/>
              </w:rPr>
              <w:t>1.59</w:t>
            </w:r>
          </w:p>
        </w:tc>
        <w:tc>
          <w:tcPr>
            <w:tcW w:w="320" w:type="pct"/>
            <w:tcBorders>
              <w:top w:val="nil"/>
              <w:left w:val="nil"/>
              <w:bottom w:val="nil"/>
            </w:tcBorders>
            <w:shd w:val="clear" w:color="auto" w:fill="auto"/>
            <w:noWrap/>
            <w:vAlign w:val="bottom"/>
            <w:hideMark/>
          </w:tcPr>
          <w:p w14:paraId="4A5A06C0" w14:textId="77777777" w:rsidR="0035380D" w:rsidRPr="00D26C28" w:rsidRDefault="0035380D" w:rsidP="00B6548B">
            <w:pPr>
              <w:jc w:val="center"/>
              <w:rPr>
                <w:color w:val="000000" w:themeColor="text1"/>
                <w:sz w:val="14"/>
                <w:szCs w:val="14"/>
              </w:rPr>
            </w:pPr>
            <w:r w:rsidRPr="00D26C28">
              <w:rPr>
                <w:color w:val="000000" w:themeColor="text1"/>
                <w:sz w:val="14"/>
                <w:szCs w:val="14"/>
              </w:rPr>
              <w:t>0.96</w:t>
            </w:r>
          </w:p>
        </w:tc>
        <w:tc>
          <w:tcPr>
            <w:tcW w:w="346" w:type="pct"/>
            <w:tcBorders>
              <w:top w:val="nil"/>
              <w:left w:val="nil"/>
              <w:bottom w:val="nil"/>
              <w:right w:val="nil"/>
            </w:tcBorders>
            <w:vAlign w:val="bottom"/>
          </w:tcPr>
          <w:p w14:paraId="7AC1BEFA" w14:textId="77777777" w:rsidR="0035380D" w:rsidRPr="00D26C28" w:rsidRDefault="0035380D" w:rsidP="00B6548B">
            <w:pPr>
              <w:jc w:val="center"/>
              <w:rPr>
                <w:color w:val="000000" w:themeColor="text1"/>
                <w:sz w:val="14"/>
                <w:szCs w:val="14"/>
              </w:rPr>
            </w:pPr>
            <w:r w:rsidRPr="00D26C28">
              <w:rPr>
                <w:color w:val="000000" w:themeColor="text1"/>
                <w:sz w:val="14"/>
                <w:szCs w:val="14"/>
              </w:rPr>
              <w:t>1.08</w:t>
            </w:r>
          </w:p>
        </w:tc>
      </w:tr>
      <w:tr w:rsidR="0035380D" w:rsidRPr="00D26C28" w14:paraId="0F2DFB2D" w14:textId="77777777" w:rsidTr="006132B7">
        <w:trPr>
          <w:cantSplit/>
          <w:trHeight w:hRule="exact" w:val="255"/>
        </w:trPr>
        <w:tc>
          <w:tcPr>
            <w:tcW w:w="275" w:type="pct"/>
            <w:tcBorders>
              <w:top w:val="nil"/>
              <w:bottom w:val="nil"/>
              <w:right w:val="nil"/>
            </w:tcBorders>
            <w:shd w:val="clear" w:color="auto" w:fill="auto"/>
            <w:noWrap/>
            <w:vAlign w:val="bottom"/>
            <w:hideMark/>
          </w:tcPr>
          <w:p w14:paraId="23CDCAD5" w14:textId="77777777" w:rsidR="0035380D" w:rsidRPr="00D26C28" w:rsidRDefault="0035380D" w:rsidP="00B6548B">
            <w:pPr>
              <w:rPr>
                <w:color w:val="000000" w:themeColor="text1"/>
                <w:sz w:val="14"/>
                <w:szCs w:val="14"/>
              </w:rPr>
            </w:pPr>
            <w:r w:rsidRPr="00D26C28">
              <w:rPr>
                <w:color w:val="000000" w:themeColor="text1"/>
                <w:sz w:val="14"/>
                <w:szCs w:val="14"/>
              </w:rPr>
              <w:t>2008</w:t>
            </w:r>
          </w:p>
        </w:tc>
        <w:tc>
          <w:tcPr>
            <w:tcW w:w="434" w:type="pct"/>
            <w:tcBorders>
              <w:top w:val="nil"/>
              <w:left w:val="nil"/>
              <w:bottom w:val="nil"/>
              <w:right w:val="nil"/>
            </w:tcBorders>
            <w:shd w:val="clear" w:color="auto" w:fill="auto"/>
            <w:noWrap/>
            <w:vAlign w:val="bottom"/>
            <w:hideMark/>
          </w:tcPr>
          <w:p w14:paraId="28EAFFF5" w14:textId="77777777" w:rsidR="0035380D" w:rsidRPr="00D26C28" w:rsidRDefault="0035380D" w:rsidP="00B6548B">
            <w:pPr>
              <w:rPr>
                <w:color w:val="000000" w:themeColor="text1"/>
                <w:sz w:val="14"/>
                <w:szCs w:val="14"/>
              </w:rPr>
            </w:pPr>
            <w:r w:rsidRPr="00D26C28">
              <w:rPr>
                <w:color w:val="000000" w:themeColor="text1"/>
                <w:sz w:val="14"/>
                <w:szCs w:val="14"/>
              </w:rPr>
              <w:t>Returns</w:t>
            </w:r>
          </w:p>
        </w:tc>
        <w:tc>
          <w:tcPr>
            <w:tcW w:w="320" w:type="pct"/>
            <w:tcBorders>
              <w:top w:val="nil"/>
              <w:left w:val="nil"/>
              <w:bottom w:val="nil"/>
              <w:right w:val="nil"/>
            </w:tcBorders>
            <w:shd w:val="clear" w:color="auto" w:fill="auto"/>
            <w:noWrap/>
            <w:vAlign w:val="bottom"/>
            <w:hideMark/>
          </w:tcPr>
          <w:p w14:paraId="5A6A24C8" w14:textId="77777777" w:rsidR="0035380D" w:rsidRPr="00D26C28" w:rsidRDefault="0035380D" w:rsidP="00B6548B">
            <w:pPr>
              <w:jc w:val="center"/>
              <w:rPr>
                <w:color w:val="000000" w:themeColor="text1"/>
                <w:sz w:val="14"/>
                <w:szCs w:val="14"/>
              </w:rPr>
            </w:pPr>
            <w:r w:rsidRPr="00D26C28">
              <w:rPr>
                <w:color w:val="000000" w:themeColor="text1"/>
                <w:sz w:val="14"/>
                <w:szCs w:val="14"/>
              </w:rPr>
              <w:t>1.41%</w:t>
            </w:r>
          </w:p>
        </w:tc>
        <w:tc>
          <w:tcPr>
            <w:tcW w:w="320" w:type="pct"/>
            <w:tcBorders>
              <w:top w:val="nil"/>
              <w:left w:val="nil"/>
              <w:bottom w:val="nil"/>
              <w:right w:val="nil"/>
            </w:tcBorders>
            <w:shd w:val="clear" w:color="auto" w:fill="auto"/>
            <w:noWrap/>
            <w:vAlign w:val="bottom"/>
            <w:hideMark/>
          </w:tcPr>
          <w:p w14:paraId="3511F123" w14:textId="77777777" w:rsidR="0035380D" w:rsidRPr="00D26C28" w:rsidRDefault="0035380D" w:rsidP="00B6548B">
            <w:pPr>
              <w:jc w:val="center"/>
              <w:rPr>
                <w:color w:val="000000" w:themeColor="text1"/>
                <w:sz w:val="14"/>
                <w:szCs w:val="14"/>
              </w:rPr>
            </w:pPr>
            <w:r w:rsidRPr="00D26C28">
              <w:rPr>
                <w:color w:val="000000" w:themeColor="text1"/>
                <w:sz w:val="14"/>
                <w:szCs w:val="14"/>
              </w:rPr>
              <w:t>1.45%</w:t>
            </w:r>
          </w:p>
        </w:tc>
        <w:tc>
          <w:tcPr>
            <w:tcW w:w="320" w:type="pct"/>
            <w:tcBorders>
              <w:top w:val="nil"/>
              <w:left w:val="nil"/>
              <w:bottom w:val="nil"/>
              <w:right w:val="nil"/>
            </w:tcBorders>
            <w:shd w:val="clear" w:color="auto" w:fill="auto"/>
            <w:noWrap/>
            <w:vAlign w:val="bottom"/>
            <w:hideMark/>
          </w:tcPr>
          <w:p w14:paraId="0C5C9573" w14:textId="77777777" w:rsidR="0035380D" w:rsidRPr="00D26C28" w:rsidRDefault="0035380D" w:rsidP="00B6548B">
            <w:pPr>
              <w:jc w:val="center"/>
              <w:rPr>
                <w:color w:val="000000" w:themeColor="text1"/>
                <w:sz w:val="14"/>
                <w:szCs w:val="14"/>
              </w:rPr>
            </w:pPr>
            <w:r w:rsidRPr="00D26C28">
              <w:rPr>
                <w:color w:val="000000" w:themeColor="text1"/>
                <w:sz w:val="14"/>
                <w:szCs w:val="14"/>
              </w:rPr>
              <w:t>2.03%</w:t>
            </w:r>
          </w:p>
        </w:tc>
        <w:tc>
          <w:tcPr>
            <w:tcW w:w="293" w:type="pct"/>
            <w:tcBorders>
              <w:top w:val="nil"/>
              <w:left w:val="nil"/>
              <w:bottom w:val="nil"/>
              <w:right w:val="nil"/>
            </w:tcBorders>
            <w:shd w:val="clear" w:color="auto" w:fill="auto"/>
            <w:noWrap/>
            <w:vAlign w:val="bottom"/>
            <w:hideMark/>
          </w:tcPr>
          <w:p w14:paraId="56DE0610" w14:textId="77777777" w:rsidR="0035380D" w:rsidRPr="00D26C28" w:rsidRDefault="0035380D" w:rsidP="00B6548B">
            <w:pPr>
              <w:jc w:val="center"/>
              <w:rPr>
                <w:color w:val="000000" w:themeColor="text1"/>
                <w:sz w:val="14"/>
                <w:szCs w:val="14"/>
              </w:rPr>
            </w:pPr>
            <w:r w:rsidRPr="00D26C28">
              <w:rPr>
                <w:color w:val="000000" w:themeColor="text1"/>
                <w:sz w:val="14"/>
                <w:szCs w:val="14"/>
              </w:rPr>
              <w:t>2.19%</w:t>
            </w:r>
          </w:p>
        </w:tc>
        <w:tc>
          <w:tcPr>
            <w:tcW w:w="184" w:type="pct"/>
            <w:tcBorders>
              <w:top w:val="nil"/>
              <w:left w:val="nil"/>
              <w:bottom w:val="nil"/>
              <w:right w:val="nil"/>
            </w:tcBorders>
          </w:tcPr>
          <w:p w14:paraId="1E9B70E0"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4C460BC7" w14:textId="77777777" w:rsidR="0035380D" w:rsidRPr="00D26C28" w:rsidRDefault="0035380D" w:rsidP="00B6548B">
            <w:pPr>
              <w:jc w:val="center"/>
              <w:rPr>
                <w:color w:val="000000" w:themeColor="text1"/>
                <w:sz w:val="14"/>
                <w:szCs w:val="14"/>
              </w:rPr>
            </w:pPr>
            <w:r w:rsidRPr="00D26C28">
              <w:rPr>
                <w:color w:val="000000" w:themeColor="text1"/>
                <w:sz w:val="14"/>
                <w:szCs w:val="14"/>
              </w:rPr>
              <w:t>0.86%</w:t>
            </w:r>
          </w:p>
        </w:tc>
        <w:tc>
          <w:tcPr>
            <w:tcW w:w="440" w:type="pct"/>
            <w:tcBorders>
              <w:top w:val="nil"/>
              <w:left w:val="nil"/>
              <w:bottom w:val="nil"/>
              <w:right w:val="nil"/>
            </w:tcBorders>
            <w:shd w:val="clear" w:color="auto" w:fill="auto"/>
            <w:noWrap/>
            <w:vAlign w:val="bottom"/>
            <w:hideMark/>
          </w:tcPr>
          <w:p w14:paraId="363EB94B" w14:textId="77777777" w:rsidR="0035380D" w:rsidRPr="00D26C28" w:rsidRDefault="0035380D" w:rsidP="00B6548B">
            <w:pPr>
              <w:jc w:val="center"/>
              <w:rPr>
                <w:color w:val="000000" w:themeColor="text1"/>
                <w:sz w:val="14"/>
                <w:szCs w:val="14"/>
              </w:rPr>
            </w:pPr>
            <w:r w:rsidRPr="00D26C28">
              <w:rPr>
                <w:color w:val="000000" w:themeColor="text1"/>
                <w:sz w:val="14"/>
                <w:szCs w:val="14"/>
              </w:rPr>
              <w:t>1.18%</w:t>
            </w:r>
          </w:p>
        </w:tc>
        <w:tc>
          <w:tcPr>
            <w:tcW w:w="320" w:type="pct"/>
            <w:tcBorders>
              <w:top w:val="nil"/>
              <w:left w:val="nil"/>
              <w:bottom w:val="nil"/>
              <w:right w:val="nil"/>
            </w:tcBorders>
            <w:shd w:val="clear" w:color="auto" w:fill="auto"/>
            <w:noWrap/>
            <w:vAlign w:val="bottom"/>
            <w:hideMark/>
          </w:tcPr>
          <w:p w14:paraId="1F575095" w14:textId="77777777" w:rsidR="0035380D" w:rsidRPr="00D26C28" w:rsidRDefault="0035380D" w:rsidP="00B6548B">
            <w:pPr>
              <w:jc w:val="center"/>
              <w:rPr>
                <w:color w:val="000000" w:themeColor="text1"/>
                <w:sz w:val="14"/>
                <w:szCs w:val="14"/>
              </w:rPr>
            </w:pPr>
            <w:r w:rsidRPr="00D26C28">
              <w:rPr>
                <w:color w:val="000000" w:themeColor="text1"/>
                <w:sz w:val="14"/>
                <w:szCs w:val="14"/>
              </w:rPr>
              <w:t>1.64%</w:t>
            </w:r>
          </w:p>
        </w:tc>
        <w:tc>
          <w:tcPr>
            <w:tcW w:w="346" w:type="pct"/>
            <w:tcBorders>
              <w:top w:val="nil"/>
              <w:left w:val="nil"/>
              <w:bottom w:val="nil"/>
              <w:right w:val="nil"/>
            </w:tcBorders>
            <w:shd w:val="clear" w:color="auto" w:fill="auto"/>
            <w:noWrap/>
            <w:vAlign w:val="bottom"/>
            <w:hideMark/>
          </w:tcPr>
          <w:p w14:paraId="73BB31E7" w14:textId="77777777" w:rsidR="0035380D" w:rsidRPr="00D26C28" w:rsidRDefault="0035380D" w:rsidP="00B6548B">
            <w:pPr>
              <w:jc w:val="center"/>
              <w:rPr>
                <w:color w:val="000000" w:themeColor="text1"/>
                <w:sz w:val="14"/>
                <w:szCs w:val="14"/>
              </w:rPr>
            </w:pPr>
            <w:r w:rsidRPr="00D26C28">
              <w:rPr>
                <w:color w:val="000000" w:themeColor="text1"/>
                <w:sz w:val="14"/>
                <w:szCs w:val="14"/>
              </w:rPr>
              <w:t>1.43%</w:t>
            </w:r>
          </w:p>
        </w:tc>
        <w:tc>
          <w:tcPr>
            <w:tcW w:w="123" w:type="pct"/>
            <w:tcBorders>
              <w:top w:val="nil"/>
              <w:left w:val="nil"/>
              <w:bottom w:val="nil"/>
              <w:right w:val="nil"/>
            </w:tcBorders>
          </w:tcPr>
          <w:p w14:paraId="6F765996"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2A57B446" w14:textId="77777777" w:rsidR="0035380D" w:rsidRPr="00D26C28" w:rsidRDefault="0035380D" w:rsidP="00B6548B">
            <w:pPr>
              <w:jc w:val="center"/>
              <w:rPr>
                <w:color w:val="000000" w:themeColor="text1"/>
                <w:sz w:val="14"/>
                <w:szCs w:val="14"/>
              </w:rPr>
            </w:pPr>
            <w:r w:rsidRPr="00D26C28">
              <w:rPr>
                <w:color w:val="000000" w:themeColor="text1"/>
                <w:sz w:val="14"/>
                <w:szCs w:val="14"/>
              </w:rPr>
              <w:t>1.36%</w:t>
            </w:r>
          </w:p>
        </w:tc>
        <w:tc>
          <w:tcPr>
            <w:tcW w:w="320" w:type="pct"/>
            <w:tcBorders>
              <w:top w:val="nil"/>
              <w:left w:val="nil"/>
              <w:bottom w:val="nil"/>
              <w:right w:val="nil"/>
            </w:tcBorders>
            <w:shd w:val="clear" w:color="auto" w:fill="auto"/>
            <w:noWrap/>
            <w:vAlign w:val="bottom"/>
            <w:hideMark/>
          </w:tcPr>
          <w:p w14:paraId="01ABA0C0" w14:textId="77777777" w:rsidR="0035380D" w:rsidRPr="00D26C28" w:rsidRDefault="0035380D" w:rsidP="00B6548B">
            <w:pPr>
              <w:jc w:val="center"/>
              <w:rPr>
                <w:color w:val="000000" w:themeColor="text1"/>
                <w:sz w:val="14"/>
                <w:szCs w:val="14"/>
              </w:rPr>
            </w:pPr>
            <w:r w:rsidRPr="00D26C28">
              <w:rPr>
                <w:color w:val="000000" w:themeColor="text1"/>
                <w:sz w:val="14"/>
                <w:szCs w:val="14"/>
              </w:rPr>
              <w:t>1.57%</w:t>
            </w:r>
          </w:p>
        </w:tc>
        <w:tc>
          <w:tcPr>
            <w:tcW w:w="320" w:type="pct"/>
            <w:tcBorders>
              <w:top w:val="nil"/>
              <w:left w:val="nil"/>
              <w:bottom w:val="nil"/>
            </w:tcBorders>
            <w:shd w:val="clear" w:color="auto" w:fill="auto"/>
            <w:noWrap/>
            <w:vAlign w:val="bottom"/>
            <w:hideMark/>
          </w:tcPr>
          <w:p w14:paraId="30428585" w14:textId="77777777" w:rsidR="0035380D" w:rsidRPr="00D26C28" w:rsidRDefault="0035380D" w:rsidP="00B6548B">
            <w:pPr>
              <w:jc w:val="center"/>
              <w:rPr>
                <w:color w:val="000000" w:themeColor="text1"/>
                <w:sz w:val="14"/>
                <w:szCs w:val="14"/>
              </w:rPr>
            </w:pPr>
            <w:r w:rsidRPr="00D26C28">
              <w:rPr>
                <w:color w:val="000000" w:themeColor="text1"/>
                <w:sz w:val="14"/>
                <w:szCs w:val="14"/>
              </w:rPr>
              <w:t>1.60%</w:t>
            </w:r>
          </w:p>
        </w:tc>
        <w:tc>
          <w:tcPr>
            <w:tcW w:w="346" w:type="pct"/>
            <w:tcBorders>
              <w:top w:val="nil"/>
              <w:left w:val="nil"/>
              <w:bottom w:val="nil"/>
              <w:right w:val="nil"/>
            </w:tcBorders>
            <w:vAlign w:val="bottom"/>
          </w:tcPr>
          <w:p w14:paraId="030919C3" w14:textId="77777777" w:rsidR="0035380D" w:rsidRPr="00D26C28" w:rsidRDefault="0035380D" w:rsidP="00B6548B">
            <w:pPr>
              <w:jc w:val="center"/>
              <w:rPr>
                <w:color w:val="000000" w:themeColor="text1"/>
                <w:sz w:val="14"/>
                <w:szCs w:val="14"/>
              </w:rPr>
            </w:pPr>
            <w:r w:rsidRPr="00D26C28">
              <w:rPr>
                <w:color w:val="000000" w:themeColor="text1"/>
                <w:sz w:val="14"/>
                <w:szCs w:val="14"/>
              </w:rPr>
              <w:t>1.88%</w:t>
            </w:r>
          </w:p>
        </w:tc>
      </w:tr>
      <w:tr w:rsidR="0035380D" w:rsidRPr="00D26C28" w14:paraId="202E6FAF" w14:textId="77777777" w:rsidTr="006132B7">
        <w:trPr>
          <w:cantSplit/>
          <w:trHeight w:hRule="exact" w:val="255"/>
        </w:trPr>
        <w:tc>
          <w:tcPr>
            <w:tcW w:w="275" w:type="pct"/>
            <w:tcBorders>
              <w:top w:val="nil"/>
              <w:bottom w:val="nil"/>
              <w:right w:val="nil"/>
            </w:tcBorders>
            <w:shd w:val="clear" w:color="auto" w:fill="auto"/>
            <w:noWrap/>
            <w:vAlign w:val="bottom"/>
            <w:hideMark/>
          </w:tcPr>
          <w:p w14:paraId="72099CB4" w14:textId="77777777" w:rsidR="0035380D" w:rsidRPr="00D26C28" w:rsidRDefault="0035380D" w:rsidP="00B6548B">
            <w:pPr>
              <w:rPr>
                <w:color w:val="000000" w:themeColor="text1"/>
                <w:sz w:val="14"/>
                <w:szCs w:val="14"/>
              </w:rPr>
            </w:pPr>
          </w:p>
        </w:tc>
        <w:tc>
          <w:tcPr>
            <w:tcW w:w="434" w:type="pct"/>
            <w:tcBorders>
              <w:top w:val="nil"/>
              <w:left w:val="nil"/>
              <w:bottom w:val="nil"/>
              <w:right w:val="nil"/>
            </w:tcBorders>
            <w:shd w:val="clear" w:color="auto" w:fill="auto"/>
            <w:noWrap/>
            <w:vAlign w:val="bottom"/>
            <w:hideMark/>
          </w:tcPr>
          <w:p w14:paraId="75CD8E70" w14:textId="77777777" w:rsidR="0035380D" w:rsidRPr="00D26C28" w:rsidRDefault="0035380D" w:rsidP="00B6548B">
            <w:pPr>
              <w:rPr>
                <w:i/>
                <w:iCs/>
                <w:color w:val="000000" w:themeColor="text1"/>
                <w:sz w:val="14"/>
                <w:szCs w:val="14"/>
              </w:rPr>
            </w:pPr>
            <w:r w:rsidRPr="00D26C28">
              <w:rPr>
                <w:i/>
                <w:iCs/>
                <w:color w:val="000000" w:themeColor="text1"/>
                <w:sz w:val="14"/>
                <w:szCs w:val="14"/>
              </w:rPr>
              <w:t>t-</w:t>
            </w:r>
            <w:r w:rsidRPr="00D26C28">
              <w:rPr>
                <w:color w:val="000000" w:themeColor="text1"/>
                <w:sz w:val="14"/>
                <w:szCs w:val="14"/>
              </w:rPr>
              <w:t>statistics</w:t>
            </w:r>
          </w:p>
        </w:tc>
        <w:tc>
          <w:tcPr>
            <w:tcW w:w="320" w:type="pct"/>
            <w:tcBorders>
              <w:top w:val="nil"/>
              <w:left w:val="nil"/>
              <w:bottom w:val="nil"/>
              <w:right w:val="nil"/>
            </w:tcBorders>
            <w:shd w:val="clear" w:color="auto" w:fill="auto"/>
            <w:noWrap/>
            <w:vAlign w:val="bottom"/>
            <w:hideMark/>
          </w:tcPr>
          <w:p w14:paraId="69DE5200" w14:textId="77777777" w:rsidR="0035380D" w:rsidRPr="00D26C28" w:rsidRDefault="0035380D" w:rsidP="00B6548B">
            <w:pPr>
              <w:jc w:val="center"/>
              <w:rPr>
                <w:color w:val="000000" w:themeColor="text1"/>
                <w:sz w:val="14"/>
                <w:szCs w:val="14"/>
              </w:rPr>
            </w:pPr>
            <w:r w:rsidRPr="00D26C28">
              <w:rPr>
                <w:color w:val="000000" w:themeColor="text1"/>
                <w:sz w:val="14"/>
                <w:szCs w:val="14"/>
              </w:rPr>
              <w:t>3.12</w:t>
            </w:r>
          </w:p>
        </w:tc>
        <w:tc>
          <w:tcPr>
            <w:tcW w:w="320" w:type="pct"/>
            <w:tcBorders>
              <w:top w:val="nil"/>
              <w:left w:val="nil"/>
              <w:bottom w:val="nil"/>
              <w:right w:val="nil"/>
            </w:tcBorders>
            <w:shd w:val="clear" w:color="auto" w:fill="auto"/>
            <w:noWrap/>
            <w:vAlign w:val="bottom"/>
            <w:hideMark/>
          </w:tcPr>
          <w:p w14:paraId="10FCB8D2" w14:textId="77777777" w:rsidR="0035380D" w:rsidRPr="00D26C28" w:rsidRDefault="0035380D" w:rsidP="00B6548B">
            <w:pPr>
              <w:jc w:val="center"/>
              <w:rPr>
                <w:color w:val="000000" w:themeColor="text1"/>
                <w:sz w:val="14"/>
                <w:szCs w:val="14"/>
              </w:rPr>
            </w:pPr>
            <w:r w:rsidRPr="00D26C28">
              <w:rPr>
                <w:color w:val="000000" w:themeColor="text1"/>
                <w:sz w:val="14"/>
                <w:szCs w:val="14"/>
              </w:rPr>
              <w:t>2.53</w:t>
            </w:r>
          </w:p>
        </w:tc>
        <w:tc>
          <w:tcPr>
            <w:tcW w:w="320" w:type="pct"/>
            <w:tcBorders>
              <w:top w:val="nil"/>
              <w:left w:val="nil"/>
              <w:bottom w:val="nil"/>
              <w:right w:val="nil"/>
            </w:tcBorders>
            <w:shd w:val="clear" w:color="auto" w:fill="auto"/>
            <w:noWrap/>
            <w:vAlign w:val="bottom"/>
            <w:hideMark/>
          </w:tcPr>
          <w:p w14:paraId="4A4B1C91" w14:textId="77777777" w:rsidR="0035380D" w:rsidRPr="00D26C28" w:rsidRDefault="0035380D" w:rsidP="00B6548B">
            <w:pPr>
              <w:jc w:val="center"/>
              <w:rPr>
                <w:color w:val="000000" w:themeColor="text1"/>
                <w:sz w:val="14"/>
                <w:szCs w:val="14"/>
              </w:rPr>
            </w:pPr>
            <w:r w:rsidRPr="00D26C28">
              <w:rPr>
                <w:color w:val="000000" w:themeColor="text1"/>
                <w:sz w:val="14"/>
                <w:szCs w:val="14"/>
              </w:rPr>
              <w:t>3.70</w:t>
            </w:r>
          </w:p>
        </w:tc>
        <w:tc>
          <w:tcPr>
            <w:tcW w:w="293" w:type="pct"/>
            <w:tcBorders>
              <w:top w:val="nil"/>
              <w:left w:val="nil"/>
              <w:bottom w:val="nil"/>
              <w:right w:val="nil"/>
            </w:tcBorders>
            <w:shd w:val="clear" w:color="auto" w:fill="auto"/>
            <w:noWrap/>
            <w:vAlign w:val="bottom"/>
            <w:hideMark/>
          </w:tcPr>
          <w:p w14:paraId="3E93BD12" w14:textId="77777777" w:rsidR="0035380D" w:rsidRPr="00D26C28" w:rsidRDefault="0035380D" w:rsidP="00B6548B">
            <w:pPr>
              <w:jc w:val="center"/>
              <w:rPr>
                <w:color w:val="000000" w:themeColor="text1"/>
                <w:sz w:val="14"/>
                <w:szCs w:val="14"/>
              </w:rPr>
            </w:pPr>
            <w:r w:rsidRPr="00D26C28">
              <w:rPr>
                <w:color w:val="000000" w:themeColor="text1"/>
                <w:sz w:val="14"/>
                <w:szCs w:val="14"/>
              </w:rPr>
              <w:t>3.70</w:t>
            </w:r>
          </w:p>
        </w:tc>
        <w:tc>
          <w:tcPr>
            <w:tcW w:w="184" w:type="pct"/>
            <w:tcBorders>
              <w:top w:val="nil"/>
              <w:left w:val="nil"/>
              <w:bottom w:val="nil"/>
              <w:right w:val="nil"/>
            </w:tcBorders>
          </w:tcPr>
          <w:p w14:paraId="44C91F93"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72CD218B" w14:textId="77777777" w:rsidR="0035380D" w:rsidRPr="00D26C28" w:rsidRDefault="0035380D" w:rsidP="00B6548B">
            <w:pPr>
              <w:jc w:val="center"/>
              <w:rPr>
                <w:color w:val="000000" w:themeColor="text1"/>
                <w:sz w:val="14"/>
                <w:szCs w:val="14"/>
              </w:rPr>
            </w:pPr>
            <w:r w:rsidRPr="00D26C28">
              <w:rPr>
                <w:color w:val="000000" w:themeColor="text1"/>
                <w:sz w:val="14"/>
                <w:szCs w:val="14"/>
              </w:rPr>
              <w:t>1.38</w:t>
            </w:r>
          </w:p>
        </w:tc>
        <w:tc>
          <w:tcPr>
            <w:tcW w:w="440" w:type="pct"/>
            <w:tcBorders>
              <w:top w:val="nil"/>
              <w:left w:val="nil"/>
              <w:bottom w:val="nil"/>
              <w:right w:val="nil"/>
            </w:tcBorders>
            <w:shd w:val="clear" w:color="auto" w:fill="auto"/>
            <w:noWrap/>
            <w:vAlign w:val="bottom"/>
            <w:hideMark/>
          </w:tcPr>
          <w:p w14:paraId="428CB4DA" w14:textId="77777777" w:rsidR="0035380D" w:rsidRPr="00D26C28" w:rsidRDefault="0035380D" w:rsidP="00B6548B">
            <w:pPr>
              <w:jc w:val="center"/>
              <w:rPr>
                <w:color w:val="000000" w:themeColor="text1"/>
                <w:sz w:val="14"/>
                <w:szCs w:val="14"/>
              </w:rPr>
            </w:pPr>
            <w:r w:rsidRPr="00D26C28">
              <w:rPr>
                <w:color w:val="000000" w:themeColor="text1"/>
                <w:sz w:val="14"/>
                <w:szCs w:val="14"/>
              </w:rPr>
              <w:t>1.56</w:t>
            </w:r>
          </w:p>
        </w:tc>
        <w:tc>
          <w:tcPr>
            <w:tcW w:w="320" w:type="pct"/>
            <w:tcBorders>
              <w:top w:val="nil"/>
              <w:left w:val="nil"/>
              <w:bottom w:val="nil"/>
              <w:right w:val="nil"/>
            </w:tcBorders>
            <w:shd w:val="clear" w:color="auto" w:fill="auto"/>
            <w:noWrap/>
            <w:vAlign w:val="bottom"/>
            <w:hideMark/>
          </w:tcPr>
          <w:p w14:paraId="2B02E3A4" w14:textId="77777777" w:rsidR="0035380D" w:rsidRPr="00D26C28" w:rsidRDefault="0035380D" w:rsidP="00B6548B">
            <w:pPr>
              <w:jc w:val="center"/>
              <w:rPr>
                <w:color w:val="000000" w:themeColor="text1"/>
                <w:sz w:val="14"/>
                <w:szCs w:val="14"/>
              </w:rPr>
            </w:pPr>
            <w:r w:rsidRPr="00D26C28">
              <w:rPr>
                <w:color w:val="000000" w:themeColor="text1"/>
                <w:sz w:val="14"/>
                <w:szCs w:val="14"/>
              </w:rPr>
              <w:t>2.70</w:t>
            </w:r>
          </w:p>
        </w:tc>
        <w:tc>
          <w:tcPr>
            <w:tcW w:w="346" w:type="pct"/>
            <w:tcBorders>
              <w:top w:val="nil"/>
              <w:left w:val="nil"/>
              <w:bottom w:val="nil"/>
              <w:right w:val="nil"/>
            </w:tcBorders>
            <w:shd w:val="clear" w:color="auto" w:fill="auto"/>
            <w:noWrap/>
            <w:vAlign w:val="bottom"/>
            <w:hideMark/>
          </w:tcPr>
          <w:p w14:paraId="28E3D941" w14:textId="77777777" w:rsidR="0035380D" w:rsidRPr="00D26C28" w:rsidRDefault="0035380D" w:rsidP="00B6548B">
            <w:pPr>
              <w:jc w:val="center"/>
              <w:rPr>
                <w:color w:val="000000" w:themeColor="text1"/>
                <w:sz w:val="14"/>
                <w:szCs w:val="14"/>
              </w:rPr>
            </w:pPr>
            <w:r w:rsidRPr="00D26C28">
              <w:rPr>
                <w:color w:val="000000" w:themeColor="text1"/>
                <w:sz w:val="14"/>
                <w:szCs w:val="14"/>
              </w:rPr>
              <w:t>2.23</w:t>
            </w:r>
          </w:p>
        </w:tc>
        <w:tc>
          <w:tcPr>
            <w:tcW w:w="123" w:type="pct"/>
            <w:tcBorders>
              <w:top w:val="nil"/>
              <w:left w:val="nil"/>
              <w:bottom w:val="nil"/>
              <w:right w:val="nil"/>
            </w:tcBorders>
          </w:tcPr>
          <w:p w14:paraId="481261D0"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043F422E" w14:textId="77777777" w:rsidR="0035380D" w:rsidRPr="00D26C28" w:rsidRDefault="0035380D" w:rsidP="00B6548B">
            <w:pPr>
              <w:jc w:val="center"/>
              <w:rPr>
                <w:color w:val="000000" w:themeColor="text1"/>
                <w:sz w:val="14"/>
                <w:szCs w:val="14"/>
              </w:rPr>
            </w:pPr>
            <w:r w:rsidRPr="00D26C28">
              <w:rPr>
                <w:color w:val="000000" w:themeColor="text1"/>
                <w:sz w:val="14"/>
                <w:szCs w:val="14"/>
              </w:rPr>
              <w:t>2.97</w:t>
            </w:r>
          </w:p>
        </w:tc>
        <w:tc>
          <w:tcPr>
            <w:tcW w:w="320" w:type="pct"/>
            <w:tcBorders>
              <w:top w:val="nil"/>
              <w:left w:val="nil"/>
              <w:bottom w:val="nil"/>
              <w:right w:val="nil"/>
            </w:tcBorders>
            <w:shd w:val="clear" w:color="auto" w:fill="auto"/>
            <w:noWrap/>
            <w:vAlign w:val="bottom"/>
            <w:hideMark/>
          </w:tcPr>
          <w:p w14:paraId="09DA9B7B" w14:textId="77777777" w:rsidR="0035380D" w:rsidRPr="00D26C28" w:rsidRDefault="0035380D" w:rsidP="00B6548B">
            <w:pPr>
              <w:jc w:val="center"/>
              <w:rPr>
                <w:color w:val="000000" w:themeColor="text1"/>
                <w:sz w:val="14"/>
                <w:szCs w:val="14"/>
              </w:rPr>
            </w:pPr>
            <w:r w:rsidRPr="00D26C28">
              <w:rPr>
                <w:color w:val="000000" w:themeColor="text1"/>
                <w:sz w:val="14"/>
                <w:szCs w:val="14"/>
              </w:rPr>
              <w:t>3.16</w:t>
            </w:r>
          </w:p>
        </w:tc>
        <w:tc>
          <w:tcPr>
            <w:tcW w:w="320" w:type="pct"/>
            <w:tcBorders>
              <w:top w:val="nil"/>
              <w:left w:val="nil"/>
              <w:bottom w:val="nil"/>
            </w:tcBorders>
            <w:shd w:val="clear" w:color="auto" w:fill="auto"/>
            <w:noWrap/>
            <w:vAlign w:val="bottom"/>
            <w:hideMark/>
          </w:tcPr>
          <w:p w14:paraId="228B7D13" w14:textId="77777777" w:rsidR="0035380D" w:rsidRPr="00D26C28" w:rsidRDefault="0035380D" w:rsidP="00B6548B">
            <w:pPr>
              <w:jc w:val="center"/>
              <w:rPr>
                <w:color w:val="000000" w:themeColor="text1"/>
                <w:sz w:val="14"/>
                <w:szCs w:val="14"/>
              </w:rPr>
            </w:pPr>
            <w:r w:rsidRPr="00D26C28">
              <w:rPr>
                <w:color w:val="000000" w:themeColor="text1"/>
                <w:sz w:val="14"/>
                <w:szCs w:val="14"/>
              </w:rPr>
              <w:t>2.03</w:t>
            </w:r>
          </w:p>
        </w:tc>
        <w:tc>
          <w:tcPr>
            <w:tcW w:w="346" w:type="pct"/>
            <w:tcBorders>
              <w:top w:val="nil"/>
              <w:left w:val="nil"/>
              <w:bottom w:val="nil"/>
              <w:right w:val="nil"/>
            </w:tcBorders>
            <w:vAlign w:val="bottom"/>
          </w:tcPr>
          <w:p w14:paraId="5C4A0F01" w14:textId="77777777" w:rsidR="0035380D" w:rsidRPr="00D26C28" w:rsidRDefault="0035380D" w:rsidP="00B6548B">
            <w:pPr>
              <w:jc w:val="center"/>
              <w:rPr>
                <w:color w:val="000000" w:themeColor="text1"/>
                <w:sz w:val="14"/>
                <w:szCs w:val="14"/>
              </w:rPr>
            </w:pPr>
            <w:r w:rsidRPr="00D26C28">
              <w:rPr>
                <w:color w:val="000000" w:themeColor="text1"/>
                <w:sz w:val="14"/>
                <w:szCs w:val="14"/>
              </w:rPr>
              <w:t>2.33</w:t>
            </w:r>
          </w:p>
        </w:tc>
      </w:tr>
      <w:tr w:rsidR="0035380D" w:rsidRPr="00D26C28" w14:paraId="6E22FD4D" w14:textId="77777777" w:rsidTr="006132B7">
        <w:trPr>
          <w:cantSplit/>
          <w:trHeight w:hRule="exact" w:val="255"/>
        </w:trPr>
        <w:tc>
          <w:tcPr>
            <w:tcW w:w="275" w:type="pct"/>
            <w:tcBorders>
              <w:top w:val="nil"/>
              <w:bottom w:val="nil"/>
              <w:right w:val="nil"/>
            </w:tcBorders>
            <w:shd w:val="clear" w:color="auto" w:fill="auto"/>
            <w:noWrap/>
            <w:vAlign w:val="bottom"/>
            <w:hideMark/>
          </w:tcPr>
          <w:p w14:paraId="307F49A4"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1E38F3D8" w14:textId="77777777" w:rsidR="0035380D" w:rsidRPr="00D26C28" w:rsidRDefault="0035380D" w:rsidP="00B6548B">
            <w:pPr>
              <w:rPr>
                <w:color w:val="000000" w:themeColor="text1"/>
                <w:sz w:val="14"/>
                <w:szCs w:val="14"/>
              </w:rPr>
            </w:pPr>
            <w:r w:rsidRPr="00D26C28">
              <w:rPr>
                <w:color w:val="000000" w:themeColor="text1"/>
                <w:sz w:val="14"/>
                <w:szCs w:val="14"/>
              </w:rPr>
              <w:t>Volatility</w:t>
            </w:r>
          </w:p>
        </w:tc>
        <w:tc>
          <w:tcPr>
            <w:tcW w:w="320" w:type="pct"/>
            <w:tcBorders>
              <w:top w:val="nil"/>
              <w:left w:val="nil"/>
              <w:bottom w:val="nil"/>
              <w:right w:val="nil"/>
            </w:tcBorders>
            <w:shd w:val="clear" w:color="auto" w:fill="auto"/>
            <w:noWrap/>
            <w:vAlign w:val="bottom"/>
            <w:hideMark/>
          </w:tcPr>
          <w:p w14:paraId="09EF6217" w14:textId="77777777" w:rsidR="0035380D" w:rsidRPr="00D26C28" w:rsidRDefault="0035380D" w:rsidP="00B6548B">
            <w:pPr>
              <w:jc w:val="center"/>
              <w:rPr>
                <w:color w:val="000000" w:themeColor="text1"/>
                <w:sz w:val="14"/>
                <w:szCs w:val="14"/>
              </w:rPr>
            </w:pPr>
            <w:r w:rsidRPr="00D26C28">
              <w:rPr>
                <w:color w:val="000000" w:themeColor="text1"/>
                <w:sz w:val="14"/>
                <w:szCs w:val="14"/>
              </w:rPr>
              <w:t>4.65%</w:t>
            </w:r>
          </w:p>
        </w:tc>
        <w:tc>
          <w:tcPr>
            <w:tcW w:w="320" w:type="pct"/>
            <w:tcBorders>
              <w:top w:val="nil"/>
              <w:left w:val="nil"/>
              <w:bottom w:val="nil"/>
              <w:right w:val="nil"/>
            </w:tcBorders>
            <w:shd w:val="clear" w:color="auto" w:fill="auto"/>
            <w:noWrap/>
            <w:vAlign w:val="bottom"/>
            <w:hideMark/>
          </w:tcPr>
          <w:p w14:paraId="3F92BDCF" w14:textId="77777777" w:rsidR="0035380D" w:rsidRPr="00D26C28" w:rsidRDefault="0035380D" w:rsidP="00B6548B">
            <w:pPr>
              <w:jc w:val="center"/>
              <w:rPr>
                <w:color w:val="000000" w:themeColor="text1"/>
                <w:sz w:val="14"/>
                <w:szCs w:val="14"/>
              </w:rPr>
            </w:pPr>
            <w:r w:rsidRPr="00D26C28">
              <w:rPr>
                <w:color w:val="000000" w:themeColor="text1"/>
                <w:sz w:val="14"/>
                <w:szCs w:val="14"/>
              </w:rPr>
              <w:t>5.76%</w:t>
            </w:r>
          </w:p>
        </w:tc>
        <w:tc>
          <w:tcPr>
            <w:tcW w:w="320" w:type="pct"/>
            <w:tcBorders>
              <w:top w:val="nil"/>
              <w:left w:val="nil"/>
              <w:bottom w:val="nil"/>
              <w:right w:val="nil"/>
            </w:tcBorders>
            <w:shd w:val="clear" w:color="auto" w:fill="auto"/>
            <w:noWrap/>
            <w:vAlign w:val="bottom"/>
            <w:hideMark/>
          </w:tcPr>
          <w:p w14:paraId="7B88838A" w14:textId="77777777" w:rsidR="0035380D" w:rsidRPr="00D26C28" w:rsidRDefault="0035380D" w:rsidP="00B6548B">
            <w:pPr>
              <w:jc w:val="center"/>
              <w:rPr>
                <w:color w:val="000000" w:themeColor="text1"/>
                <w:sz w:val="14"/>
                <w:szCs w:val="14"/>
              </w:rPr>
            </w:pPr>
            <w:r w:rsidRPr="00D26C28">
              <w:rPr>
                <w:color w:val="000000" w:themeColor="text1"/>
                <w:sz w:val="14"/>
                <w:szCs w:val="14"/>
              </w:rPr>
              <w:t>5.99%</w:t>
            </w:r>
          </w:p>
        </w:tc>
        <w:tc>
          <w:tcPr>
            <w:tcW w:w="293" w:type="pct"/>
            <w:tcBorders>
              <w:top w:val="nil"/>
              <w:left w:val="nil"/>
              <w:bottom w:val="nil"/>
              <w:right w:val="nil"/>
            </w:tcBorders>
            <w:shd w:val="clear" w:color="auto" w:fill="auto"/>
            <w:noWrap/>
            <w:vAlign w:val="bottom"/>
            <w:hideMark/>
          </w:tcPr>
          <w:p w14:paraId="3F2B4111" w14:textId="77777777" w:rsidR="0035380D" w:rsidRPr="00D26C28" w:rsidRDefault="0035380D" w:rsidP="00B6548B">
            <w:pPr>
              <w:jc w:val="center"/>
              <w:rPr>
                <w:color w:val="000000" w:themeColor="text1"/>
                <w:sz w:val="14"/>
                <w:szCs w:val="14"/>
              </w:rPr>
            </w:pPr>
            <w:r w:rsidRPr="00D26C28">
              <w:rPr>
                <w:color w:val="000000" w:themeColor="text1"/>
                <w:sz w:val="14"/>
                <w:szCs w:val="14"/>
              </w:rPr>
              <w:t>6.03%</w:t>
            </w:r>
          </w:p>
        </w:tc>
        <w:tc>
          <w:tcPr>
            <w:tcW w:w="184" w:type="pct"/>
            <w:tcBorders>
              <w:top w:val="nil"/>
              <w:left w:val="nil"/>
              <w:bottom w:val="nil"/>
              <w:right w:val="nil"/>
            </w:tcBorders>
          </w:tcPr>
          <w:p w14:paraId="796BED6F"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3C80A75F" w14:textId="77777777" w:rsidR="0035380D" w:rsidRPr="00D26C28" w:rsidRDefault="0035380D" w:rsidP="00B6548B">
            <w:pPr>
              <w:jc w:val="center"/>
              <w:rPr>
                <w:color w:val="000000" w:themeColor="text1"/>
                <w:sz w:val="14"/>
                <w:szCs w:val="14"/>
              </w:rPr>
            </w:pPr>
            <w:r w:rsidRPr="00D26C28">
              <w:rPr>
                <w:color w:val="000000" w:themeColor="text1"/>
                <w:sz w:val="14"/>
                <w:szCs w:val="14"/>
              </w:rPr>
              <w:t>5.74%</w:t>
            </w:r>
          </w:p>
        </w:tc>
        <w:tc>
          <w:tcPr>
            <w:tcW w:w="440" w:type="pct"/>
            <w:tcBorders>
              <w:top w:val="nil"/>
              <w:left w:val="nil"/>
              <w:bottom w:val="nil"/>
              <w:right w:val="nil"/>
            </w:tcBorders>
            <w:shd w:val="clear" w:color="auto" w:fill="auto"/>
            <w:noWrap/>
            <w:vAlign w:val="bottom"/>
            <w:hideMark/>
          </w:tcPr>
          <w:p w14:paraId="2EA1BEA8" w14:textId="77777777" w:rsidR="0035380D" w:rsidRPr="00D26C28" w:rsidRDefault="0035380D" w:rsidP="00B6548B">
            <w:pPr>
              <w:jc w:val="center"/>
              <w:rPr>
                <w:color w:val="000000" w:themeColor="text1"/>
                <w:sz w:val="14"/>
                <w:szCs w:val="14"/>
              </w:rPr>
            </w:pPr>
            <w:r w:rsidRPr="00D26C28">
              <w:rPr>
                <w:color w:val="000000" w:themeColor="text1"/>
                <w:sz w:val="14"/>
                <w:szCs w:val="14"/>
              </w:rPr>
              <w:t>6.41%</w:t>
            </w:r>
          </w:p>
        </w:tc>
        <w:tc>
          <w:tcPr>
            <w:tcW w:w="320" w:type="pct"/>
            <w:tcBorders>
              <w:top w:val="nil"/>
              <w:left w:val="nil"/>
              <w:bottom w:val="nil"/>
              <w:right w:val="nil"/>
            </w:tcBorders>
            <w:shd w:val="clear" w:color="auto" w:fill="auto"/>
            <w:noWrap/>
            <w:vAlign w:val="bottom"/>
            <w:hideMark/>
          </w:tcPr>
          <w:p w14:paraId="0E1BF007" w14:textId="77777777" w:rsidR="0035380D" w:rsidRPr="00D26C28" w:rsidRDefault="0035380D" w:rsidP="00B6548B">
            <w:pPr>
              <w:jc w:val="center"/>
              <w:rPr>
                <w:color w:val="000000" w:themeColor="text1"/>
                <w:sz w:val="14"/>
                <w:szCs w:val="14"/>
              </w:rPr>
            </w:pPr>
            <w:r w:rsidRPr="00D26C28">
              <w:rPr>
                <w:color w:val="000000" w:themeColor="text1"/>
                <w:sz w:val="14"/>
                <w:szCs w:val="14"/>
              </w:rPr>
              <w:t>6.09%</w:t>
            </w:r>
          </w:p>
        </w:tc>
        <w:tc>
          <w:tcPr>
            <w:tcW w:w="346" w:type="pct"/>
            <w:tcBorders>
              <w:top w:val="nil"/>
              <w:left w:val="nil"/>
              <w:bottom w:val="nil"/>
              <w:right w:val="nil"/>
            </w:tcBorders>
            <w:shd w:val="clear" w:color="auto" w:fill="auto"/>
            <w:noWrap/>
            <w:vAlign w:val="bottom"/>
            <w:hideMark/>
          </w:tcPr>
          <w:p w14:paraId="60D3EA79" w14:textId="77777777" w:rsidR="0035380D" w:rsidRPr="00D26C28" w:rsidRDefault="0035380D" w:rsidP="00B6548B">
            <w:pPr>
              <w:jc w:val="center"/>
              <w:rPr>
                <w:color w:val="000000" w:themeColor="text1"/>
                <w:sz w:val="14"/>
                <w:szCs w:val="14"/>
              </w:rPr>
            </w:pPr>
            <w:r w:rsidRPr="00D26C28">
              <w:rPr>
                <w:color w:val="000000" w:themeColor="text1"/>
                <w:sz w:val="14"/>
                <w:szCs w:val="14"/>
              </w:rPr>
              <w:t>6.19%</w:t>
            </w:r>
          </w:p>
        </w:tc>
        <w:tc>
          <w:tcPr>
            <w:tcW w:w="123" w:type="pct"/>
            <w:tcBorders>
              <w:top w:val="nil"/>
              <w:left w:val="nil"/>
              <w:bottom w:val="nil"/>
              <w:right w:val="nil"/>
            </w:tcBorders>
          </w:tcPr>
          <w:p w14:paraId="3CD70B0F"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20D015E5" w14:textId="77777777" w:rsidR="0035380D" w:rsidRPr="00D26C28" w:rsidRDefault="0035380D" w:rsidP="00B6548B">
            <w:pPr>
              <w:jc w:val="center"/>
              <w:rPr>
                <w:color w:val="000000" w:themeColor="text1"/>
                <w:sz w:val="14"/>
                <w:szCs w:val="14"/>
              </w:rPr>
            </w:pPr>
            <w:r w:rsidRPr="00D26C28">
              <w:rPr>
                <w:color w:val="000000" w:themeColor="text1"/>
                <w:sz w:val="14"/>
                <w:szCs w:val="14"/>
              </w:rPr>
              <w:t>3.50%</w:t>
            </w:r>
          </w:p>
        </w:tc>
        <w:tc>
          <w:tcPr>
            <w:tcW w:w="320" w:type="pct"/>
            <w:tcBorders>
              <w:top w:val="nil"/>
              <w:left w:val="nil"/>
              <w:bottom w:val="nil"/>
              <w:right w:val="nil"/>
            </w:tcBorders>
            <w:shd w:val="clear" w:color="auto" w:fill="auto"/>
            <w:noWrap/>
            <w:vAlign w:val="bottom"/>
            <w:hideMark/>
          </w:tcPr>
          <w:p w14:paraId="69E4A4B1" w14:textId="77777777" w:rsidR="0035380D" w:rsidRPr="00D26C28" w:rsidRDefault="0035380D" w:rsidP="00B6548B">
            <w:pPr>
              <w:jc w:val="center"/>
              <w:rPr>
                <w:color w:val="000000" w:themeColor="text1"/>
                <w:sz w:val="14"/>
                <w:szCs w:val="14"/>
              </w:rPr>
            </w:pPr>
            <w:r w:rsidRPr="00D26C28">
              <w:rPr>
                <w:color w:val="000000" w:themeColor="text1"/>
                <w:sz w:val="14"/>
                <w:szCs w:val="14"/>
              </w:rPr>
              <w:t>3.80%</w:t>
            </w:r>
          </w:p>
        </w:tc>
        <w:tc>
          <w:tcPr>
            <w:tcW w:w="320" w:type="pct"/>
            <w:tcBorders>
              <w:top w:val="nil"/>
              <w:left w:val="nil"/>
              <w:bottom w:val="nil"/>
            </w:tcBorders>
            <w:shd w:val="clear" w:color="auto" w:fill="auto"/>
            <w:noWrap/>
            <w:vAlign w:val="bottom"/>
            <w:hideMark/>
          </w:tcPr>
          <w:p w14:paraId="038F047A" w14:textId="77777777" w:rsidR="0035380D" w:rsidRPr="00D26C28" w:rsidRDefault="0035380D" w:rsidP="00B6548B">
            <w:pPr>
              <w:jc w:val="center"/>
              <w:rPr>
                <w:color w:val="000000" w:themeColor="text1"/>
                <w:sz w:val="14"/>
                <w:szCs w:val="14"/>
              </w:rPr>
            </w:pPr>
            <w:r w:rsidRPr="00D26C28">
              <w:rPr>
                <w:color w:val="000000" w:themeColor="text1"/>
                <w:sz w:val="14"/>
                <w:szCs w:val="14"/>
              </w:rPr>
              <w:t>6.01%</w:t>
            </w:r>
          </w:p>
        </w:tc>
        <w:tc>
          <w:tcPr>
            <w:tcW w:w="346" w:type="pct"/>
            <w:tcBorders>
              <w:top w:val="nil"/>
              <w:left w:val="nil"/>
              <w:bottom w:val="nil"/>
              <w:right w:val="nil"/>
            </w:tcBorders>
            <w:vAlign w:val="bottom"/>
          </w:tcPr>
          <w:p w14:paraId="20AB7E8F" w14:textId="77777777" w:rsidR="0035380D" w:rsidRPr="00D26C28" w:rsidRDefault="0035380D" w:rsidP="00B6548B">
            <w:pPr>
              <w:jc w:val="center"/>
              <w:rPr>
                <w:color w:val="000000" w:themeColor="text1"/>
                <w:sz w:val="14"/>
                <w:szCs w:val="14"/>
              </w:rPr>
            </w:pPr>
            <w:r w:rsidRPr="00D26C28">
              <w:rPr>
                <w:color w:val="000000" w:themeColor="text1"/>
                <w:sz w:val="14"/>
                <w:szCs w:val="14"/>
              </w:rPr>
              <w:t>6.32%</w:t>
            </w:r>
          </w:p>
        </w:tc>
      </w:tr>
      <w:tr w:rsidR="0035380D" w:rsidRPr="00D26C28" w14:paraId="1309F656" w14:textId="77777777" w:rsidTr="006132B7">
        <w:trPr>
          <w:cantSplit/>
          <w:trHeight w:hRule="exact" w:val="255"/>
        </w:trPr>
        <w:tc>
          <w:tcPr>
            <w:tcW w:w="275" w:type="pct"/>
            <w:tcBorders>
              <w:top w:val="nil"/>
              <w:bottom w:val="nil"/>
              <w:right w:val="nil"/>
            </w:tcBorders>
            <w:shd w:val="clear" w:color="auto" w:fill="auto"/>
            <w:noWrap/>
            <w:vAlign w:val="bottom"/>
            <w:hideMark/>
          </w:tcPr>
          <w:p w14:paraId="4F5C6C81"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27BB82AE" w14:textId="77777777" w:rsidR="0035380D" w:rsidRPr="00D26C28" w:rsidRDefault="0035380D" w:rsidP="00B6548B">
            <w:pPr>
              <w:rPr>
                <w:color w:val="000000" w:themeColor="text1"/>
                <w:sz w:val="14"/>
                <w:szCs w:val="14"/>
              </w:rPr>
            </w:pPr>
            <w:r w:rsidRPr="00D26C28">
              <w:rPr>
                <w:color w:val="000000" w:themeColor="text1"/>
                <w:sz w:val="14"/>
                <w:szCs w:val="14"/>
              </w:rPr>
              <w:t>Sharpe</w:t>
            </w:r>
          </w:p>
        </w:tc>
        <w:tc>
          <w:tcPr>
            <w:tcW w:w="320" w:type="pct"/>
            <w:tcBorders>
              <w:top w:val="nil"/>
              <w:left w:val="nil"/>
              <w:bottom w:val="nil"/>
              <w:right w:val="nil"/>
            </w:tcBorders>
            <w:shd w:val="clear" w:color="auto" w:fill="auto"/>
            <w:noWrap/>
            <w:vAlign w:val="bottom"/>
            <w:hideMark/>
          </w:tcPr>
          <w:p w14:paraId="5F9123AD" w14:textId="77777777" w:rsidR="0035380D" w:rsidRPr="00D26C28" w:rsidRDefault="0035380D" w:rsidP="00B6548B">
            <w:pPr>
              <w:jc w:val="center"/>
              <w:rPr>
                <w:color w:val="000000" w:themeColor="text1"/>
                <w:sz w:val="14"/>
                <w:szCs w:val="14"/>
              </w:rPr>
            </w:pPr>
            <w:r w:rsidRPr="00D26C28">
              <w:rPr>
                <w:color w:val="000000" w:themeColor="text1"/>
                <w:sz w:val="14"/>
                <w:szCs w:val="14"/>
              </w:rPr>
              <w:t>1.14</w:t>
            </w:r>
          </w:p>
        </w:tc>
        <w:tc>
          <w:tcPr>
            <w:tcW w:w="320" w:type="pct"/>
            <w:tcBorders>
              <w:top w:val="nil"/>
              <w:left w:val="nil"/>
              <w:bottom w:val="nil"/>
              <w:right w:val="nil"/>
            </w:tcBorders>
            <w:shd w:val="clear" w:color="auto" w:fill="auto"/>
            <w:noWrap/>
            <w:vAlign w:val="bottom"/>
            <w:hideMark/>
          </w:tcPr>
          <w:p w14:paraId="5E129536" w14:textId="77777777" w:rsidR="0035380D" w:rsidRPr="00D26C28" w:rsidRDefault="0035380D" w:rsidP="00B6548B">
            <w:pPr>
              <w:jc w:val="center"/>
              <w:rPr>
                <w:color w:val="000000" w:themeColor="text1"/>
                <w:sz w:val="14"/>
                <w:szCs w:val="14"/>
              </w:rPr>
            </w:pPr>
            <w:r w:rsidRPr="00D26C28">
              <w:rPr>
                <w:color w:val="000000" w:themeColor="text1"/>
                <w:sz w:val="14"/>
                <w:szCs w:val="14"/>
              </w:rPr>
              <w:t>0.95</w:t>
            </w:r>
          </w:p>
        </w:tc>
        <w:tc>
          <w:tcPr>
            <w:tcW w:w="320" w:type="pct"/>
            <w:tcBorders>
              <w:top w:val="nil"/>
              <w:left w:val="nil"/>
              <w:bottom w:val="nil"/>
              <w:right w:val="nil"/>
            </w:tcBorders>
            <w:shd w:val="clear" w:color="auto" w:fill="auto"/>
            <w:noWrap/>
            <w:vAlign w:val="bottom"/>
            <w:hideMark/>
          </w:tcPr>
          <w:p w14:paraId="09F33201" w14:textId="77777777" w:rsidR="0035380D" w:rsidRPr="00D26C28" w:rsidRDefault="0035380D" w:rsidP="00B6548B">
            <w:pPr>
              <w:jc w:val="center"/>
              <w:rPr>
                <w:color w:val="000000" w:themeColor="text1"/>
                <w:sz w:val="14"/>
                <w:szCs w:val="14"/>
              </w:rPr>
            </w:pPr>
            <w:r w:rsidRPr="00D26C28">
              <w:rPr>
                <w:color w:val="000000" w:themeColor="text1"/>
                <w:sz w:val="14"/>
                <w:szCs w:val="14"/>
              </w:rPr>
              <w:t>1.31</w:t>
            </w:r>
          </w:p>
        </w:tc>
        <w:tc>
          <w:tcPr>
            <w:tcW w:w="293" w:type="pct"/>
            <w:tcBorders>
              <w:top w:val="nil"/>
              <w:left w:val="nil"/>
              <w:bottom w:val="nil"/>
              <w:right w:val="nil"/>
            </w:tcBorders>
            <w:shd w:val="clear" w:color="auto" w:fill="auto"/>
            <w:noWrap/>
            <w:vAlign w:val="bottom"/>
            <w:hideMark/>
          </w:tcPr>
          <w:p w14:paraId="51D20DBB" w14:textId="77777777" w:rsidR="0035380D" w:rsidRPr="00D26C28" w:rsidRDefault="0035380D" w:rsidP="00B6548B">
            <w:pPr>
              <w:jc w:val="center"/>
              <w:rPr>
                <w:color w:val="000000" w:themeColor="text1"/>
                <w:sz w:val="14"/>
                <w:szCs w:val="14"/>
              </w:rPr>
            </w:pPr>
            <w:r w:rsidRPr="00D26C28">
              <w:rPr>
                <w:color w:val="000000" w:themeColor="text1"/>
                <w:sz w:val="14"/>
                <w:szCs w:val="14"/>
              </w:rPr>
              <w:t>1.42</w:t>
            </w:r>
          </w:p>
        </w:tc>
        <w:tc>
          <w:tcPr>
            <w:tcW w:w="184" w:type="pct"/>
            <w:tcBorders>
              <w:top w:val="nil"/>
              <w:left w:val="nil"/>
              <w:bottom w:val="nil"/>
              <w:right w:val="nil"/>
            </w:tcBorders>
          </w:tcPr>
          <w:p w14:paraId="02658FB6"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0D46E541" w14:textId="77777777" w:rsidR="0035380D" w:rsidRPr="00D26C28" w:rsidRDefault="0035380D" w:rsidP="00B6548B">
            <w:pPr>
              <w:jc w:val="center"/>
              <w:rPr>
                <w:color w:val="000000" w:themeColor="text1"/>
                <w:sz w:val="14"/>
                <w:szCs w:val="14"/>
              </w:rPr>
            </w:pPr>
            <w:r w:rsidRPr="00D26C28">
              <w:rPr>
                <w:color w:val="000000" w:themeColor="text1"/>
                <w:sz w:val="14"/>
                <w:szCs w:val="14"/>
              </w:rPr>
              <w:t>0.54</w:t>
            </w:r>
          </w:p>
        </w:tc>
        <w:tc>
          <w:tcPr>
            <w:tcW w:w="440" w:type="pct"/>
            <w:tcBorders>
              <w:top w:val="nil"/>
              <w:left w:val="nil"/>
              <w:bottom w:val="nil"/>
              <w:right w:val="nil"/>
            </w:tcBorders>
            <w:shd w:val="clear" w:color="auto" w:fill="auto"/>
            <w:noWrap/>
            <w:vAlign w:val="bottom"/>
            <w:hideMark/>
          </w:tcPr>
          <w:p w14:paraId="73D5A190" w14:textId="77777777" w:rsidR="0035380D" w:rsidRPr="00D26C28" w:rsidRDefault="0035380D" w:rsidP="00B6548B">
            <w:pPr>
              <w:jc w:val="center"/>
              <w:rPr>
                <w:color w:val="000000" w:themeColor="text1"/>
                <w:sz w:val="14"/>
                <w:szCs w:val="14"/>
              </w:rPr>
            </w:pPr>
            <w:r w:rsidRPr="00D26C28">
              <w:rPr>
                <w:color w:val="000000" w:themeColor="text1"/>
                <w:sz w:val="14"/>
                <w:szCs w:val="14"/>
              </w:rPr>
              <w:t>0.68</w:t>
            </w:r>
          </w:p>
        </w:tc>
        <w:tc>
          <w:tcPr>
            <w:tcW w:w="320" w:type="pct"/>
            <w:tcBorders>
              <w:top w:val="nil"/>
              <w:left w:val="nil"/>
              <w:bottom w:val="nil"/>
              <w:right w:val="nil"/>
            </w:tcBorders>
            <w:shd w:val="clear" w:color="auto" w:fill="auto"/>
            <w:noWrap/>
            <w:vAlign w:val="bottom"/>
            <w:hideMark/>
          </w:tcPr>
          <w:p w14:paraId="65A415ED" w14:textId="77777777" w:rsidR="0035380D" w:rsidRPr="00D26C28" w:rsidRDefault="0035380D" w:rsidP="00B6548B">
            <w:pPr>
              <w:jc w:val="center"/>
              <w:rPr>
                <w:color w:val="000000" w:themeColor="text1"/>
                <w:sz w:val="14"/>
                <w:szCs w:val="14"/>
              </w:rPr>
            </w:pPr>
            <w:r w:rsidRPr="00D26C28">
              <w:rPr>
                <w:color w:val="000000" w:themeColor="text1"/>
                <w:sz w:val="14"/>
                <w:szCs w:val="14"/>
              </w:rPr>
              <w:t>1.02</w:t>
            </w:r>
          </w:p>
        </w:tc>
        <w:tc>
          <w:tcPr>
            <w:tcW w:w="346" w:type="pct"/>
            <w:tcBorders>
              <w:top w:val="nil"/>
              <w:left w:val="nil"/>
              <w:bottom w:val="nil"/>
              <w:right w:val="nil"/>
            </w:tcBorders>
            <w:shd w:val="clear" w:color="auto" w:fill="auto"/>
            <w:noWrap/>
            <w:vAlign w:val="bottom"/>
            <w:hideMark/>
          </w:tcPr>
          <w:p w14:paraId="62EA0321" w14:textId="77777777" w:rsidR="0035380D" w:rsidRPr="00D26C28" w:rsidRDefault="0035380D" w:rsidP="00B6548B">
            <w:pPr>
              <w:jc w:val="center"/>
              <w:rPr>
                <w:color w:val="000000" w:themeColor="text1"/>
                <w:sz w:val="14"/>
                <w:szCs w:val="14"/>
              </w:rPr>
            </w:pPr>
            <w:r w:rsidRPr="00D26C28">
              <w:rPr>
                <w:color w:val="000000" w:themeColor="text1"/>
                <w:sz w:val="14"/>
                <w:szCs w:val="14"/>
              </w:rPr>
              <w:t>0.86</w:t>
            </w:r>
          </w:p>
        </w:tc>
        <w:tc>
          <w:tcPr>
            <w:tcW w:w="123" w:type="pct"/>
            <w:tcBorders>
              <w:top w:val="nil"/>
              <w:left w:val="nil"/>
              <w:bottom w:val="nil"/>
              <w:right w:val="nil"/>
            </w:tcBorders>
          </w:tcPr>
          <w:p w14:paraId="4687079E"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453C1130" w14:textId="77777777" w:rsidR="0035380D" w:rsidRPr="00D26C28" w:rsidRDefault="0035380D" w:rsidP="00B6548B">
            <w:pPr>
              <w:jc w:val="center"/>
              <w:rPr>
                <w:color w:val="000000" w:themeColor="text1"/>
                <w:sz w:val="14"/>
                <w:szCs w:val="14"/>
              </w:rPr>
            </w:pPr>
            <w:r w:rsidRPr="00D26C28">
              <w:rPr>
                <w:color w:val="000000" w:themeColor="text1"/>
                <w:sz w:val="14"/>
                <w:szCs w:val="14"/>
              </w:rPr>
              <w:t>1.45</w:t>
            </w:r>
          </w:p>
        </w:tc>
        <w:tc>
          <w:tcPr>
            <w:tcW w:w="320" w:type="pct"/>
            <w:tcBorders>
              <w:top w:val="nil"/>
              <w:left w:val="nil"/>
              <w:bottom w:val="nil"/>
              <w:right w:val="nil"/>
            </w:tcBorders>
            <w:shd w:val="clear" w:color="auto" w:fill="auto"/>
            <w:noWrap/>
            <w:vAlign w:val="bottom"/>
            <w:hideMark/>
          </w:tcPr>
          <w:p w14:paraId="2C6C41A5" w14:textId="77777777" w:rsidR="0035380D" w:rsidRPr="00D26C28" w:rsidRDefault="0035380D" w:rsidP="00B6548B">
            <w:pPr>
              <w:jc w:val="center"/>
              <w:rPr>
                <w:color w:val="000000" w:themeColor="text1"/>
                <w:sz w:val="14"/>
                <w:szCs w:val="14"/>
              </w:rPr>
            </w:pPr>
            <w:r w:rsidRPr="00D26C28">
              <w:rPr>
                <w:color w:val="000000" w:themeColor="text1"/>
                <w:sz w:val="14"/>
                <w:szCs w:val="14"/>
              </w:rPr>
              <w:t>1.57</w:t>
            </w:r>
          </w:p>
        </w:tc>
        <w:tc>
          <w:tcPr>
            <w:tcW w:w="320" w:type="pct"/>
            <w:tcBorders>
              <w:top w:val="nil"/>
              <w:left w:val="nil"/>
              <w:bottom w:val="nil"/>
            </w:tcBorders>
            <w:shd w:val="clear" w:color="auto" w:fill="auto"/>
            <w:noWrap/>
            <w:vAlign w:val="bottom"/>
            <w:hideMark/>
          </w:tcPr>
          <w:p w14:paraId="501F1D4C" w14:textId="77777777" w:rsidR="0035380D" w:rsidRPr="00D26C28" w:rsidRDefault="0035380D" w:rsidP="00B6548B">
            <w:pPr>
              <w:jc w:val="center"/>
              <w:rPr>
                <w:color w:val="000000" w:themeColor="text1"/>
                <w:sz w:val="14"/>
                <w:szCs w:val="14"/>
              </w:rPr>
            </w:pPr>
            <w:r w:rsidRPr="00D26C28">
              <w:rPr>
                <w:color w:val="000000" w:themeColor="text1"/>
                <w:sz w:val="14"/>
                <w:szCs w:val="14"/>
              </w:rPr>
              <w:t>1.01</w:t>
            </w:r>
          </w:p>
        </w:tc>
        <w:tc>
          <w:tcPr>
            <w:tcW w:w="346" w:type="pct"/>
            <w:tcBorders>
              <w:top w:val="nil"/>
              <w:left w:val="nil"/>
              <w:bottom w:val="nil"/>
              <w:right w:val="nil"/>
            </w:tcBorders>
            <w:vAlign w:val="bottom"/>
          </w:tcPr>
          <w:p w14:paraId="54B3DBF4" w14:textId="77777777" w:rsidR="0035380D" w:rsidRPr="00D26C28" w:rsidRDefault="0035380D" w:rsidP="00B6548B">
            <w:pPr>
              <w:jc w:val="center"/>
              <w:rPr>
                <w:color w:val="000000" w:themeColor="text1"/>
                <w:sz w:val="14"/>
                <w:szCs w:val="14"/>
              </w:rPr>
            </w:pPr>
            <w:r w:rsidRPr="00D26C28">
              <w:rPr>
                <w:color w:val="000000" w:themeColor="text1"/>
                <w:sz w:val="14"/>
                <w:szCs w:val="14"/>
              </w:rPr>
              <w:t>1.15</w:t>
            </w:r>
          </w:p>
        </w:tc>
      </w:tr>
      <w:tr w:rsidR="0035380D" w:rsidRPr="00D26C28" w14:paraId="6C7E1B73" w14:textId="77777777" w:rsidTr="006132B7">
        <w:trPr>
          <w:cantSplit/>
          <w:trHeight w:hRule="exact" w:val="279"/>
        </w:trPr>
        <w:tc>
          <w:tcPr>
            <w:tcW w:w="275" w:type="pct"/>
            <w:tcBorders>
              <w:top w:val="nil"/>
              <w:bottom w:val="nil"/>
              <w:right w:val="nil"/>
            </w:tcBorders>
            <w:shd w:val="clear" w:color="auto" w:fill="auto"/>
            <w:noWrap/>
            <w:vAlign w:val="bottom"/>
            <w:hideMark/>
          </w:tcPr>
          <w:p w14:paraId="003BFACB" w14:textId="77777777" w:rsidR="0035380D" w:rsidRPr="00D26C28" w:rsidRDefault="0035380D" w:rsidP="00B6548B">
            <w:pPr>
              <w:rPr>
                <w:color w:val="000000" w:themeColor="text1"/>
                <w:sz w:val="14"/>
                <w:szCs w:val="14"/>
              </w:rPr>
            </w:pPr>
            <w:r w:rsidRPr="00D26C28">
              <w:rPr>
                <w:color w:val="000000" w:themeColor="text1"/>
                <w:sz w:val="14"/>
                <w:szCs w:val="14"/>
              </w:rPr>
              <w:t>2009</w:t>
            </w:r>
          </w:p>
        </w:tc>
        <w:tc>
          <w:tcPr>
            <w:tcW w:w="434" w:type="pct"/>
            <w:tcBorders>
              <w:top w:val="nil"/>
              <w:left w:val="nil"/>
              <w:bottom w:val="nil"/>
              <w:right w:val="nil"/>
            </w:tcBorders>
            <w:shd w:val="clear" w:color="auto" w:fill="auto"/>
            <w:noWrap/>
            <w:vAlign w:val="bottom"/>
            <w:hideMark/>
          </w:tcPr>
          <w:p w14:paraId="1810DE0B" w14:textId="77777777" w:rsidR="0035380D" w:rsidRPr="00D26C28" w:rsidRDefault="0035380D" w:rsidP="00B6548B">
            <w:pPr>
              <w:rPr>
                <w:color w:val="000000" w:themeColor="text1"/>
                <w:sz w:val="14"/>
                <w:szCs w:val="14"/>
              </w:rPr>
            </w:pPr>
            <w:r w:rsidRPr="00D26C28">
              <w:rPr>
                <w:color w:val="000000" w:themeColor="text1"/>
                <w:sz w:val="14"/>
                <w:szCs w:val="14"/>
              </w:rPr>
              <w:t>Returns</w:t>
            </w:r>
          </w:p>
        </w:tc>
        <w:tc>
          <w:tcPr>
            <w:tcW w:w="320" w:type="pct"/>
            <w:tcBorders>
              <w:top w:val="nil"/>
              <w:left w:val="nil"/>
              <w:bottom w:val="nil"/>
              <w:right w:val="nil"/>
            </w:tcBorders>
            <w:shd w:val="clear" w:color="auto" w:fill="auto"/>
            <w:noWrap/>
            <w:vAlign w:val="bottom"/>
            <w:hideMark/>
          </w:tcPr>
          <w:p w14:paraId="5A230A7D" w14:textId="77777777" w:rsidR="0035380D" w:rsidRPr="00D26C28" w:rsidRDefault="0035380D" w:rsidP="00B6548B">
            <w:pPr>
              <w:jc w:val="center"/>
              <w:rPr>
                <w:color w:val="000000" w:themeColor="text1"/>
                <w:sz w:val="14"/>
                <w:szCs w:val="14"/>
              </w:rPr>
            </w:pPr>
            <w:r w:rsidRPr="00D26C28">
              <w:rPr>
                <w:color w:val="000000" w:themeColor="text1"/>
                <w:sz w:val="14"/>
                <w:szCs w:val="14"/>
              </w:rPr>
              <w:t>1.06%</w:t>
            </w:r>
          </w:p>
        </w:tc>
        <w:tc>
          <w:tcPr>
            <w:tcW w:w="320" w:type="pct"/>
            <w:tcBorders>
              <w:top w:val="nil"/>
              <w:left w:val="nil"/>
              <w:bottom w:val="nil"/>
              <w:right w:val="nil"/>
            </w:tcBorders>
            <w:shd w:val="clear" w:color="auto" w:fill="auto"/>
            <w:noWrap/>
            <w:vAlign w:val="bottom"/>
            <w:hideMark/>
          </w:tcPr>
          <w:p w14:paraId="0D5631FD" w14:textId="77777777" w:rsidR="0035380D" w:rsidRPr="00D26C28" w:rsidRDefault="0035380D" w:rsidP="00B6548B">
            <w:pPr>
              <w:jc w:val="center"/>
              <w:rPr>
                <w:color w:val="000000" w:themeColor="text1"/>
                <w:sz w:val="14"/>
                <w:szCs w:val="14"/>
              </w:rPr>
            </w:pPr>
            <w:r w:rsidRPr="00D26C28">
              <w:rPr>
                <w:color w:val="000000" w:themeColor="text1"/>
                <w:sz w:val="14"/>
                <w:szCs w:val="14"/>
              </w:rPr>
              <w:t>1.21%</w:t>
            </w:r>
          </w:p>
        </w:tc>
        <w:tc>
          <w:tcPr>
            <w:tcW w:w="320" w:type="pct"/>
            <w:tcBorders>
              <w:top w:val="nil"/>
              <w:left w:val="nil"/>
              <w:bottom w:val="nil"/>
              <w:right w:val="nil"/>
            </w:tcBorders>
            <w:shd w:val="clear" w:color="auto" w:fill="auto"/>
            <w:noWrap/>
            <w:vAlign w:val="bottom"/>
            <w:hideMark/>
          </w:tcPr>
          <w:p w14:paraId="3EC87507" w14:textId="77777777" w:rsidR="0035380D" w:rsidRPr="00D26C28" w:rsidRDefault="0035380D" w:rsidP="00B6548B">
            <w:pPr>
              <w:jc w:val="center"/>
              <w:rPr>
                <w:color w:val="000000" w:themeColor="text1"/>
                <w:sz w:val="14"/>
                <w:szCs w:val="14"/>
              </w:rPr>
            </w:pPr>
            <w:r w:rsidRPr="00D26C28">
              <w:rPr>
                <w:color w:val="000000" w:themeColor="text1"/>
                <w:sz w:val="14"/>
                <w:szCs w:val="14"/>
              </w:rPr>
              <w:t>1.81%</w:t>
            </w:r>
          </w:p>
        </w:tc>
        <w:tc>
          <w:tcPr>
            <w:tcW w:w="293" w:type="pct"/>
            <w:tcBorders>
              <w:top w:val="nil"/>
              <w:left w:val="nil"/>
              <w:bottom w:val="nil"/>
              <w:right w:val="nil"/>
            </w:tcBorders>
            <w:shd w:val="clear" w:color="auto" w:fill="auto"/>
            <w:noWrap/>
            <w:vAlign w:val="bottom"/>
            <w:hideMark/>
          </w:tcPr>
          <w:p w14:paraId="2B3E5746" w14:textId="77777777" w:rsidR="0035380D" w:rsidRPr="00D26C28" w:rsidRDefault="0035380D" w:rsidP="00B6548B">
            <w:pPr>
              <w:jc w:val="center"/>
              <w:rPr>
                <w:color w:val="000000" w:themeColor="text1"/>
                <w:sz w:val="14"/>
                <w:szCs w:val="14"/>
              </w:rPr>
            </w:pPr>
            <w:r w:rsidRPr="00D26C28">
              <w:rPr>
                <w:color w:val="000000" w:themeColor="text1"/>
                <w:sz w:val="14"/>
                <w:szCs w:val="14"/>
              </w:rPr>
              <w:t>2.05%</w:t>
            </w:r>
          </w:p>
        </w:tc>
        <w:tc>
          <w:tcPr>
            <w:tcW w:w="184" w:type="pct"/>
            <w:tcBorders>
              <w:top w:val="nil"/>
              <w:left w:val="nil"/>
              <w:bottom w:val="nil"/>
              <w:right w:val="nil"/>
            </w:tcBorders>
          </w:tcPr>
          <w:p w14:paraId="11A6E815"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4B222454" w14:textId="77777777" w:rsidR="0035380D" w:rsidRPr="00D26C28" w:rsidRDefault="0035380D" w:rsidP="00B6548B">
            <w:pPr>
              <w:jc w:val="center"/>
              <w:rPr>
                <w:color w:val="000000" w:themeColor="text1"/>
                <w:sz w:val="14"/>
                <w:szCs w:val="14"/>
              </w:rPr>
            </w:pPr>
            <w:r w:rsidRPr="00D26C28">
              <w:rPr>
                <w:color w:val="000000" w:themeColor="text1"/>
                <w:sz w:val="14"/>
                <w:szCs w:val="14"/>
              </w:rPr>
              <w:t>0.70%</w:t>
            </w:r>
          </w:p>
        </w:tc>
        <w:tc>
          <w:tcPr>
            <w:tcW w:w="440" w:type="pct"/>
            <w:tcBorders>
              <w:top w:val="nil"/>
              <w:left w:val="nil"/>
              <w:bottom w:val="nil"/>
              <w:right w:val="nil"/>
            </w:tcBorders>
            <w:shd w:val="clear" w:color="auto" w:fill="auto"/>
            <w:noWrap/>
            <w:vAlign w:val="bottom"/>
            <w:hideMark/>
          </w:tcPr>
          <w:p w14:paraId="77D874EB" w14:textId="77777777" w:rsidR="0035380D" w:rsidRPr="00D26C28" w:rsidRDefault="0035380D" w:rsidP="00B6548B">
            <w:pPr>
              <w:jc w:val="center"/>
              <w:rPr>
                <w:color w:val="000000" w:themeColor="text1"/>
                <w:sz w:val="14"/>
                <w:szCs w:val="14"/>
              </w:rPr>
            </w:pPr>
            <w:r w:rsidRPr="00D26C28">
              <w:rPr>
                <w:color w:val="000000" w:themeColor="text1"/>
                <w:sz w:val="14"/>
                <w:szCs w:val="14"/>
              </w:rPr>
              <w:t>1.08%</w:t>
            </w:r>
          </w:p>
        </w:tc>
        <w:tc>
          <w:tcPr>
            <w:tcW w:w="320" w:type="pct"/>
            <w:tcBorders>
              <w:top w:val="nil"/>
              <w:left w:val="nil"/>
              <w:bottom w:val="nil"/>
              <w:right w:val="nil"/>
            </w:tcBorders>
            <w:shd w:val="clear" w:color="auto" w:fill="auto"/>
            <w:noWrap/>
            <w:vAlign w:val="bottom"/>
            <w:hideMark/>
          </w:tcPr>
          <w:p w14:paraId="460A435F" w14:textId="77777777" w:rsidR="0035380D" w:rsidRPr="00D26C28" w:rsidRDefault="0035380D" w:rsidP="00B6548B">
            <w:pPr>
              <w:jc w:val="center"/>
              <w:rPr>
                <w:color w:val="000000" w:themeColor="text1"/>
                <w:sz w:val="14"/>
                <w:szCs w:val="14"/>
              </w:rPr>
            </w:pPr>
            <w:r w:rsidRPr="00D26C28">
              <w:rPr>
                <w:color w:val="000000" w:themeColor="text1"/>
                <w:sz w:val="14"/>
                <w:szCs w:val="14"/>
              </w:rPr>
              <w:t>1.76%</w:t>
            </w:r>
          </w:p>
        </w:tc>
        <w:tc>
          <w:tcPr>
            <w:tcW w:w="346" w:type="pct"/>
            <w:tcBorders>
              <w:top w:val="nil"/>
              <w:left w:val="nil"/>
              <w:bottom w:val="nil"/>
              <w:right w:val="nil"/>
            </w:tcBorders>
            <w:shd w:val="clear" w:color="auto" w:fill="auto"/>
            <w:noWrap/>
            <w:vAlign w:val="bottom"/>
            <w:hideMark/>
          </w:tcPr>
          <w:p w14:paraId="12C771D9" w14:textId="77777777" w:rsidR="0035380D" w:rsidRPr="00D26C28" w:rsidRDefault="0035380D" w:rsidP="00B6548B">
            <w:pPr>
              <w:jc w:val="center"/>
              <w:rPr>
                <w:color w:val="000000" w:themeColor="text1"/>
                <w:sz w:val="14"/>
                <w:szCs w:val="14"/>
              </w:rPr>
            </w:pPr>
            <w:r w:rsidRPr="00D26C28">
              <w:rPr>
                <w:color w:val="000000" w:themeColor="text1"/>
                <w:sz w:val="14"/>
                <w:szCs w:val="14"/>
              </w:rPr>
              <w:t>1.51%</w:t>
            </w:r>
          </w:p>
        </w:tc>
        <w:tc>
          <w:tcPr>
            <w:tcW w:w="123" w:type="pct"/>
            <w:tcBorders>
              <w:top w:val="nil"/>
              <w:left w:val="nil"/>
              <w:bottom w:val="nil"/>
              <w:right w:val="nil"/>
            </w:tcBorders>
          </w:tcPr>
          <w:p w14:paraId="08675F9C"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00CBABFB" w14:textId="77777777" w:rsidR="0035380D" w:rsidRPr="00D26C28" w:rsidRDefault="0035380D" w:rsidP="00B6548B">
            <w:pPr>
              <w:jc w:val="center"/>
              <w:rPr>
                <w:color w:val="000000" w:themeColor="text1"/>
                <w:sz w:val="14"/>
                <w:szCs w:val="14"/>
              </w:rPr>
            </w:pPr>
            <w:r w:rsidRPr="00D26C28">
              <w:rPr>
                <w:color w:val="000000" w:themeColor="text1"/>
                <w:sz w:val="14"/>
                <w:szCs w:val="14"/>
              </w:rPr>
              <w:t>1.61%</w:t>
            </w:r>
          </w:p>
        </w:tc>
        <w:tc>
          <w:tcPr>
            <w:tcW w:w="320" w:type="pct"/>
            <w:tcBorders>
              <w:top w:val="nil"/>
              <w:left w:val="nil"/>
              <w:bottom w:val="nil"/>
              <w:right w:val="nil"/>
            </w:tcBorders>
            <w:shd w:val="clear" w:color="auto" w:fill="auto"/>
            <w:noWrap/>
            <w:vAlign w:val="bottom"/>
            <w:hideMark/>
          </w:tcPr>
          <w:p w14:paraId="20917A87" w14:textId="77777777" w:rsidR="0035380D" w:rsidRPr="00D26C28" w:rsidRDefault="0035380D" w:rsidP="00B6548B">
            <w:pPr>
              <w:jc w:val="center"/>
              <w:rPr>
                <w:color w:val="000000" w:themeColor="text1"/>
                <w:sz w:val="14"/>
                <w:szCs w:val="14"/>
              </w:rPr>
            </w:pPr>
            <w:r w:rsidRPr="00D26C28">
              <w:rPr>
                <w:color w:val="000000" w:themeColor="text1"/>
                <w:sz w:val="14"/>
                <w:szCs w:val="14"/>
              </w:rPr>
              <w:t>1.83%</w:t>
            </w:r>
          </w:p>
        </w:tc>
        <w:tc>
          <w:tcPr>
            <w:tcW w:w="320" w:type="pct"/>
            <w:tcBorders>
              <w:top w:val="nil"/>
              <w:left w:val="nil"/>
              <w:bottom w:val="nil"/>
            </w:tcBorders>
            <w:shd w:val="clear" w:color="auto" w:fill="auto"/>
            <w:noWrap/>
            <w:vAlign w:val="bottom"/>
            <w:hideMark/>
          </w:tcPr>
          <w:p w14:paraId="08164552" w14:textId="77777777" w:rsidR="0035380D" w:rsidRPr="00D26C28" w:rsidRDefault="0035380D" w:rsidP="00B6548B">
            <w:pPr>
              <w:jc w:val="center"/>
              <w:rPr>
                <w:color w:val="000000" w:themeColor="text1"/>
                <w:sz w:val="14"/>
                <w:szCs w:val="14"/>
              </w:rPr>
            </w:pPr>
            <w:r w:rsidRPr="00D26C28">
              <w:rPr>
                <w:color w:val="000000" w:themeColor="text1"/>
                <w:sz w:val="14"/>
                <w:szCs w:val="14"/>
              </w:rPr>
              <w:t>2.05%</w:t>
            </w:r>
          </w:p>
        </w:tc>
        <w:tc>
          <w:tcPr>
            <w:tcW w:w="346" w:type="pct"/>
            <w:tcBorders>
              <w:top w:val="nil"/>
              <w:left w:val="nil"/>
              <w:bottom w:val="nil"/>
              <w:right w:val="nil"/>
            </w:tcBorders>
            <w:vAlign w:val="bottom"/>
          </w:tcPr>
          <w:p w14:paraId="596E0336" w14:textId="77777777" w:rsidR="0035380D" w:rsidRPr="00D26C28" w:rsidRDefault="0035380D" w:rsidP="00B6548B">
            <w:pPr>
              <w:jc w:val="center"/>
              <w:rPr>
                <w:color w:val="000000" w:themeColor="text1"/>
                <w:sz w:val="14"/>
                <w:szCs w:val="14"/>
              </w:rPr>
            </w:pPr>
            <w:r w:rsidRPr="00D26C28">
              <w:rPr>
                <w:color w:val="000000" w:themeColor="text1"/>
                <w:sz w:val="14"/>
                <w:szCs w:val="14"/>
              </w:rPr>
              <w:t>2.40%</w:t>
            </w:r>
          </w:p>
        </w:tc>
      </w:tr>
      <w:tr w:rsidR="0035380D" w:rsidRPr="00D26C28" w14:paraId="3FE611BF" w14:textId="77777777" w:rsidTr="006132B7">
        <w:trPr>
          <w:cantSplit/>
          <w:trHeight w:hRule="exact" w:val="255"/>
        </w:trPr>
        <w:tc>
          <w:tcPr>
            <w:tcW w:w="275" w:type="pct"/>
            <w:tcBorders>
              <w:top w:val="nil"/>
              <w:bottom w:val="nil"/>
              <w:right w:val="nil"/>
            </w:tcBorders>
            <w:shd w:val="clear" w:color="auto" w:fill="auto"/>
            <w:noWrap/>
            <w:vAlign w:val="bottom"/>
            <w:hideMark/>
          </w:tcPr>
          <w:p w14:paraId="3CEFF16E" w14:textId="77777777" w:rsidR="0035380D" w:rsidRPr="00D26C28" w:rsidRDefault="0035380D" w:rsidP="00B6548B">
            <w:pPr>
              <w:rPr>
                <w:color w:val="000000" w:themeColor="text1"/>
                <w:sz w:val="14"/>
                <w:szCs w:val="14"/>
              </w:rPr>
            </w:pPr>
          </w:p>
        </w:tc>
        <w:tc>
          <w:tcPr>
            <w:tcW w:w="434" w:type="pct"/>
            <w:tcBorders>
              <w:top w:val="nil"/>
              <w:left w:val="nil"/>
              <w:bottom w:val="nil"/>
              <w:right w:val="nil"/>
            </w:tcBorders>
            <w:shd w:val="clear" w:color="auto" w:fill="auto"/>
            <w:noWrap/>
            <w:vAlign w:val="bottom"/>
            <w:hideMark/>
          </w:tcPr>
          <w:p w14:paraId="5C0DDD1B" w14:textId="77777777" w:rsidR="0035380D" w:rsidRPr="00D26C28" w:rsidRDefault="0035380D" w:rsidP="00B6548B">
            <w:pPr>
              <w:rPr>
                <w:i/>
                <w:iCs/>
                <w:color w:val="000000" w:themeColor="text1"/>
                <w:sz w:val="14"/>
                <w:szCs w:val="14"/>
              </w:rPr>
            </w:pPr>
            <w:r w:rsidRPr="00D26C28">
              <w:rPr>
                <w:i/>
                <w:iCs/>
                <w:color w:val="000000" w:themeColor="text1"/>
                <w:sz w:val="14"/>
                <w:szCs w:val="14"/>
              </w:rPr>
              <w:t>t-</w:t>
            </w:r>
            <w:r w:rsidRPr="00D26C28">
              <w:rPr>
                <w:color w:val="000000" w:themeColor="text1"/>
                <w:sz w:val="14"/>
                <w:szCs w:val="14"/>
              </w:rPr>
              <w:t>statistics</w:t>
            </w:r>
          </w:p>
        </w:tc>
        <w:tc>
          <w:tcPr>
            <w:tcW w:w="320" w:type="pct"/>
            <w:tcBorders>
              <w:top w:val="nil"/>
              <w:left w:val="nil"/>
              <w:bottom w:val="nil"/>
              <w:right w:val="nil"/>
            </w:tcBorders>
            <w:shd w:val="clear" w:color="auto" w:fill="auto"/>
            <w:noWrap/>
            <w:vAlign w:val="bottom"/>
            <w:hideMark/>
          </w:tcPr>
          <w:p w14:paraId="1AE82DFA" w14:textId="77777777" w:rsidR="0035380D" w:rsidRPr="00D26C28" w:rsidRDefault="0035380D" w:rsidP="00B6548B">
            <w:pPr>
              <w:jc w:val="center"/>
              <w:rPr>
                <w:color w:val="000000" w:themeColor="text1"/>
                <w:sz w:val="14"/>
                <w:szCs w:val="14"/>
              </w:rPr>
            </w:pPr>
            <w:r w:rsidRPr="00D26C28">
              <w:rPr>
                <w:color w:val="000000" w:themeColor="text1"/>
                <w:sz w:val="14"/>
                <w:szCs w:val="14"/>
              </w:rPr>
              <w:t>2.58</w:t>
            </w:r>
          </w:p>
        </w:tc>
        <w:tc>
          <w:tcPr>
            <w:tcW w:w="320" w:type="pct"/>
            <w:tcBorders>
              <w:top w:val="nil"/>
              <w:left w:val="nil"/>
              <w:bottom w:val="nil"/>
              <w:right w:val="nil"/>
            </w:tcBorders>
            <w:shd w:val="clear" w:color="auto" w:fill="auto"/>
            <w:noWrap/>
            <w:vAlign w:val="bottom"/>
            <w:hideMark/>
          </w:tcPr>
          <w:p w14:paraId="58388924" w14:textId="77777777" w:rsidR="0035380D" w:rsidRPr="00D26C28" w:rsidRDefault="0035380D" w:rsidP="00B6548B">
            <w:pPr>
              <w:jc w:val="center"/>
              <w:rPr>
                <w:color w:val="000000" w:themeColor="text1"/>
                <w:sz w:val="14"/>
                <w:szCs w:val="14"/>
              </w:rPr>
            </w:pPr>
            <w:r w:rsidRPr="00D26C28">
              <w:rPr>
                <w:color w:val="000000" w:themeColor="text1"/>
                <w:sz w:val="14"/>
                <w:szCs w:val="14"/>
              </w:rPr>
              <w:t>2.11</w:t>
            </w:r>
          </w:p>
        </w:tc>
        <w:tc>
          <w:tcPr>
            <w:tcW w:w="320" w:type="pct"/>
            <w:tcBorders>
              <w:top w:val="nil"/>
              <w:left w:val="nil"/>
              <w:bottom w:val="nil"/>
              <w:right w:val="nil"/>
            </w:tcBorders>
            <w:shd w:val="clear" w:color="auto" w:fill="auto"/>
            <w:noWrap/>
            <w:vAlign w:val="bottom"/>
            <w:hideMark/>
          </w:tcPr>
          <w:p w14:paraId="0BF20233" w14:textId="77777777" w:rsidR="0035380D" w:rsidRPr="00D26C28" w:rsidRDefault="0035380D" w:rsidP="00B6548B">
            <w:pPr>
              <w:jc w:val="center"/>
              <w:rPr>
                <w:color w:val="000000" w:themeColor="text1"/>
                <w:sz w:val="14"/>
                <w:szCs w:val="14"/>
              </w:rPr>
            </w:pPr>
            <w:r w:rsidRPr="00D26C28">
              <w:rPr>
                <w:color w:val="000000" w:themeColor="text1"/>
                <w:sz w:val="14"/>
                <w:szCs w:val="14"/>
              </w:rPr>
              <w:t>3.36</w:t>
            </w:r>
          </w:p>
        </w:tc>
        <w:tc>
          <w:tcPr>
            <w:tcW w:w="293" w:type="pct"/>
            <w:tcBorders>
              <w:top w:val="nil"/>
              <w:left w:val="nil"/>
              <w:bottom w:val="nil"/>
              <w:right w:val="nil"/>
            </w:tcBorders>
            <w:shd w:val="clear" w:color="auto" w:fill="auto"/>
            <w:noWrap/>
            <w:vAlign w:val="bottom"/>
            <w:hideMark/>
          </w:tcPr>
          <w:p w14:paraId="5E4B0304" w14:textId="77777777" w:rsidR="0035380D" w:rsidRPr="00D26C28" w:rsidRDefault="0035380D" w:rsidP="00B6548B">
            <w:pPr>
              <w:jc w:val="center"/>
              <w:rPr>
                <w:color w:val="000000" w:themeColor="text1"/>
                <w:sz w:val="14"/>
                <w:szCs w:val="14"/>
              </w:rPr>
            </w:pPr>
            <w:r w:rsidRPr="00D26C28">
              <w:rPr>
                <w:color w:val="000000" w:themeColor="text1"/>
                <w:sz w:val="14"/>
                <w:szCs w:val="14"/>
              </w:rPr>
              <w:t>3.29</w:t>
            </w:r>
          </w:p>
        </w:tc>
        <w:tc>
          <w:tcPr>
            <w:tcW w:w="184" w:type="pct"/>
            <w:tcBorders>
              <w:top w:val="nil"/>
              <w:left w:val="nil"/>
              <w:bottom w:val="nil"/>
              <w:right w:val="nil"/>
            </w:tcBorders>
          </w:tcPr>
          <w:p w14:paraId="7EBF9BE6"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17CCB287" w14:textId="77777777" w:rsidR="0035380D" w:rsidRPr="00D26C28" w:rsidRDefault="0035380D" w:rsidP="00B6548B">
            <w:pPr>
              <w:jc w:val="center"/>
              <w:rPr>
                <w:color w:val="000000" w:themeColor="text1"/>
                <w:sz w:val="14"/>
                <w:szCs w:val="14"/>
              </w:rPr>
            </w:pPr>
            <w:r w:rsidRPr="00D26C28">
              <w:rPr>
                <w:color w:val="000000" w:themeColor="text1"/>
                <w:sz w:val="14"/>
                <w:szCs w:val="14"/>
              </w:rPr>
              <w:t>1.05</w:t>
            </w:r>
          </w:p>
        </w:tc>
        <w:tc>
          <w:tcPr>
            <w:tcW w:w="440" w:type="pct"/>
            <w:tcBorders>
              <w:top w:val="nil"/>
              <w:left w:val="nil"/>
              <w:bottom w:val="nil"/>
              <w:right w:val="nil"/>
            </w:tcBorders>
            <w:shd w:val="clear" w:color="auto" w:fill="auto"/>
            <w:noWrap/>
            <w:vAlign w:val="bottom"/>
            <w:hideMark/>
          </w:tcPr>
          <w:p w14:paraId="22E9B525" w14:textId="77777777" w:rsidR="0035380D" w:rsidRPr="00D26C28" w:rsidRDefault="0035380D" w:rsidP="00B6548B">
            <w:pPr>
              <w:jc w:val="center"/>
              <w:rPr>
                <w:color w:val="000000" w:themeColor="text1"/>
                <w:sz w:val="14"/>
                <w:szCs w:val="14"/>
              </w:rPr>
            </w:pPr>
            <w:r w:rsidRPr="00D26C28">
              <w:rPr>
                <w:color w:val="000000" w:themeColor="text1"/>
                <w:sz w:val="14"/>
                <w:szCs w:val="14"/>
              </w:rPr>
              <w:t>1.34</w:t>
            </w:r>
          </w:p>
        </w:tc>
        <w:tc>
          <w:tcPr>
            <w:tcW w:w="320" w:type="pct"/>
            <w:tcBorders>
              <w:top w:val="nil"/>
              <w:left w:val="nil"/>
              <w:bottom w:val="nil"/>
              <w:right w:val="nil"/>
            </w:tcBorders>
            <w:shd w:val="clear" w:color="auto" w:fill="auto"/>
            <w:noWrap/>
            <w:vAlign w:val="bottom"/>
            <w:hideMark/>
          </w:tcPr>
          <w:p w14:paraId="7AD70695" w14:textId="77777777" w:rsidR="0035380D" w:rsidRPr="00D26C28" w:rsidRDefault="0035380D" w:rsidP="00B6548B">
            <w:pPr>
              <w:jc w:val="center"/>
              <w:rPr>
                <w:color w:val="000000" w:themeColor="text1"/>
                <w:sz w:val="14"/>
                <w:szCs w:val="14"/>
              </w:rPr>
            </w:pPr>
            <w:r w:rsidRPr="00D26C28">
              <w:rPr>
                <w:color w:val="000000" w:themeColor="text1"/>
                <w:sz w:val="14"/>
                <w:szCs w:val="14"/>
              </w:rPr>
              <w:t>2.71</w:t>
            </w:r>
          </w:p>
        </w:tc>
        <w:tc>
          <w:tcPr>
            <w:tcW w:w="346" w:type="pct"/>
            <w:tcBorders>
              <w:top w:val="nil"/>
              <w:left w:val="nil"/>
              <w:bottom w:val="nil"/>
              <w:right w:val="nil"/>
            </w:tcBorders>
            <w:shd w:val="clear" w:color="auto" w:fill="auto"/>
            <w:noWrap/>
            <w:vAlign w:val="bottom"/>
            <w:hideMark/>
          </w:tcPr>
          <w:p w14:paraId="26248089" w14:textId="77777777" w:rsidR="0035380D" w:rsidRPr="00D26C28" w:rsidRDefault="0035380D" w:rsidP="00B6548B">
            <w:pPr>
              <w:jc w:val="center"/>
              <w:rPr>
                <w:color w:val="000000" w:themeColor="text1"/>
                <w:sz w:val="14"/>
                <w:szCs w:val="14"/>
              </w:rPr>
            </w:pPr>
            <w:r w:rsidRPr="00D26C28">
              <w:rPr>
                <w:color w:val="000000" w:themeColor="text1"/>
                <w:sz w:val="14"/>
                <w:szCs w:val="14"/>
              </w:rPr>
              <w:t>2.38</w:t>
            </w:r>
          </w:p>
        </w:tc>
        <w:tc>
          <w:tcPr>
            <w:tcW w:w="123" w:type="pct"/>
            <w:tcBorders>
              <w:top w:val="nil"/>
              <w:left w:val="nil"/>
              <w:bottom w:val="nil"/>
              <w:right w:val="nil"/>
            </w:tcBorders>
          </w:tcPr>
          <w:p w14:paraId="6163CBBA"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4C8B951B" w14:textId="77777777" w:rsidR="0035380D" w:rsidRPr="00D26C28" w:rsidRDefault="0035380D" w:rsidP="00B6548B">
            <w:pPr>
              <w:jc w:val="center"/>
              <w:rPr>
                <w:color w:val="000000" w:themeColor="text1"/>
                <w:sz w:val="14"/>
                <w:szCs w:val="14"/>
              </w:rPr>
            </w:pPr>
            <w:r w:rsidRPr="00D26C28">
              <w:rPr>
                <w:color w:val="000000" w:themeColor="text1"/>
                <w:sz w:val="14"/>
                <w:szCs w:val="14"/>
              </w:rPr>
              <w:t>3.27</w:t>
            </w:r>
          </w:p>
        </w:tc>
        <w:tc>
          <w:tcPr>
            <w:tcW w:w="320" w:type="pct"/>
            <w:tcBorders>
              <w:top w:val="nil"/>
              <w:left w:val="nil"/>
              <w:bottom w:val="nil"/>
              <w:right w:val="nil"/>
            </w:tcBorders>
            <w:shd w:val="clear" w:color="auto" w:fill="auto"/>
            <w:noWrap/>
            <w:vAlign w:val="bottom"/>
            <w:hideMark/>
          </w:tcPr>
          <w:p w14:paraId="21E41449" w14:textId="77777777" w:rsidR="0035380D" w:rsidRPr="00D26C28" w:rsidRDefault="0035380D" w:rsidP="00B6548B">
            <w:pPr>
              <w:jc w:val="center"/>
              <w:rPr>
                <w:color w:val="000000" w:themeColor="text1"/>
                <w:sz w:val="14"/>
                <w:szCs w:val="14"/>
              </w:rPr>
            </w:pPr>
            <w:r w:rsidRPr="00D26C28">
              <w:rPr>
                <w:color w:val="000000" w:themeColor="text1"/>
                <w:sz w:val="14"/>
                <w:szCs w:val="14"/>
              </w:rPr>
              <w:t>3.42</w:t>
            </w:r>
          </w:p>
        </w:tc>
        <w:tc>
          <w:tcPr>
            <w:tcW w:w="320" w:type="pct"/>
            <w:tcBorders>
              <w:top w:val="nil"/>
              <w:left w:val="nil"/>
              <w:bottom w:val="nil"/>
            </w:tcBorders>
            <w:shd w:val="clear" w:color="auto" w:fill="auto"/>
            <w:noWrap/>
            <w:vAlign w:val="bottom"/>
            <w:hideMark/>
          </w:tcPr>
          <w:p w14:paraId="45EB0870" w14:textId="77777777" w:rsidR="0035380D" w:rsidRPr="00D26C28" w:rsidRDefault="0035380D" w:rsidP="00B6548B">
            <w:pPr>
              <w:jc w:val="center"/>
              <w:rPr>
                <w:color w:val="000000" w:themeColor="text1"/>
                <w:sz w:val="14"/>
                <w:szCs w:val="14"/>
              </w:rPr>
            </w:pPr>
            <w:r w:rsidRPr="00D26C28">
              <w:rPr>
                <w:color w:val="000000" w:themeColor="text1"/>
                <w:sz w:val="14"/>
                <w:szCs w:val="14"/>
              </w:rPr>
              <w:t>2.44</w:t>
            </w:r>
          </w:p>
        </w:tc>
        <w:tc>
          <w:tcPr>
            <w:tcW w:w="346" w:type="pct"/>
            <w:tcBorders>
              <w:top w:val="nil"/>
              <w:left w:val="nil"/>
              <w:bottom w:val="nil"/>
              <w:right w:val="nil"/>
            </w:tcBorders>
            <w:vAlign w:val="bottom"/>
          </w:tcPr>
          <w:p w14:paraId="64AF9B4F" w14:textId="77777777" w:rsidR="0035380D" w:rsidRPr="00D26C28" w:rsidRDefault="0035380D" w:rsidP="00B6548B">
            <w:pPr>
              <w:jc w:val="center"/>
              <w:rPr>
                <w:color w:val="000000" w:themeColor="text1"/>
                <w:sz w:val="14"/>
                <w:szCs w:val="14"/>
              </w:rPr>
            </w:pPr>
            <w:r w:rsidRPr="00D26C28">
              <w:rPr>
                <w:color w:val="000000" w:themeColor="text1"/>
                <w:sz w:val="14"/>
                <w:szCs w:val="14"/>
              </w:rPr>
              <w:t>2.89</w:t>
            </w:r>
          </w:p>
        </w:tc>
      </w:tr>
      <w:tr w:rsidR="0035380D" w:rsidRPr="00D26C28" w14:paraId="29A33E04" w14:textId="77777777" w:rsidTr="006132B7">
        <w:trPr>
          <w:cantSplit/>
          <w:trHeight w:hRule="exact" w:val="255"/>
        </w:trPr>
        <w:tc>
          <w:tcPr>
            <w:tcW w:w="275" w:type="pct"/>
            <w:tcBorders>
              <w:top w:val="nil"/>
              <w:bottom w:val="nil"/>
              <w:right w:val="nil"/>
            </w:tcBorders>
            <w:shd w:val="clear" w:color="auto" w:fill="auto"/>
            <w:noWrap/>
            <w:vAlign w:val="bottom"/>
            <w:hideMark/>
          </w:tcPr>
          <w:p w14:paraId="7843A360"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55DF95A8" w14:textId="77777777" w:rsidR="0035380D" w:rsidRPr="00D26C28" w:rsidRDefault="0035380D" w:rsidP="00B6548B">
            <w:pPr>
              <w:rPr>
                <w:color w:val="000000" w:themeColor="text1"/>
                <w:sz w:val="14"/>
                <w:szCs w:val="14"/>
              </w:rPr>
            </w:pPr>
            <w:r w:rsidRPr="00D26C28">
              <w:rPr>
                <w:color w:val="000000" w:themeColor="text1"/>
                <w:sz w:val="14"/>
                <w:szCs w:val="14"/>
              </w:rPr>
              <w:t>Volatility</w:t>
            </w:r>
          </w:p>
        </w:tc>
        <w:tc>
          <w:tcPr>
            <w:tcW w:w="320" w:type="pct"/>
            <w:tcBorders>
              <w:top w:val="nil"/>
              <w:left w:val="nil"/>
              <w:bottom w:val="nil"/>
              <w:right w:val="nil"/>
            </w:tcBorders>
            <w:shd w:val="clear" w:color="auto" w:fill="auto"/>
            <w:noWrap/>
            <w:vAlign w:val="bottom"/>
            <w:hideMark/>
          </w:tcPr>
          <w:p w14:paraId="7D7D2A90" w14:textId="77777777" w:rsidR="0035380D" w:rsidRPr="00D26C28" w:rsidRDefault="0035380D" w:rsidP="00B6548B">
            <w:pPr>
              <w:jc w:val="center"/>
              <w:rPr>
                <w:color w:val="000000" w:themeColor="text1"/>
                <w:sz w:val="14"/>
                <w:szCs w:val="14"/>
              </w:rPr>
            </w:pPr>
            <w:r w:rsidRPr="00D26C28">
              <w:rPr>
                <w:color w:val="000000" w:themeColor="text1"/>
                <w:sz w:val="14"/>
                <w:szCs w:val="14"/>
              </w:rPr>
              <w:t>4.29%</w:t>
            </w:r>
          </w:p>
        </w:tc>
        <w:tc>
          <w:tcPr>
            <w:tcW w:w="320" w:type="pct"/>
            <w:tcBorders>
              <w:top w:val="nil"/>
              <w:left w:val="nil"/>
              <w:bottom w:val="nil"/>
              <w:right w:val="nil"/>
            </w:tcBorders>
            <w:shd w:val="clear" w:color="auto" w:fill="auto"/>
            <w:noWrap/>
            <w:vAlign w:val="bottom"/>
            <w:hideMark/>
          </w:tcPr>
          <w:p w14:paraId="45D6E307" w14:textId="77777777" w:rsidR="0035380D" w:rsidRPr="00D26C28" w:rsidRDefault="0035380D" w:rsidP="00B6548B">
            <w:pPr>
              <w:jc w:val="center"/>
              <w:rPr>
                <w:color w:val="000000" w:themeColor="text1"/>
                <w:sz w:val="14"/>
                <w:szCs w:val="14"/>
              </w:rPr>
            </w:pPr>
            <w:r w:rsidRPr="00D26C28">
              <w:rPr>
                <w:color w:val="000000" w:themeColor="text1"/>
                <w:sz w:val="14"/>
                <w:szCs w:val="14"/>
              </w:rPr>
              <w:t>5.41%</w:t>
            </w:r>
          </w:p>
        </w:tc>
        <w:tc>
          <w:tcPr>
            <w:tcW w:w="320" w:type="pct"/>
            <w:tcBorders>
              <w:top w:val="nil"/>
              <w:left w:val="nil"/>
              <w:bottom w:val="nil"/>
              <w:right w:val="nil"/>
            </w:tcBorders>
            <w:shd w:val="clear" w:color="auto" w:fill="auto"/>
            <w:noWrap/>
            <w:vAlign w:val="bottom"/>
            <w:hideMark/>
          </w:tcPr>
          <w:p w14:paraId="5FD0622D" w14:textId="77777777" w:rsidR="0035380D" w:rsidRPr="00D26C28" w:rsidRDefault="0035380D" w:rsidP="00B6548B">
            <w:pPr>
              <w:jc w:val="center"/>
              <w:rPr>
                <w:color w:val="000000" w:themeColor="text1"/>
                <w:sz w:val="14"/>
                <w:szCs w:val="14"/>
              </w:rPr>
            </w:pPr>
            <w:r w:rsidRPr="00D26C28">
              <w:rPr>
                <w:color w:val="000000" w:themeColor="text1"/>
                <w:sz w:val="14"/>
                <w:szCs w:val="14"/>
              </w:rPr>
              <w:t>5.24%</w:t>
            </w:r>
          </w:p>
        </w:tc>
        <w:tc>
          <w:tcPr>
            <w:tcW w:w="293" w:type="pct"/>
            <w:tcBorders>
              <w:top w:val="nil"/>
              <w:left w:val="nil"/>
              <w:bottom w:val="nil"/>
              <w:right w:val="nil"/>
            </w:tcBorders>
            <w:shd w:val="clear" w:color="auto" w:fill="auto"/>
            <w:noWrap/>
            <w:vAlign w:val="bottom"/>
            <w:hideMark/>
          </w:tcPr>
          <w:p w14:paraId="585341FF" w14:textId="77777777" w:rsidR="0035380D" w:rsidRPr="00D26C28" w:rsidRDefault="0035380D" w:rsidP="00B6548B">
            <w:pPr>
              <w:jc w:val="center"/>
              <w:rPr>
                <w:color w:val="000000" w:themeColor="text1"/>
                <w:sz w:val="14"/>
                <w:szCs w:val="14"/>
              </w:rPr>
            </w:pPr>
            <w:r w:rsidRPr="00D26C28">
              <w:rPr>
                <w:color w:val="000000" w:themeColor="text1"/>
                <w:sz w:val="14"/>
                <w:szCs w:val="14"/>
              </w:rPr>
              <w:t>5.53%</w:t>
            </w:r>
          </w:p>
        </w:tc>
        <w:tc>
          <w:tcPr>
            <w:tcW w:w="184" w:type="pct"/>
            <w:tcBorders>
              <w:top w:val="nil"/>
              <w:left w:val="nil"/>
              <w:bottom w:val="nil"/>
              <w:right w:val="nil"/>
            </w:tcBorders>
          </w:tcPr>
          <w:p w14:paraId="0D17B1D3"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610DAB7D" w14:textId="77777777" w:rsidR="0035380D" w:rsidRPr="00D26C28" w:rsidRDefault="0035380D" w:rsidP="00B6548B">
            <w:pPr>
              <w:jc w:val="center"/>
              <w:rPr>
                <w:color w:val="000000" w:themeColor="text1"/>
                <w:sz w:val="14"/>
                <w:szCs w:val="14"/>
              </w:rPr>
            </w:pPr>
            <w:r w:rsidRPr="00D26C28">
              <w:rPr>
                <w:color w:val="000000" w:themeColor="text1"/>
                <w:sz w:val="14"/>
                <w:szCs w:val="14"/>
              </w:rPr>
              <w:t>5.14%</w:t>
            </w:r>
          </w:p>
        </w:tc>
        <w:tc>
          <w:tcPr>
            <w:tcW w:w="440" w:type="pct"/>
            <w:tcBorders>
              <w:top w:val="nil"/>
              <w:left w:val="nil"/>
              <w:bottom w:val="nil"/>
              <w:right w:val="nil"/>
            </w:tcBorders>
            <w:shd w:val="clear" w:color="auto" w:fill="auto"/>
            <w:noWrap/>
            <w:vAlign w:val="bottom"/>
            <w:hideMark/>
          </w:tcPr>
          <w:p w14:paraId="6478D152" w14:textId="77777777" w:rsidR="0035380D" w:rsidRPr="00D26C28" w:rsidRDefault="0035380D" w:rsidP="00B6548B">
            <w:pPr>
              <w:jc w:val="center"/>
              <w:rPr>
                <w:color w:val="000000" w:themeColor="text1"/>
                <w:sz w:val="14"/>
                <w:szCs w:val="14"/>
              </w:rPr>
            </w:pPr>
            <w:r w:rsidRPr="00D26C28">
              <w:rPr>
                <w:color w:val="000000" w:themeColor="text1"/>
                <w:sz w:val="14"/>
                <w:szCs w:val="14"/>
              </w:rPr>
              <w:t>5.74%</w:t>
            </w:r>
          </w:p>
        </w:tc>
        <w:tc>
          <w:tcPr>
            <w:tcW w:w="320" w:type="pct"/>
            <w:tcBorders>
              <w:top w:val="nil"/>
              <w:left w:val="nil"/>
              <w:bottom w:val="nil"/>
              <w:right w:val="nil"/>
            </w:tcBorders>
            <w:shd w:val="clear" w:color="auto" w:fill="auto"/>
            <w:noWrap/>
            <w:vAlign w:val="bottom"/>
            <w:hideMark/>
          </w:tcPr>
          <w:p w14:paraId="0A031ABF" w14:textId="77777777" w:rsidR="0035380D" w:rsidRPr="00D26C28" w:rsidRDefault="0035380D" w:rsidP="00B6548B">
            <w:pPr>
              <w:jc w:val="center"/>
              <w:rPr>
                <w:color w:val="000000" w:themeColor="text1"/>
                <w:sz w:val="14"/>
                <w:szCs w:val="14"/>
              </w:rPr>
            </w:pPr>
            <w:r w:rsidRPr="00D26C28">
              <w:rPr>
                <w:color w:val="000000" w:themeColor="text1"/>
                <w:sz w:val="14"/>
                <w:szCs w:val="14"/>
              </w:rPr>
              <w:t>5.65%</w:t>
            </w:r>
          </w:p>
        </w:tc>
        <w:tc>
          <w:tcPr>
            <w:tcW w:w="346" w:type="pct"/>
            <w:tcBorders>
              <w:top w:val="nil"/>
              <w:left w:val="nil"/>
              <w:bottom w:val="nil"/>
              <w:right w:val="nil"/>
            </w:tcBorders>
            <w:shd w:val="clear" w:color="auto" w:fill="auto"/>
            <w:noWrap/>
            <w:vAlign w:val="bottom"/>
            <w:hideMark/>
          </w:tcPr>
          <w:p w14:paraId="3425D0B4" w14:textId="77777777" w:rsidR="0035380D" w:rsidRPr="00D26C28" w:rsidRDefault="0035380D" w:rsidP="00B6548B">
            <w:pPr>
              <w:jc w:val="center"/>
              <w:rPr>
                <w:color w:val="000000" w:themeColor="text1"/>
                <w:sz w:val="14"/>
                <w:szCs w:val="14"/>
              </w:rPr>
            </w:pPr>
            <w:r w:rsidRPr="00D26C28">
              <w:rPr>
                <w:color w:val="000000" w:themeColor="text1"/>
                <w:sz w:val="14"/>
                <w:szCs w:val="14"/>
              </w:rPr>
              <w:t>5.55%</w:t>
            </w:r>
          </w:p>
        </w:tc>
        <w:tc>
          <w:tcPr>
            <w:tcW w:w="123" w:type="pct"/>
            <w:tcBorders>
              <w:top w:val="nil"/>
              <w:left w:val="nil"/>
              <w:bottom w:val="nil"/>
              <w:right w:val="nil"/>
            </w:tcBorders>
          </w:tcPr>
          <w:p w14:paraId="29C44F86"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6B2BA21E" w14:textId="77777777" w:rsidR="0035380D" w:rsidRPr="00D26C28" w:rsidRDefault="0035380D" w:rsidP="00B6548B">
            <w:pPr>
              <w:jc w:val="center"/>
              <w:rPr>
                <w:color w:val="000000" w:themeColor="text1"/>
                <w:sz w:val="14"/>
                <w:szCs w:val="14"/>
              </w:rPr>
            </w:pPr>
            <w:r w:rsidRPr="00D26C28">
              <w:rPr>
                <w:color w:val="000000" w:themeColor="text1"/>
                <w:sz w:val="14"/>
                <w:szCs w:val="14"/>
              </w:rPr>
              <w:t>3.40%</w:t>
            </w:r>
          </w:p>
        </w:tc>
        <w:tc>
          <w:tcPr>
            <w:tcW w:w="320" w:type="pct"/>
            <w:tcBorders>
              <w:top w:val="nil"/>
              <w:left w:val="nil"/>
              <w:bottom w:val="nil"/>
              <w:right w:val="nil"/>
            </w:tcBorders>
            <w:shd w:val="clear" w:color="auto" w:fill="auto"/>
            <w:noWrap/>
            <w:vAlign w:val="bottom"/>
            <w:hideMark/>
          </w:tcPr>
          <w:p w14:paraId="03F73BF5" w14:textId="77777777" w:rsidR="0035380D" w:rsidRPr="00D26C28" w:rsidRDefault="0035380D" w:rsidP="00B6548B">
            <w:pPr>
              <w:jc w:val="center"/>
              <w:rPr>
                <w:color w:val="000000" w:themeColor="text1"/>
                <w:sz w:val="14"/>
                <w:szCs w:val="14"/>
              </w:rPr>
            </w:pPr>
            <w:r w:rsidRPr="00D26C28">
              <w:rPr>
                <w:color w:val="000000" w:themeColor="text1"/>
                <w:sz w:val="14"/>
                <w:szCs w:val="14"/>
              </w:rPr>
              <w:t>3.75%</w:t>
            </w:r>
          </w:p>
        </w:tc>
        <w:tc>
          <w:tcPr>
            <w:tcW w:w="320" w:type="pct"/>
            <w:tcBorders>
              <w:top w:val="nil"/>
              <w:left w:val="nil"/>
              <w:bottom w:val="nil"/>
            </w:tcBorders>
            <w:shd w:val="clear" w:color="auto" w:fill="auto"/>
            <w:noWrap/>
            <w:vAlign w:val="bottom"/>
            <w:hideMark/>
          </w:tcPr>
          <w:p w14:paraId="3EC3DE93" w14:textId="77777777" w:rsidR="0035380D" w:rsidRPr="00D26C28" w:rsidRDefault="0035380D" w:rsidP="00B6548B">
            <w:pPr>
              <w:jc w:val="center"/>
              <w:rPr>
                <w:color w:val="000000" w:themeColor="text1"/>
                <w:sz w:val="14"/>
                <w:szCs w:val="14"/>
              </w:rPr>
            </w:pPr>
            <w:r w:rsidRPr="00D26C28">
              <w:rPr>
                <w:color w:val="000000" w:themeColor="text1"/>
                <w:sz w:val="14"/>
                <w:szCs w:val="14"/>
              </w:rPr>
              <w:t>6.07%</w:t>
            </w:r>
          </w:p>
        </w:tc>
        <w:tc>
          <w:tcPr>
            <w:tcW w:w="346" w:type="pct"/>
            <w:tcBorders>
              <w:top w:val="nil"/>
              <w:left w:val="nil"/>
              <w:bottom w:val="nil"/>
              <w:right w:val="nil"/>
            </w:tcBorders>
            <w:vAlign w:val="bottom"/>
          </w:tcPr>
          <w:p w14:paraId="7B3E8C8F" w14:textId="77777777" w:rsidR="0035380D" w:rsidRPr="00D26C28" w:rsidRDefault="0035380D" w:rsidP="00B6548B">
            <w:pPr>
              <w:jc w:val="center"/>
              <w:rPr>
                <w:color w:val="000000" w:themeColor="text1"/>
                <w:sz w:val="14"/>
                <w:szCs w:val="14"/>
              </w:rPr>
            </w:pPr>
            <w:r w:rsidRPr="00D26C28">
              <w:rPr>
                <w:color w:val="000000" w:themeColor="text1"/>
                <w:sz w:val="14"/>
                <w:szCs w:val="14"/>
              </w:rPr>
              <w:t>6.27%</w:t>
            </w:r>
          </w:p>
        </w:tc>
      </w:tr>
      <w:tr w:rsidR="0035380D" w:rsidRPr="00D26C28" w14:paraId="10C419BF" w14:textId="77777777" w:rsidTr="006132B7">
        <w:trPr>
          <w:cantSplit/>
          <w:trHeight w:hRule="exact" w:val="279"/>
        </w:trPr>
        <w:tc>
          <w:tcPr>
            <w:tcW w:w="275" w:type="pct"/>
            <w:tcBorders>
              <w:top w:val="nil"/>
              <w:bottom w:val="nil"/>
              <w:right w:val="nil"/>
            </w:tcBorders>
            <w:shd w:val="clear" w:color="auto" w:fill="auto"/>
            <w:noWrap/>
            <w:vAlign w:val="bottom"/>
            <w:hideMark/>
          </w:tcPr>
          <w:p w14:paraId="768EE0DD"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62556E14" w14:textId="77777777" w:rsidR="0035380D" w:rsidRPr="00D26C28" w:rsidRDefault="0035380D" w:rsidP="00B6548B">
            <w:pPr>
              <w:rPr>
                <w:color w:val="000000" w:themeColor="text1"/>
                <w:sz w:val="14"/>
                <w:szCs w:val="14"/>
              </w:rPr>
            </w:pPr>
            <w:r w:rsidRPr="00D26C28">
              <w:rPr>
                <w:color w:val="000000" w:themeColor="text1"/>
                <w:sz w:val="14"/>
                <w:szCs w:val="14"/>
              </w:rPr>
              <w:t>Sharpe</w:t>
            </w:r>
          </w:p>
        </w:tc>
        <w:tc>
          <w:tcPr>
            <w:tcW w:w="320" w:type="pct"/>
            <w:tcBorders>
              <w:top w:val="nil"/>
              <w:left w:val="nil"/>
              <w:bottom w:val="nil"/>
              <w:right w:val="nil"/>
            </w:tcBorders>
            <w:shd w:val="clear" w:color="auto" w:fill="auto"/>
            <w:noWrap/>
            <w:vAlign w:val="bottom"/>
            <w:hideMark/>
          </w:tcPr>
          <w:p w14:paraId="026CCF69" w14:textId="77777777" w:rsidR="0035380D" w:rsidRPr="00D26C28" w:rsidRDefault="0035380D" w:rsidP="00B6548B">
            <w:pPr>
              <w:jc w:val="center"/>
              <w:rPr>
                <w:color w:val="000000" w:themeColor="text1"/>
                <w:sz w:val="14"/>
                <w:szCs w:val="14"/>
              </w:rPr>
            </w:pPr>
            <w:r w:rsidRPr="00D26C28">
              <w:rPr>
                <w:color w:val="000000" w:themeColor="text1"/>
                <w:sz w:val="14"/>
                <w:szCs w:val="14"/>
              </w:rPr>
              <w:t>0.91</w:t>
            </w:r>
          </w:p>
        </w:tc>
        <w:tc>
          <w:tcPr>
            <w:tcW w:w="320" w:type="pct"/>
            <w:tcBorders>
              <w:top w:val="nil"/>
              <w:left w:val="nil"/>
              <w:bottom w:val="nil"/>
              <w:right w:val="nil"/>
            </w:tcBorders>
            <w:shd w:val="clear" w:color="auto" w:fill="auto"/>
            <w:noWrap/>
            <w:vAlign w:val="bottom"/>
            <w:hideMark/>
          </w:tcPr>
          <w:p w14:paraId="235D8FF7" w14:textId="77777777" w:rsidR="0035380D" w:rsidRPr="00D26C28" w:rsidRDefault="0035380D" w:rsidP="00B6548B">
            <w:pPr>
              <w:jc w:val="center"/>
              <w:rPr>
                <w:color w:val="000000" w:themeColor="text1"/>
                <w:sz w:val="14"/>
                <w:szCs w:val="14"/>
              </w:rPr>
            </w:pPr>
            <w:r w:rsidRPr="00D26C28">
              <w:rPr>
                <w:color w:val="000000" w:themeColor="text1"/>
                <w:sz w:val="14"/>
                <w:szCs w:val="14"/>
              </w:rPr>
              <w:t>0.83</w:t>
            </w:r>
          </w:p>
        </w:tc>
        <w:tc>
          <w:tcPr>
            <w:tcW w:w="320" w:type="pct"/>
            <w:tcBorders>
              <w:top w:val="nil"/>
              <w:left w:val="nil"/>
              <w:bottom w:val="nil"/>
              <w:right w:val="nil"/>
            </w:tcBorders>
            <w:shd w:val="clear" w:color="auto" w:fill="auto"/>
            <w:noWrap/>
            <w:vAlign w:val="bottom"/>
            <w:hideMark/>
          </w:tcPr>
          <w:p w14:paraId="5768BFA3" w14:textId="77777777" w:rsidR="0035380D" w:rsidRPr="00D26C28" w:rsidRDefault="0035380D" w:rsidP="00B6548B">
            <w:pPr>
              <w:jc w:val="center"/>
              <w:rPr>
                <w:color w:val="000000" w:themeColor="text1"/>
                <w:sz w:val="14"/>
                <w:szCs w:val="14"/>
              </w:rPr>
            </w:pPr>
            <w:r w:rsidRPr="00D26C28">
              <w:rPr>
                <w:color w:val="000000" w:themeColor="text1"/>
                <w:sz w:val="14"/>
                <w:szCs w:val="14"/>
              </w:rPr>
              <w:t>1.32</w:t>
            </w:r>
          </w:p>
        </w:tc>
        <w:tc>
          <w:tcPr>
            <w:tcW w:w="293" w:type="pct"/>
            <w:tcBorders>
              <w:top w:val="nil"/>
              <w:left w:val="nil"/>
              <w:bottom w:val="nil"/>
              <w:right w:val="nil"/>
            </w:tcBorders>
            <w:shd w:val="clear" w:color="auto" w:fill="auto"/>
            <w:noWrap/>
            <w:vAlign w:val="bottom"/>
            <w:hideMark/>
          </w:tcPr>
          <w:p w14:paraId="688CB6F0" w14:textId="77777777" w:rsidR="0035380D" w:rsidRPr="00D26C28" w:rsidRDefault="0035380D" w:rsidP="00B6548B">
            <w:pPr>
              <w:jc w:val="center"/>
              <w:rPr>
                <w:color w:val="000000" w:themeColor="text1"/>
                <w:sz w:val="14"/>
                <w:szCs w:val="14"/>
              </w:rPr>
            </w:pPr>
            <w:r w:rsidRPr="00D26C28">
              <w:rPr>
                <w:color w:val="000000" w:themeColor="text1"/>
                <w:sz w:val="14"/>
                <w:szCs w:val="14"/>
              </w:rPr>
              <w:t>1.44</w:t>
            </w:r>
          </w:p>
        </w:tc>
        <w:tc>
          <w:tcPr>
            <w:tcW w:w="184" w:type="pct"/>
            <w:tcBorders>
              <w:top w:val="nil"/>
              <w:left w:val="nil"/>
              <w:bottom w:val="nil"/>
              <w:right w:val="nil"/>
            </w:tcBorders>
          </w:tcPr>
          <w:p w14:paraId="79531683"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03938D10" w14:textId="77777777" w:rsidR="0035380D" w:rsidRPr="00D26C28" w:rsidRDefault="0035380D" w:rsidP="00B6548B">
            <w:pPr>
              <w:jc w:val="center"/>
              <w:rPr>
                <w:color w:val="000000" w:themeColor="text1"/>
                <w:sz w:val="14"/>
                <w:szCs w:val="14"/>
              </w:rPr>
            </w:pPr>
            <w:r w:rsidRPr="00D26C28">
              <w:rPr>
                <w:color w:val="000000" w:themeColor="text1"/>
                <w:sz w:val="14"/>
                <w:szCs w:val="14"/>
              </w:rPr>
              <w:t>0.49</w:t>
            </w:r>
          </w:p>
        </w:tc>
        <w:tc>
          <w:tcPr>
            <w:tcW w:w="440" w:type="pct"/>
            <w:tcBorders>
              <w:top w:val="nil"/>
              <w:left w:val="nil"/>
              <w:bottom w:val="nil"/>
              <w:right w:val="nil"/>
            </w:tcBorders>
            <w:shd w:val="clear" w:color="auto" w:fill="auto"/>
            <w:noWrap/>
            <w:vAlign w:val="bottom"/>
            <w:hideMark/>
          </w:tcPr>
          <w:p w14:paraId="4E9760D3" w14:textId="77777777" w:rsidR="0035380D" w:rsidRPr="00D26C28" w:rsidRDefault="0035380D" w:rsidP="00B6548B">
            <w:pPr>
              <w:jc w:val="center"/>
              <w:rPr>
                <w:color w:val="000000" w:themeColor="text1"/>
                <w:sz w:val="14"/>
                <w:szCs w:val="14"/>
              </w:rPr>
            </w:pPr>
            <w:r w:rsidRPr="00D26C28">
              <w:rPr>
                <w:color w:val="000000" w:themeColor="text1"/>
                <w:sz w:val="14"/>
                <w:szCs w:val="14"/>
              </w:rPr>
              <w:t>0.69</w:t>
            </w:r>
          </w:p>
        </w:tc>
        <w:tc>
          <w:tcPr>
            <w:tcW w:w="320" w:type="pct"/>
            <w:tcBorders>
              <w:top w:val="nil"/>
              <w:left w:val="nil"/>
              <w:bottom w:val="nil"/>
              <w:right w:val="nil"/>
            </w:tcBorders>
            <w:shd w:val="clear" w:color="auto" w:fill="auto"/>
            <w:noWrap/>
            <w:vAlign w:val="bottom"/>
            <w:hideMark/>
          </w:tcPr>
          <w:p w14:paraId="206A5978" w14:textId="77777777" w:rsidR="0035380D" w:rsidRPr="00D26C28" w:rsidRDefault="0035380D" w:rsidP="00B6548B">
            <w:pPr>
              <w:jc w:val="center"/>
              <w:rPr>
                <w:color w:val="000000" w:themeColor="text1"/>
                <w:sz w:val="14"/>
                <w:szCs w:val="14"/>
              </w:rPr>
            </w:pPr>
            <w:r w:rsidRPr="00D26C28">
              <w:rPr>
                <w:color w:val="000000" w:themeColor="text1"/>
                <w:sz w:val="14"/>
                <w:szCs w:val="14"/>
              </w:rPr>
              <w:t>1.19</w:t>
            </w:r>
          </w:p>
        </w:tc>
        <w:tc>
          <w:tcPr>
            <w:tcW w:w="346" w:type="pct"/>
            <w:tcBorders>
              <w:top w:val="nil"/>
              <w:left w:val="nil"/>
              <w:bottom w:val="nil"/>
              <w:right w:val="nil"/>
            </w:tcBorders>
            <w:shd w:val="clear" w:color="auto" w:fill="auto"/>
            <w:noWrap/>
            <w:vAlign w:val="bottom"/>
            <w:hideMark/>
          </w:tcPr>
          <w:p w14:paraId="2AF709C4" w14:textId="77777777" w:rsidR="0035380D" w:rsidRPr="00D26C28" w:rsidRDefault="0035380D" w:rsidP="00B6548B">
            <w:pPr>
              <w:jc w:val="center"/>
              <w:rPr>
                <w:color w:val="000000" w:themeColor="text1"/>
                <w:sz w:val="14"/>
                <w:szCs w:val="14"/>
              </w:rPr>
            </w:pPr>
            <w:r w:rsidRPr="00D26C28">
              <w:rPr>
                <w:color w:val="000000" w:themeColor="text1"/>
                <w:sz w:val="14"/>
                <w:szCs w:val="14"/>
              </w:rPr>
              <w:t>1.03</w:t>
            </w:r>
          </w:p>
        </w:tc>
        <w:tc>
          <w:tcPr>
            <w:tcW w:w="123" w:type="pct"/>
            <w:tcBorders>
              <w:top w:val="nil"/>
              <w:left w:val="nil"/>
              <w:bottom w:val="nil"/>
              <w:right w:val="nil"/>
            </w:tcBorders>
          </w:tcPr>
          <w:p w14:paraId="623E6E61"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101D78B3" w14:textId="77777777" w:rsidR="0035380D" w:rsidRPr="00D26C28" w:rsidRDefault="0035380D" w:rsidP="00B6548B">
            <w:pPr>
              <w:jc w:val="center"/>
              <w:rPr>
                <w:color w:val="000000" w:themeColor="text1"/>
                <w:sz w:val="14"/>
                <w:szCs w:val="14"/>
              </w:rPr>
            </w:pPr>
            <w:r w:rsidRPr="00D26C28">
              <w:rPr>
                <w:color w:val="000000" w:themeColor="text1"/>
                <w:sz w:val="14"/>
                <w:szCs w:val="14"/>
              </w:rPr>
              <w:t>1.79</w:t>
            </w:r>
          </w:p>
        </w:tc>
        <w:tc>
          <w:tcPr>
            <w:tcW w:w="320" w:type="pct"/>
            <w:tcBorders>
              <w:top w:val="nil"/>
              <w:left w:val="nil"/>
              <w:bottom w:val="nil"/>
              <w:right w:val="nil"/>
            </w:tcBorders>
            <w:shd w:val="clear" w:color="auto" w:fill="auto"/>
            <w:noWrap/>
            <w:vAlign w:val="bottom"/>
            <w:hideMark/>
          </w:tcPr>
          <w:p w14:paraId="55AC2F5C" w14:textId="77777777" w:rsidR="0035380D" w:rsidRPr="00D26C28" w:rsidRDefault="0035380D" w:rsidP="00B6548B">
            <w:pPr>
              <w:jc w:val="center"/>
              <w:rPr>
                <w:color w:val="000000" w:themeColor="text1"/>
                <w:sz w:val="14"/>
                <w:szCs w:val="14"/>
              </w:rPr>
            </w:pPr>
            <w:r w:rsidRPr="00D26C28">
              <w:rPr>
                <w:color w:val="000000" w:themeColor="text1"/>
                <w:sz w:val="14"/>
                <w:szCs w:val="14"/>
              </w:rPr>
              <w:t>1.87</w:t>
            </w:r>
          </w:p>
        </w:tc>
        <w:tc>
          <w:tcPr>
            <w:tcW w:w="320" w:type="pct"/>
            <w:tcBorders>
              <w:top w:val="nil"/>
              <w:left w:val="nil"/>
              <w:bottom w:val="nil"/>
            </w:tcBorders>
            <w:shd w:val="clear" w:color="auto" w:fill="auto"/>
            <w:noWrap/>
            <w:vAlign w:val="bottom"/>
            <w:hideMark/>
          </w:tcPr>
          <w:p w14:paraId="49A1CF70" w14:textId="77777777" w:rsidR="0035380D" w:rsidRPr="00D26C28" w:rsidRDefault="0035380D" w:rsidP="00B6548B">
            <w:pPr>
              <w:jc w:val="center"/>
              <w:rPr>
                <w:color w:val="000000" w:themeColor="text1"/>
                <w:sz w:val="14"/>
                <w:szCs w:val="14"/>
              </w:rPr>
            </w:pPr>
            <w:r w:rsidRPr="00D26C28">
              <w:rPr>
                <w:color w:val="000000" w:themeColor="text1"/>
                <w:sz w:val="14"/>
                <w:szCs w:val="14"/>
              </w:rPr>
              <w:t>1.31</w:t>
            </w:r>
          </w:p>
        </w:tc>
        <w:tc>
          <w:tcPr>
            <w:tcW w:w="346" w:type="pct"/>
            <w:tcBorders>
              <w:top w:val="nil"/>
              <w:left w:val="nil"/>
              <w:bottom w:val="nil"/>
              <w:right w:val="nil"/>
            </w:tcBorders>
            <w:vAlign w:val="bottom"/>
          </w:tcPr>
          <w:p w14:paraId="5F9FCE8E" w14:textId="77777777" w:rsidR="0035380D" w:rsidRPr="00D26C28" w:rsidRDefault="0035380D" w:rsidP="00B6548B">
            <w:pPr>
              <w:jc w:val="center"/>
              <w:rPr>
                <w:color w:val="000000" w:themeColor="text1"/>
                <w:sz w:val="14"/>
                <w:szCs w:val="14"/>
              </w:rPr>
            </w:pPr>
            <w:r w:rsidRPr="00D26C28">
              <w:rPr>
                <w:color w:val="000000" w:themeColor="text1"/>
                <w:sz w:val="14"/>
                <w:szCs w:val="14"/>
              </w:rPr>
              <w:t>1.52</w:t>
            </w:r>
          </w:p>
        </w:tc>
      </w:tr>
      <w:tr w:rsidR="0035380D" w:rsidRPr="00D26C28" w14:paraId="383CDA5D" w14:textId="77777777" w:rsidTr="006132B7">
        <w:trPr>
          <w:cantSplit/>
          <w:trHeight w:hRule="exact" w:val="255"/>
        </w:trPr>
        <w:tc>
          <w:tcPr>
            <w:tcW w:w="275" w:type="pct"/>
            <w:tcBorders>
              <w:top w:val="nil"/>
              <w:bottom w:val="nil"/>
              <w:right w:val="nil"/>
            </w:tcBorders>
            <w:shd w:val="clear" w:color="auto" w:fill="auto"/>
            <w:noWrap/>
            <w:vAlign w:val="bottom"/>
            <w:hideMark/>
          </w:tcPr>
          <w:p w14:paraId="4E1C670A" w14:textId="77777777" w:rsidR="0035380D" w:rsidRPr="00D26C28" w:rsidRDefault="0035380D" w:rsidP="00B6548B">
            <w:pPr>
              <w:rPr>
                <w:color w:val="000000" w:themeColor="text1"/>
                <w:sz w:val="14"/>
                <w:szCs w:val="14"/>
              </w:rPr>
            </w:pPr>
            <w:r w:rsidRPr="00D26C28">
              <w:rPr>
                <w:color w:val="000000" w:themeColor="text1"/>
                <w:sz w:val="14"/>
                <w:szCs w:val="14"/>
              </w:rPr>
              <w:t>2010</w:t>
            </w:r>
          </w:p>
        </w:tc>
        <w:tc>
          <w:tcPr>
            <w:tcW w:w="434" w:type="pct"/>
            <w:tcBorders>
              <w:top w:val="nil"/>
              <w:left w:val="nil"/>
              <w:bottom w:val="nil"/>
              <w:right w:val="nil"/>
            </w:tcBorders>
            <w:shd w:val="clear" w:color="auto" w:fill="auto"/>
            <w:noWrap/>
            <w:vAlign w:val="bottom"/>
            <w:hideMark/>
          </w:tcPr>
          <w:p w14:paraId="32A9BC61" w14:textId="77777777" w:rsidR="0035380D" w:rsidRPr="00D26C28" w:rsidRDefault="0035380D" w:rsidP="00B6548B">
            <w:pPr>
              <w:rPr>
                <w:color w:val="000000" w:themeColor="text1"/>
                <w:sz w:val="14"/>
                <w:szCs w:val="14"/>
              </w:rPr>
            </w:pPr>
            <w:r w:rsidRPr="00D26C28">
              <w:rPr>
                <w:color w:val="000000" w:themeColor="text1"/>
                <w:sz w:val="14"/>
                <w:szCs w:val="14"/>
              </w:rPr>
              <w:t>Returns</w:t>
            </w:r>
          </w:p>
        </w:tc>
        <w:tc>
          <w:tcPr>
            <w:tcW w:w="320" w:type="pct"/>
            <w:tcBorders>
              <w:top w:val="nil"/>
              <w:left w:val="nil"/>
              <w:bottom w:val="nil"/>
              <w:right w:val="nil"/>
            </w:tcBorders>
            <w:shd w:val="clear" w:color="auto" w:fill="auto"/>
            <w:noWrap/>
            <w:vAlign w:val="bottom"/>
            <w:hideMark/>
          </w:tcPr>
          <w:p w14:paraId="34ACB599" w14:textId="77777777" w:rsidR="0035380D" w:rsidRPr="00D26C28" w:rsidRDefault="0035380D" w:rsidP="00B6548B">
            <w:pPr>
              <w:jc w:val="center"/>
              <w:rPr>
                <w:color w:val="000000" w:themeColor="text1"/>
                <w:sz w:val="14"/>
                <w:szCs w:val="14"/>
              </w:rPr>
            </w:pPr>
            <w:r w:rsidRPr="00D26C28">
              <w:rPr>
                <w:color w:val="000000" w:themeColor="text1"/>
                <w:sz w:val="14"/>
                <w:szCs w:val="14"/>
              </w:rPr>
              <w:t>1.34%</w:t>
            </w:r>
          </w:p>
        </w:tc>
        <w:tc>
          <w:tcPr>
            <w:tcW w:w="320" w:type="pct"/>
            <w:tcBorders>
              <w:top w:val="nil"/>
              <w:left w:val="nil"/>
              <w:bottom w:val="nil"/>
              <w:right w:val="nil"/>
            </w:tcBorders>
            <w:shd w:val="clear" w:color="auto" w:fill="auto"/>
            <w:noWrap/>
            <w:vAlign w:val="bottom"/>
            <w:hideMark/>
          </w:tcPr>
          <w:p w14:paraId="60BF78AF" w14:textId="77777777" w:rsidR="0035380D" w:rsidRPr="00D26C28" w:rsidRDefault="0035380D" w:rsidP="00B6548B">
            <w:pPr>
              <w:jc w:val="center"/>
              <w:rPr>
                <w:color w:val="000000" w:themeColor="text1"/>
                <w:sz w:val="14"/>
                <w:szCs w:val="14"/>
              </w:rPr>
            </w:pPr>
            <w:r w:rsidRPr="00D26C28">
              <w:rPr>
                <w:color w:val="000000" w:themeColor="text1"/>
                <w:sz w:val="14"/>
                <w:szCs w:val="14"/>
              </w:rPr>
              <w:t>1.72%</w:t>
            </w:r>
          </w:p>
        </w:tc>
        <w:tc>
          <w:tcPr>
            <w:tcW w:w="320" w:type="pct"/>
            <w:tcBorders>
              <w:top w:val="nil"/>
              <w:left w:val="nil"/>
              <w:bottom w:val="nil"/>
              <w:right w:val="nil"/>
            </w:tcBorders>
            <w:shd w:val="clear" w:color="auto" w:fill="auto"/>
            <w:noWrap/>
            <w:vAlign w:val="bottom"/>
            <w:hideMark/>
          </w:tcPr>
          <w:p w14:paraId="2C85C411" w14:textId="77777777" w:rsidR="0035380D" w:rsidRPr="00D26C28" w:rsidRDefault="0035380D" w:rsidP="00B6548B">
            <w:pPr>
              <w:jc w:val="center"/>
              <w:rPr>
                <w:color w:val="000000" w:themeColor="text1"/>
                <w:sz w:val="14"/>
                <w:szCs w:val="14"/>
              </w:rPr>
            </w:pPr>
            <w:r w:rsidRPr="00D26C28">
              <w:rPr>
                <w:color w:val="000000" w:themeColor="text1"/>
                <w:sz w:val="14"/>
                <w:szCs w:val="14"/>
              </w:rPr>
              <w:t>2.07%</w:t>
            </w:r>
          </w:p>
        </w:tc>
        <w:tc>
          <w:tcPr>
            <w:tcW w:w="293" w:type="pct"/>
            <w:tcBorders>
              <w:top w:val="nil"/>
              <w:left w:val="nil"/>
              <w:bottom w:val="nil"/>
              <w:right w:val="nil"/>
            </w:tcBorders>
            <w:shd w:val="clear" w:color="auto" w:fill="auto"/>
            <w:noWrap/>
            <w:vAlign w:val="bottom"/>
            <w:hideMark/>
          </w:tcPr>
          <w:p w14:paraId="22BF88A2" w14:textId="77777777" w:rsidR="0035380D" w:rsidRPr="00D26C28" w:rsidRDefault="0035380D" w:rsidP="00B6548B">
            <w:pPr>
              <w:jc w:val="center"/>
              <w:rPr>
                <w:color w:val="000000" w:themeColor="text1"/>
                <w:sz w:val="14"/>
                <w:szCs w:val="14"/>
              </w:rPr>
            </w:pPr>
            <w:r w:rsidRPr="00D26C28">
              <w:rPr>
                <w:color w:val="000000" w:themeColor="text1"/>
                <w:sz w:val="14"/>
                <w:szCs w:val="14"/>
              </w:rPr>
              <w:t>2.51%</w:t>
            </w:r>
          </w:p>
        </w:tc>
        <w:tc>
          <w:tcPr>
            <w:tcW w:w="184" w:type="pct"/>
            <w:tcBorders>
              <w:top w:val="nil"/>
              <w:left w:val="nil"/>
              <w:bottom w:val="nil"/>
              <w:right w:val="nil"/>
            </w:tcBorders>
          </w:tcPr>
          <w:p w14:paraId="28E97B21"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20257762" w14:textId="77777777" w:rsidR="0035380D" w:rsidRPr="00D26C28" w:rsidRDefault="0035380D" w:rsidP="00B6548B">
            <w:pPr>
              <w:jc w:val="center"/>
              <w:rPr>
                <w:color w:val="000000" w:themeColor="text1"/>
                <w:sz w:val="14"/>
                <w:szCs w:val="14"/>
              </w:rPr>
            </w:pPr>
            <w:r w:rsidRPr="00D26C28">
              <w:rPr>
                <w:color w:val="000000" w:themeColor="text1"/>
                <w:sz w:val="14"/>
                <w:szCs w:val="14"/>
              </w:rPr>
              <w:t>1.39%</w:t>
            </w:r>
          </w:p>
        </w:tc>
        <w:tc>
          <w:tcPr>
            <w:tcW w:w="440" w:type="pct"/>
            <w:tcBorders>
              <w:top w:val="nil"/>
              <w:left w:val="nil"/>
              <w:bottom w:val="nil"/>
              <w:right w:val="nil"/>
            </w:tcBorders>
            <w:shd w:val="clear" w:color="auto" w:fill="auto"/>
            <w:noWrap/>
            <w:vAlign w:val="bottom"/>
            <w:hideMark/>
          </w:tcPr>
          <w:p w14:paraId="5861AEA3" w14:textId="77777777" w:rsidR="0035380D" w:rsidRPr="00D26C28" w:rsidRDefault="0035380D" w:rsidP="00B6548B">
            <w:pPr>
              <w:jc w:val="center"/>
              <w:rPr>
                <w:color w:val="000000" w:themeColor="text1"/>
                <w:sz w:val="14"/>
                <w:szCs w:val="14"/>
              </w:rPr>
            </w:pPr>
            <w:r w:rsidRPr="00D26C28">
              <w:rPr>
                <w:color w:val="000000" w:themeColor="text1"/>
                <w:sz w:val="14"/>
                <w:szCs w:val="14"/>
              </w:rPr>
              <w:t>1.95%</w:t>
            </w:r>
          </w:p>
        </w:tc>
        <w:tc>
          <w:tcPr>
            <w:tcW w:w="320" w:type="pct"/>
            <w:tcBorders>
              <w:top w:val="nil"/>
              <w:left w:val="nil"/>
              <w:bottom w:val="nil"/>
              <w:right w:val="nil"/>
            </w:tcBorders>
            <w:shd w:val="clear" w:color="auto" w:fill="auto"/>
            <w:noWrap/>
            <w:vAlign w:val="bottom"/>
            <w:hideMark/>
          </w:tcPr>
          <w:p w14:paraId="36757A5B" w14:textId="77777777" w:rsidR="0035380D" w:rsidRPr="00D26C28" w:rsidRDefault="0035380D" w:rsidP="00B6548B">
            <w:pPr>
              <w:jc w:val="center"/>
              <w:rPr>
                <w:color w:val="000000" w:themeColor="text1"/>
                <w:sz w:val="14"/>
                <w:szCs w:val="14"/>
              </w:rPr>
            </w:pPr>
            <w:r w:rsidRPr="00D26C28">
              <w:rPr>
                <w:color w:val="000000" w:themeColor="text1"/>
                <w:sz w:val="14"/>
                <w:szCs w:val="14"/>
              </w:rPr>
              <w:t>2.21%</w:t>
            </w:r>
          </w:p>
        </w:tc>
        <w:tc>
          <w:tcPr>
            <w:tcW w:w="346" w:type="pct"/>
            <w:tcBorders>
              <w:top w:val="nil"/>
              <w:left w:val="nil"/>
              <w:bottom w:val="nil"/>
              <w:right w:val="nil"/>
            </w:tcBorders>
            <w:shd w:val="clear" w:color="auto" w:fill="auto"/>
            <w:noWrap/>
            <w:vAlign w:val="bottom"/>
            <w:hideMark/>
          </w:tcPr>
          <w:p w14:paraId="53E3D86A" w14:textId="77777777" w:rsidR="0035380D" w:rsidRPr="00D26C28" w:rsidRDefault="0035380D" w:rsidP="00B6548B">
            <w:pPr>
              <w:jc w:val="center"/>
              <w:rPr>
                <w:color w:val="000000" w:themeColor="text1"/>
                <w:sz w:val="14"/>
                <w:szCs w:val="14"/>
              </w:rPr>
            </w:pPr>
            <w:r w:rsidRPr="00D26C28">
              <w:rPr>
                <w:color w:val="000000" w:themeColor="text1"/>
                <w:sz w:val="14"/>
                <w:szCs w:val="14"/>
              </w:rPr>
              <w:t>2.07%</w:t>
            </w:r>
          </w:p>
        </w:tc>
        <w:tc>
          <w:tcPr>
            <w:tcW w:w="123" w:type="pct"/>
            <w:tcBorders>
              <w:top w:val="nil"/>
              <w:left w:val="nil"/>
              <w:bottom w:val="nil"/>
              <w:right w:val="nil"/>
            </w:tcBorders>
          </w:tcPr>
          <w:p w14:paraId="66F22ECD"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73FA5592" w14:textId="77777777" w:rsidR="0035380D" w:rsidRPr="00D26C28" w:rsidRDefault="0035380D" w:rsidP="00B6548B">
            <w:pPr>
              <w:jc w:val="center"/>
              <w:rPr>
                <w:color w:val="000000" w:themeColor="text1"/>
                <w:sz w:val="14"/>
                <w:szCs w:val="14"/>
              </w:rPr>
            </w:pPr>
            <w:r w:rsidRPr="00D26C28">
              <w:rPr>
                <w:color w:val="000000" w:themeColor="text1"/>
                <w:sz w:val="14"/>
                <w:szCs w:val="14"/>
              </w:rPr>
              <w:t>0.98%</w:t>
            </w:r>
          </w:p>
        </w:tc>
        <w:tc>
          <w:tcPr>
            <w:tcW w:w="320" w:type="pct"/>
            <w:tcBorders>
              <w:top w:val="nil"/>
              <w:left w:val="nil"/>
              <w:bottom w:val="nil"/>
              <w:right w:val="nil"/>
            </w:tcBorders>
            <w:shd w:val="clear" w:color="auto" w:fill="auto"/>
            <w:noWrap/>
            <w:vAlign w:val="bottom"/>
            <w:hideMark/>
          </w:tcPr>
          <w:p w14:paraId="65B1BFD7" w14:textId="77777777" w:rsidR="0035380D" w:rsidRPr="00D26C28" w:rsidRDefault="0035380D" w:rsidP="00B6548B">
            <w:pPr>
              <w:jc w:val="center"/>
              <w:rPr>
                <w:color w:val="000000" w:themeColor="text1"/>
                <w:sz w:val="14"/>
                <w:szCs w:val="14"/>
              </w:rPr>
            </w:pPr>
            <w:r w:rsidRPr="00D26C28">
              <w:rPr>
                <w:color w:val="000000" w:themeColor="text1"/>
                <w:sz w:val="14"/>
                <w:szCs w:val="14"/>
              </w:rPr>
              <w:t>1.15%</w:t>
            </w:r>
          </w:p>
        </w:tc>
        <w:tc>
          <w:tcPr>
            <w:tcW w:w="320" w:type="pct"/>
            <w:tcBorders>
              <w:top w:val="nil"/>
              <w:left w:val="nil"/>
              <w:bottom w:val="nil"/>
            </w:tcBorders>
            <w:shd w:val="clear" w:color="auto" w:fill="auto"/>
            <w:noWrap/>
            <w:vAlign w:val="bottom"/>
            <w:hideMark/>
          </w:tcPr>
          <w:p w14:paraId="6F199A68" w14:textId="77777777" w:rsidR="0035380D" w:rsidRPr="00D26C28" w:rsidRDefault="0035380D" w:rsidP="00B6548B">
            <w:pPr>
              <w:jc w:val="center"/>
              <w:rPr>
                <w:color w:val="000000" w:themeColor="text1"/>
                <w:sz w:val="14"/>
                <w:szCs w:val="14"/>
              </w:rPr>
            </w:pPr>
            <w:r w:rsidRPr="00D26C28">
              <w:rPr>
                <w:color w:val="000000" w:themeColor="text1"/>
                <w:sz w:val="14"/>
                <w:szCs w:val="14"/>
              </w:rPr>
              <w:t>0.96%</w:t>
            </w:r>
          </w:p>
        </w:tc>
        <w:tc>
          <w:tcPr>
            <w:tcW w:w="346" w:type="pct"/>
            <w:tcBorders>
              <w:top w:val="nil"/>
              <w:left w:val="nil"/>
              <w:bottom w:val="nil"/>
              <w:right w:val="nil"/>
            </w:tcBorders>
            <w:vAlign w:val="bottom"/>
          </w:tcPr>
          <w:p w14:paraId="444578EC" w14:textId="77777777" w:rsidR="0035380D" w:rsidRPr="00D26C28" w:rsidRDefault="0035380D" w:rsidP="00B6548B">
            <w:pPr>
              <w:jc w:val="center"/>
              <w:rPr>
                <w:color w:val="000000" w:themeColor="text1"/>
                <w:sz w:val="14"/>
                <w:szCs w:val="14"/>
              </w:rPr>
            </w:pPr>
            <w:r w:rsidRPr="00D26C28">
              <w:rPr>
                <w:color w:val="000000" w:themeColor="text1"/>
                <w:sz w:val="14"/>
                <w:szCs w:val="14"/>
              </w:rPr>
              <w:t>1.33%</w:t>
            </w:r>
          </w:p>
        </w:tc>
      </w:tr>
      <w:tr w:rsidR="0035380D" w:rsidRPr="00D26C28" w14:paraId="4B62F0D7" w14:textId="77777777" w:rsidTr="006132B7">
        <w:trPr>
          <w:cantSplit/>
          <w:trHeight w:hRule="exact" w:val="255"/>
        </w:trPr>
        <w:tc>
          <w:tcPr>
            <w:tcW w:w="275" w:type="pct"/>
            <w:tcBorders>
              <w:top w:val="nil"/>
              <w:bottom w:val="nil"/>
              <w:right w:val="nil"/>
            </w:tcBorders>
            <w:shd w:val="clear" w:color="auto" w:fill="auto"/>
            <w:noWrap/>
            <w:vAlign w:val="bottom"/>
            <w:hideMark/>
          </w:tcPr>
          <w:p w14:paraId="1191F974" w14:textId="77777777" w:rsidR="0035380D" w:rsidRPr="00D26C28" w:rsidRDefault="0035380D" w:rsidP="00B6548B">
            <w:pPr>
              <w:rPr>
                <w:color w:val="000000" w:themeColor="text1"/>
                <w:sz w:val="14"/>
                <w:szCs w:val="14"/>
              </w:rPr>
            </w:pPr>
          </w:p>
        </w:tc>
        <w:tc>
          <w:tcPr>
            <w:tcW w:w="434" w:type="pct"/>
            <w:tcBorders>
              <w:top w:val="nil"/>
              <w:left w:val="nil"/>
              <w:bottom w:val="nil"/>
              <w:right w:val="nil"/>
            </w:tcBorders>
            <w:shd w:val="clear" w:color="auto" w:fill="auto"/>
            <w:noWrap/>
            <w:vAlign w:val="bottom"/>
            <w:hideMark/>
          </w:tcPr>
          <w:p w14:paraId="281B9E8D" w14:textId="77777777" w:rsidR="0035380D" w:rsidRPr="00D26C28" w:rsidRDefault="0035380D" w:rsidP="00B6548B">
            <w:pPr>
              <w:rPr>
                <w:i/>
                <w:iCs/>
                <w:color w:val="000000" w:themeColor="text1"/>
                <w:sz w:val="14"/>
                <w:szCs w:val="14"/>
              </w:rPr>
            </w:pPr>
            <w:r w:rsidRPr="00D26C28">
              <w:rPr>
                <w:i/>
                <w:iCs/>
                <w:color w:val="000000" w:themeColor="text1"/>
                <w:sz w:val="14"/>
                <w:szCs w:val="14"/>
              </w:rPr>
              <w:t>t-</w:t>
            </w:r>
            <w:r w:rsidRPr="00D26C28">
              <w:rPr>
                <w:color w:val="000000" w:themeColor="text1"/>
                <w:sz w:val="14"/>
                <w:szCs w:val="14"/>
              </w:rPr>
              <w:t>statistics</w:t>
            </w:r>
          </w:p>
        </w:tc>
        <w:tc>
          <w:tcPr>
            <w:tcW w:w="320" w:type="pct"/>
            <w:tcBorders>
              <w:top w:val="nil"/>
              <w:left w:val="nil"/>
              <w:bottom w:val="nil"/>
              <w:right w:val="nil"/>
            </w:tcBorders>
            <w:shd w:val="clear" w:color="auto" w:fill="auto"/>
            <w:noWrap/>
            <w:vAlign w:val="bottom"/>
            <w:hideMark/>
          </w:tcPr>
          <w:p w14:paraId="469E3EAB" w14:textId="77777777" w:rsidR="0035380D" w:rsidRPr="00D26C28" w:rsidRDefault="0035380D" w:rsidP="00B6548B">
            <w:pPr>
              <w:jc w:val="center"/>
              <w:rPr>
                <w:color w:val="000000" w:themeColor="text1"/>
                <w:sz w:val="14"/>
                <w:szCs w:val="14"/>
              </w:rPr>
            </w:pPr>
            <w:r w:rsidRPr="00D26C28">
              <w:rPr>
                <w:color w:val="000000" w:themeColor="text1"/>
                <w:sz w:val="14"/>
                <w:szCs w:val="14"/>
              </w:rPr>
              <w:t>3.81</w:t>
            </w:r>
          </w:p>
        </w:tc>
        <w:tc>
          <w:tcPr>
            <w:tcW w:w="320" w:type="pct"/>
            <w:tcBorders>
              <w:top w:val="nil"/>
              <w:left w:val="nil"/>
              <w:bottom w:val="nil"/>
              <w:right w:val="nil"/>
            </w:tcBorders>
            <w:shd w:val="clear" w:color="auto" w:fill="auto"/>
            <w:noWrap/>
            <w:vAlign w:val="bottom"/>
            <w:hideMark/>
          </w:tcPr>
          <w:p w14:paraId="3FD70FD8" w14:textId="77777777" w:rsidR="0035380D" w:rsidRPr="00D26C28" w:rsidRDefault="0035380D" w:rsidP="00B6548B">
            <w:pPr>
              <w:jc w:val="center"/>
              <w:rPr>
                <w:color w:val="000000" w:themeColor="text1"/>
                <w:sz w:val="14"/>
                <w:szCs w:val="14"/>
              </w:rPr>
            </w:pPr>
            <w:r w:rsidRPr="00D26C28">
              <w:rPr>
                <w:color w:val="000000" w:themeColor="text1"/>
                <w:sz w:val="14"/>
                <w:szCs w:val="14"/>
              </w:rPr>
              <w:t>3.39</w:t>
            </w:r>
          </w:p>
        </w:tc>
        <w:tc>
          <w:tcPr>
            <w:tcW w:w="320" w:type="pct"/>
            <w:tcBorders>
              <w:top w:val="nil"/>
              <w:left w:val="nil"/>
              <w:bottom w:val="nil"/>
              <w:right w:val="nil"/>
            </w:tcBorders>
            <w:shd w:val="clear" w:color="auto" w:fill="auto"/>
            <w:noWrap/>
            <w:vAlign w:val="bottom"/>
            <w:hideMark/>
          </w:tcPr>
          <w:p w14:paraId="3887B69F" w14:textId="77777777" w:rsidR="0035380D" w:rsidRPr="00D26C28" w:rsidRDefault="0035380D" w:rsidP="00B6548B">
            <w:pPr>
              <w:jc w:val="center"/>
              <w:rPr>
                <w:color w:val="000000" w:themeColor="text1"/>
                <w:sz w:val="14"/>
                <w:szCs w:val="14"/>
              </w:rPr>
            </w:pPr>
            <w:r w:rsidRPr="00D26C28">
              <w:rPr>
                <w:color w:val="000000" w:themeColor="text1"/>
                <w:sz w:val="14"/>
                <w:szCs w:val="14"/>
              </w:rPr>
              <w:t>3.99</w:t>
            </w:r>
          </w:p>
        </w:tc>
        <w:tc>
          <w:tcPr>
            <w:tcW w:w="293" w:type="pct"/>
            <w:tcBorders>
              <w:top w:val="nil"/>
              <w:left w:val="nil"/>
              <w:bottom w:val="nil"/>
              <w:right w:val="nil"/>
            </w:tcBorders>
            <w:shd w:val="clear" w:color="auto" w:fill="auto"/>
            <w:noWrap/>
            <w:vAlign w:val="bottom"/>
            <w:hideMark/>
          </w:tcPr>
          <w:p w14:paraId="4975D3D8" w14:textId="77777777" w:rsidR="0035380D" w:rsidRPr="00D26C28" w:rsidRDefault="0035380D" w:rsidP="00B6548B">
            <w:pPr>
              <w:jc w:val="center"/>
              <w:rPr>
                <w:color w:val="000000" w:themeColor="text1"/>
                <w:sz w:val="14"/>
                <w:szCs w:val="14"/>
              </w:rPr>
            </w:pPr>
            <w:r w:rsidRPr="00D26C28">
              <w:rPr>
                <w:color w:val="000000" w:themeColor="text1"/>
                <w:sz w:val="14"/>
                <w:szCs w:val="14"/>
              </w:rPr>
              <w:t>4.41</w:t>
            </w:r>
          </w:p>
        </w:tc>
        <w:tc>
          <w:tcPr>
            <w:tcW w:w="184" w:type="pct"/>
            <w:tcBorders>
              <w:top w:val="nil"/>
              <w:left w:val="nil"/>
              <w:bottom w:val="nil"/>
              <w:right w:val="nil"/>
            </w:tcBorders>
          </w:tcPr>
          <w:p w14:paraId="484CD664"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46C99AC3" w14:textId="77777777" w:rsidR="0035380D" w:rsidRPr="00D26C28" w:rsidRDefault="0035380D" w:rsidP="00B6548B">
            <w:pPr>
              <w:jc w:val="center"/>
              <w:rPr>
                <w:color w:val="000000" w:themeColor="text1"/>
                <w:sz w:val="14"/>
                <w:szCs w:val="14"/>
              </w:rPr>
            </w:pPr>
            <w:r w:rsidRPr="00D26C28">
              <w:rPr>
                <w:color w:val="000000" w:themeColor="text1"/>
                <w:sz w:val="14"/>
                <w:szCs w:val="14"/>
              </w:rPr>
              <w:t>2.58</w:t>
            </w:r>
          </w:p>
        </w:tc>
        <w:tc>
          <w:tcPr>
            <w:tcW w:w="440" w:type="pct"/>
            <w:tcBorders>
              <w:top w:val="nil"/>
              <w:left w:val="nil"/>
              <w:bottom w:val="nil"/>
              <w:right w:val="nil"/>
            </w:tcBorders>
            <w:shd w:val="clear" w:color="auto" w:fill="auto"/>
            <w:noWrap/>
            <w:vAlign w:val="bottom"/>
            <w:hideMark/>
          </w:tcPr>
          <w:p w14:paraId="3F42FBEA" w14:textId="77777777" w:rsidR="0035380D" w:rsidRPr="00D26C28" w:rsidRDefault="0035380D" w:rsidP="00B6548B">
            <w:pPr>
              <w:jc w:val="center"/>
              <w:rPr>
                <w:color w:val="000000" w:themeColor="text1"/>
                <w:sz w:val="14"/>
                <w:szCs w:val="14"/>
              </w:rPr>
            </w:pPr>
            <w:r w:rsidRPr="00D26C28">
              <w:rPr>
                <w:color w:val="000000" w:themeColor="text1"/>
                <w:sz w:val="14"/>
                <w:szCs w:val="14"/>
              </w:rPr>
              <w:t>3.18</w:t>
            </w:r>
          </w:p>
        </w:tc>
        <w:tc>
          <w:tcPr>
            <w:tcW w:w="320" w:type="pct"/>
            <w:tcBorders>
              <w:top w:val="nil"/>
              <w:left w:val="nil"/>
              <w:bottom w:val="nil"/>
              <w:right w:val="nil"/>
            </w:tcBorders>
            <w:shd w:val="clear" w:color="auto" w:fill="auto"/>
            <w:noWrap/>
            <w:vAlign w:val="bottom"/>
            <w:hideMark/>
          </w:tcPr>
          <w:p w14:paraId="07C70805" w14:textId="77777777" w:rsidR="0035380D" w:rsidRPr="00D26C28" w:rsidRDefault="0035380D" w:rsidP="00B6548B">
            <w:pPr>
              <w:jc w:val="center"/>
              <w:rPr>
                <w:color w:val="000000" w:themeColor="text1"/>
                <w:sz w:val="14"/>
                <w:szCs w:val="14"/>
              </w:rPr>
            </w:pPr>
            <w:r w:rsidRPr="00D26C28">
              <w:rPr>
                <w:color w:val="000000" w:themeColor="text1"/>
                <w:sz w:val="14"/>
                <w:szCs w:val="14"/>
              </w:rPr>
              <w:t>3.49</w:t>
            </w:r>
          </w:p>
        </w:tc>
        <w:tc>
          <w:tcPr>
            <w:tcW w:w="346" w:type="pct"/>
            <w:tcBorders>
              <w:top w:val="nil"/>
              <w:left w:val="nil"/>
              <w:bottom w:val="nil"/>
              <w:right w:val="nil"/>
            </w:tcBorders>
            <w:shd w:val="clear" w:color="auto" w:fill="auto"/>
            <w:noWrap/>
            <w:vAlign w:val="bottom"/>
            <w:hideMark/>
          </w:tcPr>
          <w:p w14:paraId="798B4A48" w14:textId="77777777" w:rsidR="0035380D" w:rsidRPr="00D26C28" w:rsidRDefault="0035380D" w:rsidP="00B6548B">
            <w:pPr>
              <w:jc w:val="center"/>
              <w:rPr>
                <w:color w:val="000000" w:themeColor="text1"/>
                <w:sz w:val="14"/>
                <w:szCs w:val="14"/>
              </w:rPr>
            </w:pPr>
            <w:r w:rsidRPr="00D26C28">
              <w:rPr>
                <w:color w:val="000000" w:themeColor="text1"/>
                <w:sz w:val="14"/>
                <w:szCs w:val="14"/>
              </w:rPr>
              <w:t>4.04</w:t>
            </w:r>
          </w:p>
        </w:tc>
        <w:tc>
          <w:tcPr>
            <w:tcW w:w="123" w:type="pct"/>
            <w:tcBorders>
              <w:top w:val="nil"/>
              <w:left w:val="nil"/>
              <w:bottom w:val="nil"/>
              <w:right w:val="nil"/>
            </w:tcBorders>
          </w:tcPr>
          <w:p w14:paraId="6FAD9B46"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722AB4A7" w14:textId="77777777" w:rsidR="0035380D" w:rsidRPr="00D26C28" w:rsidRDefault="0035380D" w:rsidP="00B6548B">
            <w:pPr>
              <w:jc w:val="center"/>
              <w:rPr>
                <w:color w:val="000000" w:themeColor="text1"/>
                <w:sz w:val="14"/>
                <w:szCs w:val="14"/>
              </w:rPr>
            </w:pPr>
            <w:r w:rsidRPr="00D26C28">
              <w:rPr>
                <w:color w:val="000000" w:themeColor="text1"/>
                <w:sz w:val="14"/>
                <w:szCs w:val="14"/>
              </w:rPr>
              <w:t>2.73</w:t>
            </w:r>
          </w:p>
        </w:tc>
        <w:tc>
          <w:tcPr>
            <w:tcW w:w="320" w:type="pct"/>
            <w:tcBorders>
              <w:top w:val="nil"/>
              <w:left w:val="nil"/>
              <w:bottom w:val="nil"/>
              <w:right w:val="nil"/>
            </w:tcBorders>
            <w:shd w:val="clear" w:color="auto" w:fill="auto"/>
            <w:noWrap/>
            <w:vAlign w:val="bottom"/>
            <w:hideMark/>
          </w:tcPr>
          <w:p w14:paraId="6B615DFB" w14:textId="77777777" w:rsidR="0035380D" w:rsidRPr="00D26C28" w:rsidRDefault="0035380D" w:rsidP="00B6548B">
            <w:pPr>
              <w:jc w:val="center"/>
              <w:rPr>
                <w:color w:val="000000" w:themeColor="text1"/>
                <w:sz w:val="14"/>
                <w:szCs w:val="14"/>
              </w:rPr>
            </w:pPr>
            <w:r w:rsidRPr="00D26C28">
              <w:rPr>
                <w:color w:val="000000" w:themeColor="text1"/>
                <w:sz w:val="14"/>
                <w:szCs w:val="14"/>
              </w:rPr>
              <w:t>2.90</w:t>
            </w:r>
          </w:p>
        </w:tc>
        <w:tc>
          <w:tcPr>
            <w:tcW w:w="320" w:type="pct"/>
            <w:tcBorders>
              <w:top w:val="nil"/>
              <w:left w:val="nil"/>
              <w:bottom w:val="nil"/>
            </w:tcBorders>
            <w:shd w:val="clear" w:color="auto" w:fill="auto"/>
            <w:noWrap/>
            <w:vAlign w:val="bottom"/>
            <w:hideMark/>
          </w:tcPr>
          <w:p w14:paraId="115F5501" w14:textId="77777777" w:rsidR="0035380D" w:rsidRPr="00D26C28" w:rsidRDefault="0035380D" w:rsidP="00B6548B">
            <w:pPr>
              <w:jc w:val="center"/>
              <w:rPr>
                <w:color w:val="000000" w:themeColor="text1"/>
                <w:sz w:val="14"/>
                <w:szCs w:val="14"/>
              </w:rPr>
            </w:pPr>
            <w:r w:rsidRPr="00D26C28">
              <w:rPr>
                <w:color w:val="000000" w:themeColor="text1"/>
                <w:sz w:val="14"/>
                <w:szCs w:val="14"/>
              </w:rPr>
              <w:t>1.73</w:t>
            </w:r>
          </w:p>
        </w:tc>
        <w:tc>
          <w:tcPr>
            <w:tcW w:w="346" w:type="pct"/>
            <w:tcBorders>
              <w:top w:val="nil"/>
              <w:left w:val="nil"/>
              <w:bottom w:val="nil"/>
              <w:right w:val="nil"/>
            </w:tcBorders>
            <w:vAlign w:val="bottom"/>
          </w:tcPr>
          <w:p w14:paraId="114CD3B8" w14:textId="77777777" w:rsidR="0035380D" w:rsidRPr="00D26C28" w:rsidRDefault="0035380D" w:rsidP="00B6548B">
            <w:pPr>
              <w:jc w:val="center"/>
              <w:rPr>
                <w:color w:val="000000" w:themeColor="text1"/>
                <w:sz w:val="14"/>
                <w:szCs w:val="14"/>
              </w:rPr>
            </w:pPr>
            <w:r w:rsidRPr="00D26C28">
              <w:rPr>
                <w:color w:val="000000" w:themeColor="text1"/>
                <w:sz w:val="14"/>
                <w:szCs w:val="14"/>
              </w:rPr>
              <w:t>2.42</w:t>
            </w:r>
          </w:p>
        </w:tc>
      </w:tr>
      <w:tr w:rsidR="0035380D" w:rsidRPr="00D26C28" w14:paraId="019B2D42" w14:textId="77777777" w:rsidTr="006132B7">
        <w:trPr>
          <w:cantSplit/>
          <w:trHeight w:hRule="exact" w:val="255"/>
        </w:trPr>
        <w:tc>
          <w:tcPr>
            <w:tcW w:w="275" w:type="pct"/>
            <w:tcBorders>
              <w:top w:val="nil"/>
              <w:bottom w:val="nil"/>
              <w:right w:val="nil"/>
            </w:tcBorders>
            <w:shd w:val="clear" w:color="auto" w:fill="auto"/>
            <w:noWrap/>
            <w:vAlign w:val="bottom"/>
            <w:hideMark/>
          </w:tcPr>
          <w:p w14:paraId="2DBE4E62" w14:textId="77777777" w:rsidR="0035380D" w:rsidRPr="00D26C28" w:rsidRDefault="0035380D" w:rsidP="00B6548B">
            <w:pPr>
              <w:rPr>
                <w:i/>
                <w:iCs/>
                <w:color w:val="000000" w:themeColor="text1"/>
                <w:sz w:val="14"/>
                <w:szCs w:val="14"/>
              </w:rPr>
            </w:pPr>
            <w:r w:rsidRPr="00D26C28">
              <w:rPr>
                <w:i/>
                <w:iCs/>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78D1DD1D" w14:textId="77777777" w:rsidR="0035380D" w:rsidRPr="00D26C28" w:rsidRDefault="0035380D" w:rsidP="00B6548B">
            <w:pPr>
              <w:rPr>
                <w:color w:val="000000" w:themeColor="text1"/>
                <w:sz w:val="14"/>
                <w:szCs w:val="14"/>
              </w:rPr>
            </w:pPr>
            <w:r w:rsidRPr="00D26C28">
              <w:rPr>
                <w:color w:val="000000" w:themeColor="text1"/>
                <w:sz w:val="14"/>
                <w:szCs w:val="14"/>
              </w:rPr>
              <w:t>Volatility</w:t>
            </w:r>
          </w:p>
        </w:tc>
        <w:tc>
          <w:tcPr>
            <w:tcW w:w="320" w:type="pct"/>
            <w:tcBorders>
              <w:top w:val="nil"/>
              <w:left w:val="nil"/>
              <w:bottom w:val="nil"/>
              <w:right w:val="nil"/>
            </w:tcBorders>
            <w:shd w:val="clear" w:color="auto" w:fill="auto"/>
            <w:noWrap/>
            <w:vAlign w:val="bottom"/>
            <w:hideMark/>
          </w:tcPr>
          <w:p w14:paraId="261CA7BC" w14:textId="77777777" w:rsidR="0035380D" w:rsidRPr="00D26C28" w:rsidRDefault="0035380D" w:rsidP="00B6548B">
            <w:pPr>
              <w:jc w:val="center"/>
              <w:rPr>
                <w:color w:val="000000" w:themeColor="text1"/>
                <w:sz w:val="14"/>
                <w:szCs w:val="14"/>
              </w:rPr>
            </w:pPr>
            <w:r w:rsidRPr="00D26C28">
              <w:rPr>
                <w:color w:val="000000" w:themeColor="text1"/>
                <w:sz w:val="14"/>
                <w:szCs w:val="14"/>
              </w:rPr>
              <w:t>3.72%</w:t>
            </w:r>
          </w:p>
        </w:tc>
        <w:tc>
          <w:tcPr>
            <w:tcW w:w="320" w:type="pct"/>
            <w:tcBorders>
              <w:top w:val="nil"/>
              <w:left w:val="nil"/>
              <w:bottom w:val="nil"/>
              <w:right w:val="nil"/>
            </w:tcBorders>
            <w:shd w:val="clear" w:color="auto" w:fill="auto"/>
            <w:noWrap/>
            <w:vAlign w:val="bottom"/>
            <w:hideMark/>
          </w:tcPr>
          <w:p w14:paraId="345B9710" w14:textId="77777777" w:rsidR="0035380D" w:rsidRPr="00D26C28" w:rsidRDefault="0035380D" w:rsidP="00B6548B">
            <w:pPr>
              <w:jc w:val="center"/>
              <w:rPr>
                <w:color w:val="000000" w:themeColor="text1"/>
                <w:sz w:val="14"/>
                <w:szCs w:val="14"/>
              </w:rPr>
            </w:pPr>
            <w:r w:rsidRPr="00D26C28">
              <w:rPr>
                <w:color w:val="000000" w:themeColor="text1"/>
                <w:sz w:val="14"/>
                <w:szCs w:val="14"/>
              </w:rPr>
              <w:t>5.00%</w:t>
            </w:r>
          </w:p>
        </w:tc>
        <w:tc>
          <w:tcPr>
            <w:tcW w:w="320" w:type="pct"/>
            <w:tcBorders>
              <w:top w:val="nil"/>
              <w:left w:val="nil"/>
              <w:bottom w:val="nil"/>
              <w:right w:val="nil"/>
            </w:tcBorders>
            <w:shd w:val="clear" w:color="auto" w:fill="auto"/>
            <w:noWrap/>
            <w:vAlign w:val="bottom"/>
            <w:hideMark/>
          </w:tcPr>
          <w:p w14:paraId="38BF0A65" w14:textId="77777777" w:rsidR="0035380D" w:rsidRPr="00D26C28" w:rsidRDefault="0035380D" w:rsidP="00B6548B">
            <w:pPr>
              <w:jc w:val="center"/>
              <w:rPr>
                <w:color w:val="000000" w:themeColor="text1"/>
                <w:sz w:val="14"/>
                <w:szCs w:val="14"/>
              </w:rPr>
            </w:pPr>
            <w:r w:rsidRPr="00D26C28">
              <w:rPr>
                <w:color w:val="000000" w:themeColor="text1"/>
                <w:sz w:val="14"/>
                <w:szCs w:val="14"/>
              </w:rPr>
              <w:t>4.68%</w:t>
            </w:r>
          </w:p>
        </w:tc>
        <w:tc>
          <w:tcPr>
            <w:tcW w:w="293" w:type="pct"/>
            <w:tcBorders>
              <w:top w:val="nil"/>
              <w:left w:val="nil"/>
              <w:bottom w:val="nil"/>
              <w:right w:val="nil"/>
            </w:tcBorders>
            <w:shd w:val="clear" w:color="auto" w:fill="auto"/>
            <w:noWrap/>
            <w:vAlign w:val="bottom"/>
            <w:hideMark/>
          </w:tcPr>
          <w:p w14:paraId="13FE8668" w14:textId="77777777" w:rsidR="0035380D" w:rsidRPr="00D26C28" w:rsidRDefault="0035380D" w:rsidP="00B6548B">
            <w:pPr>
              <w:jc w:val="center"/>
              <w:rPr>
                <w:color w:val="000000" w:themeColor="text1"/>
                <w:sz w:val="14"/>
                <w:szCs w:val="14"/>
              </w:rPr>
            </w:pPr>
            <w:r w:rsidRPr="00D26C28">
              <w:rPr>
                <w:color w:val="000000" w:themeColor="text1"/>
                <w:sz w:val="14"/>
                <w:szCs w:val="14"/>
              </w:rPr>
              <w:t>5.21%</w:t>
            </w:r>
          </w:p>
        </w:tc>
        <w:tc>
          <w:tcPr>
            <w:tcW w:w="184" w:type="pct"/>
            <w:tcBorders>
              <w:top w:val="nil"/>
              <w:left w:val="nil"/>
              <w:bottom w:val="nil"/>
              <w:right w:val="nil"/>
            </w:tcBorders>
          </w:tcPr>
          <w:p w14:paraId="267702B9"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3EB03CDD" w14:textId="77777777" w:rsidR="0035380D" w:rsidRPr="00D26C28" w:rsidRDefault="0035380D" w:rsidP="00B6548B">
            <w:pPr>
              <w:jc w:val="center"/>
              <w:rPr>
                <w:color w:val="000000" w:themeColor="text1"/>
                <w:sz w:val="14"/>
                <w:szCs w:val="14"/>
              </w:rPr>
            </w:pPr>
            <w:r w:rsidRPr="00D26C28">
              <w:rPr>
                <w:color w:val="000000" w:themeColor="text1"/>
                <w:sz w:val="14"/>
                <w:szCs w:val="14"/>
              </w:rPr>
              <w:t>4.72%</w:t>
            </w:r>
          </w:p>
        </w:tc>
        <w:tc>
          <w:tcPr>
            <w:tcW w:w="440" w:type="pct"/>
            <w:tcBorders>
              <w:top w:val="nil"/>
              <w:left w:val="nil"/>
              <w:bottom w:val="nil"/>
              <w:right w:val="nil"/>
            </w:tcBorders>
            <w:shd w:val="clear" w:color="auto" w:fill="auto"/>
            <w:noWrap/>
            <w:vAlign w:val="bottom"/>
            <w:hideMark/>
          </w:tcPr>
          <w:p w14:paraId="0A1BB2F8" w14:textId="77777777" w:rsidR="0035380D" w:rsidRPr="00D26C28" w:rsidRDefault="0035380D" w:rsidP="00B6548B">
            <w:pPr>
              <w:jc w:val="center"/>
              <w:rPr>
                <w:color w:val="000000" w:themeColor="text1"/>
                <w:sz w:val="14"/>
                <w:szCs w:val="14"/>
              </w:rPr>
            </w:pPr>
            <w:r w:rsidRPr="00D26C28">
              <w:rPr>
                <w:color w:val="000000" w:themeColor="text1"/>
                <w:sz w:val="14"/>
                <w:szCs w:val="14"/>
              </w:rPr>
              <w:t>5.06%</w:t>
            </w:r>
          </w:p>
        </w:tc>
        <w:tc>
          <w:tcPr>
            <w:tcW w:w="320" w:type="pct"/>
            <w:tcBorders>
              <w:top w:val="nil"/>
              <w:left w:val="nil"/>
              <w:bottom w:val="nil"/>
              <w:right w:val="nil"/>
            </w:tcBorders>
            <w:shd w:val="clear" w:color="auto" w:fill="auto"/>
            <w:noWrap/>
            <w:vAlign w:val="bottom"/>
            <w:hideMark/>
          </w:tcPr>
          <w:p w14:paraId="63AD8EE9" w14:textId="77777777" w:rsidR="0035380D" w:rsidRPr="00D26C28" w:rsidRDefault="0035380D" w:rsidP="00B6548B">
            <w:pPr>
              <w:jc w:val="center"/>
              <w:rPr>
                <w:color w:val="000000" w:themeColor="text1"/>
                <w:sz w:val="14"/>
                <w:szCs w:val="14"/>
              </w:rPr>
            </w:pPr>
            <w:r w:rsidRPr="00D26C28">
              <w:rPr>
                <w:color w:val="000000" w:themeColor="text1"/>
                <w:sz w:val="14"/>
                <w:szCs w:val="14"/>
              </w:rPr>
              <w:t>5.59%</w:t>
            </w:r>
          </w:p>
        </w:tc>
        <w:tc>
          <w:tcPr>
            <w:tcW w:w="346" w:type="pct"/>
            <w:tcBorders>
              <w:top w:val="nil"/>
              <w:left w:val="nil"/>
              <w:bottom w:val="nil"/>
              <w:right w:val="nil"/>
            </w:tcBorders>
            <w:shd w:val="clear" w:color="auto" w:fill="auto"/>
            <w:noWrap/>
            <w:vAlign w:val="bottom"/>
            <w:hideMark/>
          </w:tcPr>
          <w:p w14:paraId="1450710A" w14:textId="77777777" w:rsidR="0035380D" w:rsidRPr="00D26C28" w:rsidRDefault="0035380D" w:rsidP="00B6548B">
            <w:pPr>
              <w:jc w:val="center"/>
              <w:rPr>
                <w:color w:val="000000" w:themeColor="text1"/>
                <w:sz w:val="14"/>
                <w:szCs w:val="14"/>
              </w:rPr>
            </w:pPr>
            <w:r w:rsidRPr="00D26C28">
              <w:rPr>
                <w:color w:val="000000" w:themeColor="text1"/>
                <w:sz w:val="14"/>
                <w:szCs w:val="14"/>
              </w:rPr>
              <w:t>5.28%</w:t>
            </w:r>
          </w:p>
        </w:tc>
        <w:tc>
          <w:tcPr>
            <w:tcW w:w="123" w:type="pct"/>
            <w:tcBorders>
              <w:top w:val="nil"/>
              <w:left w:val="nil"/>
              <w:bottom w:val="nil"/>
              <w:right w:val="nil"/>
            </w:tcBorders>
          </w:tcPr>
          <w:p w14:paraId="6D0D51CA"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3307A553" w14:textId="77777777" w:rsidR="0035380D" w:rsidRPr="00D26C28" w:rsidRDefault="0035380D" w:rsidP="00B6548B">
            <w:pPr>
              <w:jc w:val="center"/>
              <w:rPr>
                <w:color w:val="000000" w:themeColor="text1"/>
                <w:sz w:val="14"/>
                <w:szCs w:val="14"/>
              </w:rPr>
            </w:pPr>
            <w:r w:rsidRPr="00D26C28">
              <w:rPr>
                <w:color w:val="000000" w:themeColor="text1"/>
                <w:sz w:val="14"/>
                <w:szCs w:val="14"/>
              </w:rPr>
              <w:t>2.84%</w:t>
            </w:r>
          </w:p>
        </w:tc>
        <w:tc>
          <w:tcPr>
            <w:tcW w:w="320" w:type="pct"/>
            <w:tcBorders>
              <w:top w:val="nil"/>
              <w:left w:val="nil"/>
              <w:bottom w:val="nil"/>
              <w:right w:val="nil"/>
            </w:tcBorders>
            <w:shd w:val="clear" w:color="auto" w:fill="auto"/>
            <w:noWrap/>
            <w:vAlign w:val="bottom"/>
            <w:hideMark/>
          </w:tcPr>
          <w:p w14:paraId="475E2D34" w14:textId="77777777" w:rsidR="0035380D" w:rsidRPr="00D26C28" w:rsidRDefault="0035380D" w:rsidP="00B6548B">
            <w:pPr>
              <w:jc w:val="center"/>
              <w:rPr>
                <w:color w:val="000000" w:themeColor="text1"/>
                <w:sz w:val="14"/>
                <w:szCs w:val="14"/>
              </w:rPr>
            </w:pPr>
            <w:r w:rsidRPr="00D26C28">
              <w:rPr>
                <w:color w:val="000000" w:themeColor="text1"/>
                <w:sz w:val="14"/>
                <w:szCs w:val="14"/>
              </w:rPr>
              <w:t>3.11%</w:t>
            </w:r>
          </w:p>
        </w:tc>
        <w:tc>
          <w:tcPr>
            <w:tcW w:w="320" w:type="pct"/>
            <w:tcBorders>
              <w:top w:val="nil"/>
              <w:left w:val="nil"/>
              <w:bottom w:val="nil"/>
            </w:tcBorders>
            <w:shd w:val="clear" w:color="auto" w:fill="auto"/>
            <w:noWrap/>
            <w:vAlign w:val="bottom"/>
            <w:hideMark/>
          </w:tcPr>
          <w:p w14:paraId="02F90BBF" w14:textId="77777777" w:rsidR="0035380D" w:rsidRPr="00D26C28" w:rsidRDefault="0035380D" w:rsidP="00B6548B">
            <w:pPr>
              <w:jc w:val="center"/>
              <w:rPr>
                <w:color w:val="000000" w:themeColor="text1"/>
                <w:sz w:val="14"/>
                <w:szCs w:val="14"/>
              </w:rPr>
            </w:pPr>
            <w:r w:rsidRPr="00D26C28">
              <w:rPr>
                <w:color w:val="000000" w:themeColor="text1"/>
                <w:sz w:val="14"/>
                <w:szCs w:val="14"/>
              </w:rPr>
              <w:t>5.04%</w:t>
            </w:r>
          </w:p>
        </w:tc>
        <w:tc>
          <w:tcPr>
            <w:tcW w:w="346" w:type="pct"/>
            <w:tcBorders>
              <w:top w:val="nil"/>
              <w:left w:val="nil"/>
              <w:bottom w:val="nil"/>
              <w:right w:val="nil"/>
            </w:tcBorders>
            <w:vAlign w:val="bottom"/>
          </w:tcPr>
          <w:p w14:paraId="2744486C" w14:textId="77777777" w:rsidR="0035380D" w:rsidRPr="00D26C28" w:rsidRDefault="0035380D" w:rsidP="00B6548B">
            <w:pPr>
              <w:jc w:val="center"/>
              <w:rPr>
                <w:color w:val="000000" w:themeColor="text1"/>
                <w:sz w:val="14"/>
                <w:szCs w:val="14"/>
              </w:rPr>
            </w:pPr>
            <w:r w:rsidRPr="00D26C28">
              <w:rPr>
                <w:color w:val="000000" w:themeColor="text1"/>
                <w:sz w:val="14"/>
                <w:szCs w:val="14"/>
              </w:rPr>
              <w:t>5.29%</w:t>
            </w:r>
          </w:p>
        </w:tc>
      </w:tr>
      <w:tr w:rsidR="0035380D" w:rsidRPr="00D26C28" w14:paraId="7BE70562" w14:textId="77777777" w:rsidTr="006132B7">
        <w:trPr>
          <w:cantSplit/>
          <w:trHeight w:hRule="exact" w:val="255"/>
        </w:trPr>
        <w:tc>
          <w:tcPr>
            <w:tcW w:w="275" w:type="pct"/>
            <w:tcBorders>
              <w:top w:val="nil"/>
              <w:bottom w:val="nil"/>
              <w:right w:val="nil"/>
            </w:tcBorders>
            <w:shd w:val="clear" w:color="auto" w:fill="auto"/>
            <w:noWrap/>
            <w:vAlign w:val="bottom"/>
            <w:hideMark/>
          </w:tcPr>
          <w:p w14:paraId="3923F52C"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33817BAB" w14:textId="77777777" w:rsidR="0035380D" w:rsidRPr="00D26C28" w:rsidRDefault="0035380D" w:rsidP="00B6548B">
            <w:pPr>
              <w:rPr>
                <w:color w:val="000000" w:themeColor="text1"/>
                <w:sz w:val="14"/>
                <w:szCs w:val="14"/>
              </w:rPr>
            </w:pPr>
            <w:r w:rsidRPr="00D26C28">
              <w:rPr>
                <w:color w:val="000000" w:themeColor="text1"/>
                <w:sz w:val="14"/>
                <w:szCs w:val="14"/>
              </w:rPr>
              <w:t>Sharpe</w:t>
            </w:r>
          </w:p>
        </w:tc>
        <w:tc>
          <w:tcPr>
            <w:tcW w:w="320" w:type="pct"/>
            <w:tcBorders>
              <w:top w:val="nil"/>
              <w:left w:val="nil"/>
              <w:bottom w:val="nil"/>
              <w:right w:val="nil"/>
            </w:tcBorders>
            <w:shd w:val="clear" w:color="auto" w:fill="auto"/>
            <w:noWrap/>
            <w:vAlign w:val="bottom"/>
            <w:hideMark/>
          </w:tcPr>
          <w:p w14:paraId="09721688" w14:textId="77777777" w:rsidR="0035380D" w:rsidRPr="00D26C28" w:rsidRDefault="0035380D" w:rsidP="00B6548B">
            <w:pPr>
              <w:jc w:val="center"/>
              <w:rPr>
                <w:color w:val="000000" w:themeColor="text1"/>
                <w:sz w:val="14"/>
                <w:szCs w:val="14"/>
              </w:rPr>
            </w:pPr>
            <w:r w:rsidRPr="00D26C28">
              <w:rPr>
                <w:color w:val="000000" w:themeColor="text1"/>
                <w:sz w:val="14"/>
                <w:szCs w:val="14"/>
              </w:rPr>
              <w:t>1.34</w:t>
            </w:r>
          </w:p>
        </w:tc>
        <w:tc>
          <w:tcPr>
            <w:tcW w:w="320" w:type="pct"/>
            <w:tcBorders>
              <w:top w:val="nil"/>
              <w:left w:val="nil"/>
              <w:bottom w:val="nil"/>
              <w:right w:val="nil"/>
            </w:tcBorders>
            <w:shd w:val="clear" w:color="auto" w:fill="auto"/>
            <w:noWrap/>
            <w:vAlign w:val="bottom"/>
            <w:hideMark/>
          </w:tcPr>
          <w:p w14:paraId="78D716DA" w14:textId="77777777" w:rsidR="0035380D" w:rsidRPr="00D26C28" w:rsidRDefault="0035380D" w:rsidP="00B6548B">
            <w:pPr>
              <w:jc w:val="center"/>
              <w:rPr>
                <w:color w:val="000000" w:themeColor="text1"/>
                <w:sz w:val="14"/>
                <w:szCs w:val="14"/>
              </w:rPr>
            </w:pPr>
            <w:r w:rsidRPr="00D26C28">
              <w:rPr>
                <w:color w:val="000000" w:themeColor="text1"/>
                <w:sz w:val="14"/>
                <w:szCs w:val="14"/>
              </w:rPr>
              <w:t>1.31</w:t>
            </w:r>
          </w:p>
        </w:tc>
        <w:tc>
          <w:tcPr>
            <w:tcW w:w="320" w:type="pct"/>
            <w:tcBorders>
              <w:top w:val="nil"/>
              <w:left w:val="nil"/>
              <w:bottom w:val="nil"/>
              <w:right w:val="nil"/>
            </w:tcBorders>
            <w:shd w:val="clear" w:color="auto" w:fill="auto"/>
            <w:noWrap/>
            <w:vAlign w:val="bottom"/>
            <w:hideMark/>
          </w:tcPr>
          <w:p w14:paraId="6E9492EB" w14:textId="77777777" w:rsidR="0035380D" w:rsidRPr="00D26C28" w:rsidRDefault="0035380D" w:rsidP="00B6548B">
            <w:pPr>
              <w:jc w:val="center"/>
              <w:rPr>
                <w:color w:val="000000" w:themeColor="text1"/>
                <w:sz w:val="14"/>
                <w:szCs w:val="14"/>
              </w:rPr>
            </w:pPr>
            <w:r w:rsidRPr="00D26C28">
              <w:rPr>
                <w:color w:val="000000" w:themeColor="text1"/>
                <w:sz w:val="14"/>
                <w:szCs w:val="14"/>
              </w:rPr>
              <w:t>1.72</w:t>
            </w:r>
          </w:p>
        </w:tc>
        <w:tc>
          <w:tcPr>
            <w:tcW w:w="293" w:type="pct"/>
            <w:tcBorders>
              <w:top w:val="nil"/>
              <w:left w:val="nil"/>
              <w:bottom w:val="nil"/>
              <w:right w:val="nil"/>
            </w:tcBorders>
            <w:shd w:val="clear" w:color="auto" w:fill="auto"/>
            <w:noWrap/>
            <w:vAlign w:val="bottom"/>
            <w:hideMark/>
          </w:tcPr>
          <w:p w14:paraId="54D52699" w14:textId="77777777" w:rsidR="0035380D" w:rsidRPr="00D26C28" w:rsidRDefault="0035380D" w:rsidP="00B6548B">
            <w:pPr>
              <w:jc w:val="center"/>
              <w:rPr>
                <w:color w:val="000000" w:themeColor="text1"/>
                <w:sz w:val="14"/>
                <w:szCs w:val="14"/>
              </w:rPr>
            </w:pPr>
            <w:r w:rsidRPr="00D26C28">
              <w:rPr>
                <w:color w:val="000000" w:themeColor="text1"/>
                <w:sz w:val="14"/>
                <w:szCs w:val="14"/>
              </w:rPr>
              <w:t>1.92</w:t>
            </w:r>
          </w:p>
        </w:tc>
        <w:tc>
          <w:tcPr>
            <w:tcW w:w="184" w:type="pct"/>
            <w:tcBorders>
              <w:top w:val="nil"/>
              <w:left w:val="nil"/>
              <w:bottom w:val="nil"/>
              <w:right w:val="nil"/>
            </w:tcBorders>
          </w:tcPr>
          <w:p w14:paraId="1036A4B6"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1B598787" w14:textId="77777777" w:rsidR="0035380D" w:rsidRPr="00D26C28" w:rsidRDefault="0035380D" w:rsidP="00B6548B">
            <w:pPr>
              <w:jc w:val="center"/>
              <w:rPr>
                <w:color w:val="000000" w:themeColor="text1"/>
                <w:sz w:val="14"/>
                <w:szCs w:val="14"/>
              </w:rPr>
            </w:pPr>
            <w:r w:rsidRPr="00D26C28">
              <w:rPr>
                <w:color w:val="000000" w:themeColor="text1"/>
                <w:sz w:val="14"/>
                <w:szCs w:val="14"/>
              </w:rPr>
              <w:t>1.10</w:t>
            </w:r>
          </w:p>
        </w:tc>
        <w:tc>
          <w:tcPr>
            <w:tcW w:w="440" w:type="pct"/>
            <w:tcBorders>
              <w:top w:val="nil"/>
              <w:left w:val="nil"/>
              <w:bottom w:val="nil"/>
              <w:right w:val="nil"/>
            </w:tcBorders>
            <w:shd w:val="clear" w:color="auto" w:fill="auto"/>
            <w:noWrap/>
            <w:vAlign w:val="bottom"/>
            <w:hideMark/>
          </w:tcPr>
          <w:p w14:paraId="54B0FC5D" w14:textId="77777777" w:rsidR="0035380D" w:rsidRPr="00D26C28" w:rsidRDefault="0035380D" w:rsidP="00B6548B">
            <w:pPr>
              <w:jc w:val="center"/>
              <w:rPr>
                <w:color w:val="000000" w:themeColor="text1"/>
                <w:sz w:val="14"/>
                <w:szCs w:val="14"/>
              </w:rPr>
            </w:pPr>
            <w:r w:rsidRPr="00D26C28">
              <w:rPr>
                <w:color w:val="000000" w:themeColor="text1"/>
                <w:sz w:val="14"/>
                <w:szCs w:val="14"/>
              </w:rPr>
              <w:t>1.49</w:t>
            </w:r>
          </w:p>
        </w:tc>
        <w:tc>
          <w:tcPr>
            <w:tcW w:w="320" w:type="pct"/>
            <w:tcBorders>
              <w:top w:val="nil"/>
              <w:left w:val="nil"/>
              <w:bottom w:val="nil"/>
              <w:right w:val="nil"/>
            </w:tcBorders>
            <w:shd w:val="clear" w:color="auto" w:fill="auto"/>
            <w:noWrap/>
            <w:vAlign w:val="bottom"/>
            <w:hideMark/>
          </w:tcPr>
          <w:p w14:paraId="24CE7013" w14:textId="77777777" w:rsidR="0035380D" w:rsidRPr="00D26C28" w:rsidRDefault="0035380D" w:rsidP="00B6548B">
            <w:pPr>
              <w:jc w:val="center"/>
              <w:rPr>
                <w:color w:val="000000" w:themeColor="text1"/>
                <w:sz w:val="14"/>
                <w:szCs w:val="14"/>
              </w:rPr>
            </w:pPr>
            <w:r w:rsidRPr="00D26C28">
              <w:rPr>
                <w:color w:val="000000" w:themeColor="text1"/>
                <w:sz w:val="14"/>
                <w:szCs w:val="14"/>
              </w:rPr>
              <w:t>1.55</w:t>
            </w:r>
          </w:p>
        </w:tc>
        <w:tc>
          <w:tcPr>
            <w:tcW w:w="346" w:type="pct"/>
            <w:tcBorders>
              <w:top w:val="nil"/>
              <w:left w:val="nil"/>
              <w:bottom w:val="nil"/>
              <w:right w:val="nil"/>
            </w:tcBorders>
            <w:shd w:val="clear" w:color="auto" w:fill="auto"/>
            <w:noWrap/>
            <w:vAlign w:val="bottom"/>
            <w:hideMark/>
          </w:tcPr>
          <w:p w14:paraId="1EAE5F26" w14:textId="77777777" w:rsidR="0035380D" w:rsidRPr="00D26C28" w:rsidRDefault="0035380D" w:rsidP="00B6548B">
            <w:pPr>
              <w:jc w:val="center"/>
              <w:rPr>
                <w:color w:val="000000" w:themeColor="text1"/>
                <w:sz w:val="14"/>
                <w:szCs w:val="14"/>
              </w:rPr>
            </w:pPr>
            <w:r w:rsidRPr="00D26C28">
              <w:rPr>
                <w:color w:val="000000" w:themeColor="text1"/>
                <w:sz w:val="14"/>
                <w:szCs w:val="14"/>
              </w:rPr>
              <w:t>1.52</w:t>
            </w:r>
          </w:p>
        </w:tc>
        <w:tc>
          <w:tcPr>
            <w:tcW w:w="123" w:type="pct"/>
            <w:tcBorders>
              <w:top w:val="nil"/>
              <w:left w:val="nil"/>
              <w:bottom w:val="nil"/>
              <w:right w:val="nil"/>
            </w:tcBorders>
          </w:tcPr>
          <w:p w14:paraId="2284EAE8"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60347F4D" w14:textId="77777777" w:rsidR="0035380D" w:rsidRPr="00D26C28" w:rsidRDefault="0035380D" w:rsidP="00B6548B">
            <w:pPr>
              <w:jc w:val="center"/>
              <w:rPr>
                <w:color w:val="000000" w:themeColor="text1"/>
                <w:sz w:val="14"/>
                <w:szCs w:val="14"/>
              </w:rPr>
            </w:pPr>
            <w:r w:rsidRPr="00D26C28">
              <w:rPr>
                <w:color w:val="000000" w:themeColor="text1"/>
                <w:sz w:val="14"/>
                <w:szCs w:val="14"/>
              </w:rPr>
              <w:t>1.27</w:t>
            </w:r>
          </w:p>
        </w:tc>
        <w:tc>
          <w:tcPr>
            <w:tcW w:w="320" w:type="pct"/>
            <w:tcBorders>
              <w:top w:val="nil"/>
              <w:left w:val="nil"/>
              <w:bottom w:val="nil"/>
              <w:right w:val="nil"/>
            </w:tcBorders>
            <w:shd w:val="clear" w:color="auto" w:fill="auto"/>
            <w:noWrap/>
            <w:vAlign w:val="bottom"/>
            <w:hideMark/>
          </w:tcPr>
          <w:p w14:paraId="59048F94" w14:textId="77777777" w:rsidR="0035380D" w:rsidRPr="00D26C28" w:rsidRDefault="0035380D" w:rsidP="00B6548B">
            <w:pPr>
              <w:jc w:val="center"/>
              <w:rPr>
                <w:color w:val="000000" w:themeColor="text1"/>
                <w:sz w:val="14"/>
                <w:szCs w:val="14"/>
              </w:rPr>
            </w:pPr>
            <w:r w:rsidRPr="00D26C28">
              <w:rPr>
                <w:color w:val="000000" w:themeColor="text1"/>
                <w:sz w:val="14"/>
                <w:szCs w:val="14"/>
              </w:rPr>
              <w:t>1.37</w:t>
            </w:r>
          </w:p>
        </w:tc>
        <w:tc>
          <w:tcPr>
            <w:tcW w:w="320" w:type="pct"/>
            <w:tcBorders>
              <w:top w:val="nil"/>
              <w:left w:val="nil"/>
              <w:bottom w:val="nil"/>
            </w:tcBorders>
            <w:shd w:val="clear" w:color="auto" w:fill="auto"/>
            <w:noWrap/>
            <w:vAlign w:val="bottom"/>
            <w:hideMark/>
          </w:tcPr>
          <w:p w14:paraId="1F04FC1B" w14:textId="77777777" w:rsidR="0035380D" w:rsidRPr="00D26C28" w:rsidRDefault="0035380D" w:rsidP="00B6548B">
            <w:pPr>
              <w:jc w:val="center"/>
              <w:rPr>
                <w:color w:val="000000" w:themeColor="text1"/>
                <w:sz w:val="14"/>
                <w:szCs w:val="14"/>
              </w:rPr>
            </w:pPr>
            <w:r w:rsidRPr="00D26C28">
              <w:rPr>
                <w:color w:val="000000" w:themeColor="text1"/>
                <w:sz w:val="14"/>
                <w:szCs w:val="14"/>
              </w:rPr>
              <w:t>0.69</w:t>
            </w:r>
          </w:p>
        </w:tc>
        <w:tc>
          <w:tcPr>
            <w:tcW w:w="346" w:type="pct"/>
            <w:tcBorders>
              <w:top w:val="nil"/>
              <w:left w:val="nil"/>
              <w:bottom w:val="nil"/>
              <w:right w:val="nil"/>
            </w:tcBorders>
            <w:vAlign w:val="bottom"/>
          </w:tcPr>
          <w:p w14:paraId="1D485B65" w14:textId="77777777" w:rsidR="0035380D" w:rsidRPr="00D26C28" w:rsidRDefault="0035380D" w:rsidP="00B6548B">
            <w:pPr>
              <w:jc w:val="center"/>
              <w:rPr>
                <w:color w:val="000000" w:themeColor="text1"/>
                <w:sz w:val="14"/>
                <w:szCs w:val="14"/>
              </w:rPr>
            </w:pPr>
            <w:r w:rsidRPr="00D26C28">
              <w:rPr>
                <w:color w:val="000000" w:themeColor="text1"/>
                <w:sz w:val="14"/>
                <w:szCs w:val="14"/>
              </w:rPr>
              <w:t>0.94</w:t>
            </w:r>
          </w:p>
        </w:tc>
      </w:tr>
      <w:tr w:rsidR="0035380D" w:rsidRPr="00D26C28" w14:paraId="17654B4A" w14:textId="77777777" w:rsidTr="006132B7">
        <w:trPr>
          <w:cantSplit/>
          <w:trHeight w:hRule="exact" w:val="255"/>
        </w:trPr>
        <w:tc>
          <w:tcPr>
            <w:tcW w:w="275" w:type="pct"/>
            <w:tcBorders>
              <w:top w:val="nil"/>
              <w:bottom w:val="nil"/>
              <w:right w:val="nil"/>
            </w:tcBorders>
            <w:shd w:val="clear" w:color="auto" w:fill="auto"/>
            <w:noWrap/>
            <w:vAlign w:val="bottom"/>
            <w:hideMark/>
          </w:tcPr>
          <w:p w14:paraId="68C67CAE" w14:textId="77777777" w:rsidR="0035380D" w:rsidRPr="00D26C28" w:rsidRDefault="0035380D" w:rsidP="00B6548B">
            <w:pPr>
              <w:rPr>
                <w:color w:val="000000" w:themeColor="text1"/>
                <w:sz w:val="14"/>
                <w:szCs w:val="14"/>
              </w:rPr>
            </w:pPr>
            <w:r w:rsidRPr="00D26C28">
              <w:rPr>
                <w:color w:val="000000" w:themeColor="text1"/>
                <w:sz w:val="14"/>
                <w:szCs w:val="14"/>
              </w:rPr>
              <w:t>2011</w:t>
            </w:r>
          </w:p>
        </w:tc>
        <w:tc>
          <w:tcPr>
            <w:tcW w:w="434" w:type="pct"/>
            <w:tcBorders>
              <w:top w:val="nil"/>
              <w:left w:val="nil"/>
              <w:bottom w:val="nil"/>
              <w:right w:val="nil"/>
            </w:tcBorders>
            <w:shd w:val="clear" w:color="auto" w:fill="auto"/>
            <w:noWrap/>
            <w:vAlign w:val="bottom"/>
            <w:hideMark/>
          </w:tcPr>
          <w:p w14:paraId="21AA179F" w14:textId="77777777" w:rsidR="0035380D" w:rsidRPr="00D26C28" w:rsidRDefault="0035380D" w:rsidP="00B6548B">
            <w:pPr>
              <w:rPr>
                <w:color w:val="000000" w:themeColor="text1"/>
                <w:sz w:val="14"/>
                <w:szCs w:val="14"/>
              </w:rPr>
            </w:pPr>
            <w:r w:rsidRPr="00D26C28">
              <w:rPr>
                <w:color w:val="000000" w:themeColor="text1"/>
                <w:sz w:val="14"/>
                <w:szCs w:val="14"/>
              </w:rPr>
              <w:t>Returns</w:t>
            </w:r>
          </w:p>
        </w:tc>
        <w:tc>
          <w:tcPr>
            <w:tcW w:w="320" w:type="pct"/>
            <w:tcBorders>
              <w:top w:val="nil"/>
              <w:left w:val="nil"/>
              <w:bottom w:val="nil"/>
              <w:right w:val="nil"/>
            </w:tcBorders>
            <w:shd w:val="clear" w:color="auto" w:fill="auto"/>
            <w:noWrap/>
            <w:vAlign w:val="bottom"/>
            <w:hideMark/>
          </w:tcPr>
          <w:p w14:paraId="155904A2" w14:textId="77777777" w:rsidR="0035380D" w:rsidRPr="00D26C28" w:rsidRDefault="0035380D" w:rsidP="00B6548B">
            <w:pPr>
              <w:jc w:val="center"/>
              <w:rPr>
                <w:color w:val="000000" w:themeColor="text1"/>
                <w:sz w:val="14"/>
                <w:szCs w:val="14"/>
              </w:rPr>
            </w:pPr>
            <w:r w:rsidRPr="00D26C28">
              <w:rPr>
                <w:color w:val="000000" w:themeColor="text1"/>
                <w:sz w:val="14"/>
                <w:szCs w:val="14"/>
              </w:rPr>
              <w:t>1.47%</w:t>
            </w:r>
          </w:p>
        </w:tc>
        <w:tc>
          <w:tcPr>
            <w:tcW w:w="320" w:type="pct"/>
            <w:tcBorders>
              <w:top w:val="nil"/>
              <w:left w:val="nil"/>
              <w:bottom w:val="nil"/>
              <w:right w:val="nil"/>
            </w:tcBorders>
            <w:shd w:val="clear" w:color="auto" w:fill="auto"/>
            <w:noWrap/>
            <w:vAlign w:val="bottom"/>
            <w:hideMark/>
          </w:tcPr>
          <w:p w14:paraId="13137479" w14:textId="77777777" w:rsidR="0035380D" w:rsidRPr="00D26C28" w:rsidRDefault="0035380D" w:rsidP="00B6548B">
            <w:pPr>
              <w:jc w:val="center"/>
              <w:rPr>
                <w:color w:val="000000" w:themeColor="text1"/>
                <w:sz w:val="14"/>
                <w:szCs w:val="14"/>
              </w:rPr>
            </w:pPr>
            <w:r w:rsidRPr="00D26C28">
              <w:rPr>
                <w:color w:val="000000" w:themeColor="text1"/>
                <w:sz w:val="14"/>
                <w:szCs w:val="14"/>
              </w:rPr>
              <w:t>1.87%</w:t>
            </w:r>
          </w:p>
        </w:tc>
        <w:tc>
          <w:tcPr>
            <w:tcW w:w="320" w:type="pct"/>
            <w:tcBorders>
              <w:top w:val="nil"/>
              <w:left w:val="nil"/>
              <w:bottom w:val="nil"/>
              <w:right w:val="nil"/>
            </w:tcBorders>
            <w:shd w:val="clear" w:color="auto" w:fill="auto"/>
            <w:noWrap/>
            <w:vAlign w:val="bottom"/>
            <w:hideMark/>
          </w:tcPr>
          <w:p w14:paraId="6C681395" w14:textId="77777777" w:rsidR="0035380D" w:rsidRPr="00D26C28" w:rsidRDefault="0035380D" w:rsidP="00B6548B">
            <w:pPr>
              <w:jc w:val="center"/>
              <w:rPr>
                <w:color w:val="000000" w:themeColor="text1"/>
                <w:sz w:val="14"/>
                <w:szCs w:val="14"/>
              </w:rPr>
            </w:pPr>
            <w:r w:rsidRPr="00D26C28">
              <w:rPr>
                <w:color w:val="000000" w:themeColor="text1"/>
                <w:sz w:val="14"/>
                <w:szCs w:val="14"/>
              </w:rPr>
              <w:t>2.58%</w:t>
            </w:r>
          </w:p>
        </w:tc>
        <w:tc>
          <w:tcPr>
            <w:tcW w:w="293" w:type="pct"/>
            <w:tcBorders>
              <w:top w:val="nil"/>
              <w:left w:val="nil"/>
              <w:bottom w:val="nil"/>
              <w:right w:val="nil"/>
            </w:tcBorders>
            <w:shd w:val="clear" w:color="auto" w:fill="auto"/>
            <w:noWrap/>
            <w:vAlign w:val="bottom"/>
            <w:hideMark/>
          </w:tcPr>
          <w:p w14:paraId="6FC41BDC" w14:textId="77777777" w:rsidR="0035380D" w:rsidRPr="00D26C28" w:rsidRDefault="0035380D" w:rsidP="00B6548B">
            <w:pPr>
              <w:jc w:val="center"/>
              <w:rPr>
                <w:color w:val="000000" w:themeColor="text1"/>
                <w:sz w:val="14"/>
                <w:szCs w:val="14"/>
              </w:rPr>
            </w:pPr>
            <w:r w:rsidRPr="00D26C28">
              <w:rPr>
                <w:color w:val="000000" w:themeColor="text1"/>
                <w:sz w:val="14"/>
                <w:szCs w:val="14"/>
              </w:rPr>
              <w:t>3.06%</w:t>
            </w:r>
          </w:p>
        </w:tc>
        <w:tc>
          <w:tcPr>
            <w:tcW w:w="184" w:type="pct"/>
            <w:tcBorders>
              <w:top w:val="nil"/>
              <w:left w:val="nil"/>
              <w:bottom w:val="nil"/>
              <w:right w:val="nil"/>
            </w:tcBorders>
          </w:tcPr>
          <w:p w14:paraId="516DB3F1"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789D097A" w14:textId="77777777" w:rsidR="0035380D" w:rsidRPr="00D26C28" w:rsidRDefault="0035380D" w:rsidP="00B6548B">
            <w:pPr>
              <w:jc w:val="center"/>
              <w:rPr>
                <w:color w:val="000000" w:themeColor="text1"/>
                <w:sz w:val="14"/>
                <w:szCs w:val="14"/>
              </w:rPr>
            </w:pPr>
            <w:r w:rsidRPr="00D26C28">
              <w:rPr>
                <w:color w:val="000000" w:themeColor="text1"/>
                <w:sz w:val="14"/>
                <w:szCs w:val="14"/>
              </w:rPr>
              <w:t>1.64%</w:t>
            </w:r>
          </w:p>
        </w:tc>
        <w:tc>
          <w:tcPr>
            <w:tcW w:w="440" w:type="pct"/>
            <w:tcBorders>
              <w:top w:val="nil"/>
              <w:left w:val="nil"/>
              <w:bottom w:val="nil"/>
              <w:right w:val="nil"/>
            </w:tcBorders>
            <w:shd w:val="clear" w:color="auto" w:fill="auto"/>
            <w:noWrap/>
            <w:vAlign w:val="bottom"/>
            <w:hideMark/>
          </w:tcPr>
          <w:p w14:paraId="3B8180DC" w14:textId="77777777" w:rsidR="0035380D" w:rsidRPr="00D26C28" w:rsidRDefault="0035380D" w:rsidP="00B6548B">
            <w:pPr>
              <w:jc w:val="center"/>
              <w:rPr>
                <w:color w:val="000000" w:themeColor="text1"/>
                <w:sz w:val="14"/>
                <w:szCs w:val="14"/>
              </w:rPr>
            </w:pPr>
            <w:r w:rsidRPr="00D26C28">
              <w:rPr>
                <w:color w:val="000000" w:themeColor="text1"/>
                <w:sz w:val="14"/>
                <w:szCs w:val="14"/>
              </w:rPr>
              <w:t>2.34%</w:t>
            </w:r>
          </w:p>
        </w:tc>
        <w:tc>
          <w:tcPr>
            <w:tcW w:w="320" w:type="pct"/>
            <w:tcBorders>
              <w:top w:val="nil"/>
              <w:left w:val="nil"/>
              <w:bottom w:val="nil"/>
              <w:right w:val="nil"/>
            </w:tcBorders>
            <w:shd w:val="clear" w:color="auto" w:fill="auto"/>
            <w:noWrap/>
            <w:vAlign w:val="bottom"/>
            <w:hideMark/>
          </w:tcPr>
          <w:p w14:paraId="7239555B" w14:textId="77777777" w:rsidR="0035380D" w:rsidRPr="00D26C28" w:rsidRDefault="0035380D" w:rsidP="00B6548B">
            <w:pPr>
              <w:jc w:val="center"/>
              <w:rPr>
                <w:color w:val="000000" w:themeColor="text1"/>
                <w:sz w:val="14"/>
                <w:szCs w:val="14"/>
              </w:rPr>
            </w:pPr>
            <w:r w:rsidRPr="00D26C28">
              <w:rPr>
                <w:color w:val="000000" w:themeColor="text1"/>
                <w:sz w:val="14"/>
                <w:szCs w:val="14"/>
              </w:rPr>
              <w:t>2.51%</w:t>
            </w:r>
          </w:p>
        </w:tc>
        <w:tc>
          <w:tcPr>
            <w:tcW w:w="346" w:type="pct"/>
            <w:tcBorders>
              <w:top w:val="nil"/>
              <w:left w:val="nil"/>
              <w:bottom w:val="nil"/>
              <w:right w:val="nil"/>
            </w:tcBorders>
            <w:shd w:val="clear" w:color="auto" w:fill="auto"/>
            <w:noWrap/>
            <w:vAlign w:val="bottom"/>
            <w:hideMark/>
          </w:tcPr>
          <w:p w14:paraId="1C8C714E" w14:textId="77777777" w:rsidR="0035380D" w:rsidRPr="00D26C28" w:rsidRDefault="0035380D" w:rsidP="00B6548B">
            <w:pPr>
              <w:jc w:val="center"/>
              <w:rPr>
                <w:color w:val="000000" w:themeColor="text1"/>
                <w:sz w:val="14"/>
                <w:szCs w:val="14"/>
              </w:rPr>
            </w:pPr>
            <w:r w:rsidRPr="00D26C28">
              <w:rPr>
                <w:color w:val="000000" w:themeColor="text1"/>
                <w:sz w:val="14"/>
                <w:szCs w:val="14"/>
              </w:rPr>
              <w:t>2.30%</w:t>
            </w:r>
          </w:p>
        </w:tc>
        <w:tc>
          <w:tcPr>
            <w:tcW w:w="123" w:type="pct"/>
            <w:tcBorders>
              <w:top w:val="nil"/>
              <w:left w:val="nil"/>
              <w:bottom w:val="nil"/>
              <w:right w:val="nil"/>
            </w:tcBorders>
          </w:tcPr>
          <w:p w14:paraId="52E390E1"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7F39F5E1" w14:textId="77777777" w:rsidR="0035380D" w:rsidRPr="00D26C28" w:rsidRDefault="0035380D" w:rsidP="00B6548B">
            <w:pPr>
              <w:jc w:val="center"/>
              <w:rPr>
                <w:color w:val="000000" w:themeColor="text1"/>
                <w:sz w:val="14"/>
                <w:szCs w:val="14"/>
              </w:rPr>
            </w:pPr>
            <w:r w:rsidRPr="00D26C28">
              <w:rPr>
                <w:color w:val="000000" w:themeColor="text1"/>
                <w:sz w:val="14"/>
                <w:szCs w:val="14"/>
              </w:rPr>
              <w:t>0.82%</w:t>
            </w:r>
          </w:p>
        </w:tc>
        <w:tc>
          <w:tcPr>
            <w:tcW w:w="320" w:type="pct"/>
            <w:tcBorders>
              <w:top w:val="nil"/>
              <w:left w:val="nil"/>
              <w:bottom w:val="nil"/>
              <w:right w:val="nil"/>
            </w:tcBorders>
            <w:shd w:val="clear" w:color="auto" w:fill="auto"/>
            <w:noWrap/>
            <w:vAlign w:val="bottom"/>
            <w:hideMark/>
          </w:tcPr>
          <w:p w14:paraId="6D9AB963" w14:textId="77777777" w:rsidR="0035380D" w:rsidRPr="00D26C28" w:rsidRDefault="0035380D" w:rsidP="00B6548B">
            <w:pPr>
              <w:jc w:val="center"/>
              <w:rPr>
                <w:color w:val="000000" w:themeColor="text1"/>
                <w:sz w:val="14"/>
                <w:szCs w:val="14"/>
              </w:rPr>
            </w:pPr>
            <w:r w:rsidRPr="00D26C28">
              <w:rPr>
                <w:color w:val="000000" w:themeColor="text1"/>
                <w:sz w:val="14"/>
                <w:szCs w:val="14"/>
              </w:rPr>
              <w:t>0.97%</w:t>
            </w:r>
          </w:p>
        </w:tc>
        <w:tc>
          <w:tcPr>
            <w:tcW w:w="320" w:type="pct"/>
            <w:tcBorders>
              <w:top w:val="nil"/>
              <w:left w:val="nil"/>
              <w:bottom w:val="nil"/>
            </w:tcBorders>
            <w:shd w:val="clear" w:color="auto" w:fill="auto"/>
            <w:noWrap/>
            <w:vAlign w:val="bottom"/>
            <w:hideMark/>
          </w:tcPr>
          <w:p w14:paraId="63C70685" w14:textId="77777777" w:rsidR="0035380D" w:rsidRPr="00D26C28" w:rsidRDefault="0035380D" w:rsidP="00B6548B">
            <w:pPr>
              <w:jc w:val="center"/>
              <w:rPr>
                <w:color w:val="000000" w:themeColor="text1"/>
                <w:sz w:val="14"/>
                <w:szCs w:val="14"/>
              </w:rPr>
            </w:pPr>
            <w:r w:rsidRPr="00D26C28">
              <w:rPr>
                <w:color w:val="000000" w:themeColor="text1"/>
                <w:sz w:val="14"/>
                <w:szCs w:val="14"/>
              </w:rPr>
              <w:t>0.60%</w:t>
            </w:r>
          </w:p>
        </w:tc>
        <w:tc>
          <w:tcPr>
            <w:tcW w:w="346" w:type="pct"/>
            <w:tcBorders>
              <w:top w:val="nil"/>
              <w:left w:val="nil"/>
              <w:bottom w:val="nil"/>
              <w:right w:val="nil"/>
            </w:tcBorders>
            <w:vAlign w:val="bottom"/>
          </w:tcPr>
          <w:p w14:paraId="65520A62" w14:textId="77777777" w:rsidR="0035380D" w:rsidRPr="00D26C28" w:rsidRDefault="0035380D" w:rsidP="00B6548B">
            <w:pPr>
              <w:jc w:val="center"/>
              <w:rPr>
                <w:color w:val="000000" w:themeColor="text1"/>
                <w:sz w:val="14"/>
                <w:szCs w:val="14"/>
              </w:rPr>
            </w:pPr>
            <w:r w:rsidRPr="00D26C28">
              <w:rPr>
                <w:color w:val="000000" w:themeColor="text1"/>
                <w:sz w:val="14"/>
                <w:szCs w:val="14"/>
              </w:rPr>
              <w:t>0.99%</w:t>
            </w:r>
          </w:p>
        </w:tc>
      </w:tr>
      <w:tr w:rsidR="0035380D" w:rsidRPr="00D26C28" w14:paraId="6AF21A9F" w14:textId="77777777" w:rsidTr="006132B7">
        <w:trPr>
          <w:cantSplit/>
          <w:trHeight w:hRule="exact" w:val="255"/>
        </w:trPr>
        <w:tc>
          <w:tcPr>
            <w:tcW w:w="275" w:type="pct"/>
            <w:tcBorders>
              <w:top w:val="nil"/>
              <w:bottom w:val="nil"/>
              <w:right w:val="nil"/>
            </w:tcBorders>
            <w:shd w:val="clear" w:color="auto" w:fill="auto"/>
            <w:noWrap/>
            <w:vAlign w:val="bottom"/>
            <w:hideMark/>
          </w:tcPr>
          <w:p w14:paraId="240608C3" w14:textId="77777777" w:rsidR="0035380D" w:rsidRPr="00D26C28" w:rsidRDefault="0035380D" w:rsidP="00B6548B">
            <w:pPr>
              <w:rPr>
                <w:color w:val="000000" w:themeColor="text1"/>
                <w:sz w:val="14"/>
                <w:szCs w:val="14"/>
              </w:rPr>
            </w:pPr>
          </w:p>
        </w:tc>
        <w:tc>
          <w:tcPr>
            <w:tcW w:w="434" w:type="pct"/>
            <w:tcBorders>
              <w:top w:val="nil"/>
              <w:left w:val="nil"/>
              <w:bottom w:val="nil"/>
              <w:right w:val="nil"/>
            </w:tcBorders>
            <w:shd w:val="clear" w:color="auto" w:fill="auto"/>
            <w:noWrap/>
            <w:vAlign w:val="bottom"/>
            <w:hideMark/>
          </w:tcPr>
          <w:p w14:paraId="168AE122" w14:textId="77777777" w:rsidR="0035380D" w:rsidRPr="00D26C28" w:rsidRDefault="0035380D" w:rsidP="00B6548B">
            <w:pPr>
              <w:rPr>
                <w:i/>
                <w:iCs/>
                <w:color w:val="000000" w:themeColor="text1"/>
                <w:sz w:val="14"/>
                <w:szCs w:val="14"/>
              </w:rPr>
            </w:pPr>
            <w:r w:rsidRPr="00D26C28">
              <w:rPr>
                <w:i/>
                <w:iCs/>
                <w:color w:val="000000" w:themeColor="text1"/>
                <w:sz w:val="14"/>
                <w:szCs w:val="14"/>
              </w:rPr>
              <w:t>t-</w:t>
            </w:r>
            <w:r w:rsidRPr="00D26C28">
              <w:rPr>
                <w:color w:val="000000" w:themeColor="text1"/>
                <w:sz w:val="14"/>
                <w:szCs w:val="14"/>
              </w:rPr>
              <w:t>statistics</w:t>
            </w:r>
          </w:p>
        </w:tc>
        <w:tc>
          <w:tcPr>
            <w:tcW w:w="320" w:type="pct"/>
            <w:tcBorders>
              <w:top w:val="nil"/>
              <w:left w:val="nil"/>
              <w:bottom w:val="nil"/>
              <w:right w:val="nil"/>
            </w:tcBorders>
            <w:shd w:val="clear" w:color="auto" w:fill="auto"/>
            <w:noWrap/>
            <w:vAlign w:val="bottom"/>
            <w:hideMark/>
          </w:tcPr>
          <w:p w14:paraId="68EB82FB" w14:textId="77777777" w:rsidR="0035380D" w:rsidRPr="00D26C28" w:rsidRDefault="0035380D" w:rsidP="00B6548B">
            <w:pPr>
              <w:jc w:val="center"/>
              <w:rPr>
                <w:color w:val="000000" w:themeColor="text1"/>
                <w:sz w:val="14"/>
                <w:szCs w:val="14"/>
              </w:rPr>
            </w:pPr>
            <w:r w:rsidRPr="00D26C28">
              <w:rPr>
                <w:color w:val="000000" w:themeColor="text1"/>
                <w:sz w:val="14"/>
                <w:szCs w:val="14"/>
              </w:rPr>
              <w:t>3.79</w:t>
            </w:r>
          </w:p>
        </w:tc>
        <w:tc>
          <w:tcPr>
            <w:tcW w:w="320" w:type="pct"/>
            <w:tcBorders>
              <w:top w:val="nil"/>
              <w:left w:val="nil"/>
              <w:bottom w:val="nil"/>
              <w:right w:val="nil"/>
            </w:tcBorders>
            <w:shd w:val="clear" w:color="auto" w:fill="auto"/>
            <w:noWrap/>
            <w:vAlign w:val="bottom"/>
            <w:hideMark/>
          </w:tcPr>
          <w:p w14:paraId="2E0CC8C7" w14:textId="77777777" w:rsidR="0035380D" w:rsidRPr="00D26C28" w:rsidRDefault="0035380D" w:rsidP="00B6548B">
            <w:pPr>
              <w:jc w:val="center"/>
              <w:rPr>
                <w:color w:val="000000" w:themeColor="text1"/>
                <w:sz w:val="14"/>
                <w:szCs w:val="14"/>
              </w:rPr>
            </w:pPr>
            <w:r w:rsidRPr="00D26C28">
              <w:rPr>
                <w:color w:val="000000" w:themeColor="text1"/>
                <w:sz w:val="14"/>
                <w:szCs w:val="14"/>
              </w:rPr>
              <w:t>3.29</w:t>
            </w:r>
          </w:p>
        </w:tc>
        <w:tc>
          <w:tcPr>
            <w:tcW w:w="320" w:type="pct"/>
            <w:tcBorders>
              <w:top w:val="nil"/>
              <w:left w:val="nil"/>
              <w:bottom w:val="nil"/>
              <w:right w:val="nil"/>
            </w:tcBorders>
            <w:shd w:val="clear" w:color="auto" w:fill="auto"/>
            <w:noWrap/>
            <w:vAlign w:val="bottom"/>
            <w:hideMark/>
          </w:tcPr>
          <w:p w14:paraId="3B7F3BDB" w14:textId="77777777" w:rsidR="0035380D" w:rsidRPr="00D26C28" w:rsidRDefault="0035380D" w:rsidP="00B6548B">
            <w:pPr>
              <w:jc w:val="center"/>
              <w:rPr>
                <w:color w:val="000000" w:themeColor="text1"/>
                <w:sz w:val="14"/>
                <w:szCs w:val="14"/>
              </w:rPr>
            </w:pPr>
            <w:r w:rsidRPr="00D26C28">
              <w:rPr>
                <w:color w:val="000000" w:themeColor="text1"/>
                <w:sz w:val="14"/>
                <w:szCs w:val="14"/>
              </w:rPr>
              <w:t>5.32</w:t>
            </w:r>
          </w:p>
        </w:tc>
        <w:tc>
          <w:tcPr>
            <w:tcW w:w="293" w:type="pct"/>
            <w:tcBorders>
              <w:top w:val="nil"/>
              <w:left w:val="nil"/>
              <w:bottom w:val="nil"/>
              <w:right w:val="nil"/>
            </w:tcBorders>
            <w:shd w:val="clear" w:color="auto" w:fill="auto"/>
            <w:noWrap/>
            <w:vAlign w:val="bottom"/>
            <w:hideMark/>
          </w:tcPr>
          <w:p w14:paraId="1B2817ED" w14:textId="77777777" w:rsidR="0035380D" w:rsidRPr="00D26C28" w:rsidRDefault="0035380D" w:rsidP="00B6548B">
            <w:pPr>
              <w:jc w:val="center"/>
              <w:rPr>
                <w:color w:val="000000" w:themeColor="text1"/>
                <w:sz w:val="14"/>
                <w:szCs w:val="14"/>
              </w:rPr>
            </w:pPr>
            <w:r w:rsidRPr="00D26C28">
              <w:rPr>
                <w:color w:val="000000" w:themeColor="text1"/>
                <w:sz w:val="14"/>
                <w:szCs w:val="14"/>
              </w:rPr>
              <w:t>5.60</w:t>
            </w:r>
          </w:p>
        </w:tc>
        <w:tc>
          <w:tcPr>
            <w:tcW w:w="184" w:type="pct"/>
            <w:tcBorders>
              <w:top w:val="nil"/>
              <w:left w:val="nil"/>
              <w:bottom w:val="nil"/>
              <w:right w:val="nil"/>
            </w:tcBorders>
          </w:tcPr>
          <w:p w14:paraId="6C2AB0FE"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3CD4EE92" w14:textId="77777777" w:rsidR="0035380D" w:rsidRPr="00D26C28" w:rsidRDefault="0035380D" w:rsidP="00B6548B">
            <w:pPr>
              <w:jc w:val="center"/>
              <w:rPr>
                <w:color w:val="000000" w:themeColor="text1"/>
                <w:sz w:val="14"/>
                <w:szCs w:val="14"/>
              </w:rPr>
            </w:pPr>
            <w:r w:rsidRPr="00D26C28">
              <w:rPr>
                <w:color w:val="000000" w:themeColor="text1"/>
                <w:sz w:val="14"/>
                <w:szCs w:val="14"/>
              </w:rPr>
              <w:t>2.76</w:t>
            </w:r>
          </w:p>
        </w:tc>
        <w:tc>
          <w:tcPr>
            <w:tcW w:w="440" w:type="pct"/>
            <w:tcBorders>
              <w:top w:val="nil"/>
              <w:left w:val="nil"/>
              <w:bottom w:val="nil"/>
              <w:right w:val="nil"/>
            </w:tcBorders>
            <w:shd w:val="clear" w:color="auto" w:fill="auto"/>
            <w:noWrap/>
            <w:vAlign w:val="bottom"/>
            <w:hideMark/>
          </w:tcPr>
          <w:p w14:paraId="4FD118E7" w14:textId="77777777" w:rsidR="0035380D" w:rsidRPr="00D26C28" w:rsidRDefault="0035380D" w:rsidP="00B6548B">
            <w:pPr>
              <w:jc w:val="center"/>
              <w:rPr>
                <w:color w:val="000000" w:themeColor="text1"/>
                <w:sz w:val="14"/>
                <w:szCs w:val="14"/>
              </w:rPr>
            </w:pPr>
            <w:r w:rsidRPr="00D26C28">
              <w:rPr>
                <w:color w:val="000000" w:themeColor="text1"/>
                <w:sz w:val="14"/>
                <w:szCs w:val="14"/>
              </w:rPr>
              <w:t>3.55</w:t>
            </w:r>
          </w:p>
        </w:tc>
        <w:tc>
          <w:tcPr>
            <w:tcW w:w="320" w:type="pct"/>
            <w:tcBorders>
              <w:top w:val="nil"/>
              <w:left w:val="nil"/>
              <w:bottom w:val="nil"/>
              <w:right w:val="nil"/>
            </w:tcBorders>
            <w:shd w:val="clear" w:color="auto" w:fill="auto"/>
            <w:noWrap/>
            <w:vAlign w:val="bottom"/>
            <w:hideMark/>
          </w:tcPr>
          <w:p w14:paraId="23B522CC" w14:textId="77777777" w:rsidR="0035380D" w:rsidRPr="00D26C28" w:rsidRDefault="0035380D" w:rsidP="00B6548B">
            <w:pPr>
              <w:jc w:val="center"/>
              <w:rPr>
                <w:color w:val="000000" w:themeColor="text1"/>
                <w:sz w:val="14"/>
                <w:szCs w:val="14"/>
              </w:rPr>
            </w:pPr>
            <w:r w:rsidRPr="00D26C28">
              <w:rPr>
                <w:color w:val="000000" w:themeColor="text1"/>
                <w:sz w:val="14"/>
                <w:szCs w:val="14"/>
              </w:rPr>
              <w:t>3.54</w:t>
            </w:r>
          </w:p>
        </w:tc>
        <w:tc>
          <w:tcPr>
            <w:tcW w:w="346" w:type="pct"/>
            <w:tcBorders>
              <w:top w:val="nil"/>
              <w:left w:val="nil"/>
              <w:bottom w:val="nil"/>
              <w:right w:val="nil"/>
            </w:tcBorders>
            <w:shd w:val="clear" w:color="auto" w:fill="auto"/>
            <w:noWrap/>
            <w:vAlign w:val="bottom"/>
            <w:hideMark/>
          </w:tcPr>
          <w:p w14:paraId="7704AD85" w14:textId="77777777" w:rsidR="0035380D" w:rsidRPr="00D26C28" w:rsidRDefault="0035380D" w:rsidP="00B6548B">
            <w:pPr>
              <w:jc w:val="center"/>
              <w:rPr>
                <w:color w:val="000000" w:themeColor="text1"/>
                <w:sz w:val="14"/>
                <w:szCs w:val="14"/>
              </w:rPr>
            </w:pPr>
            <w:r w:rsidRPr="00D26C28">
              <w:rPr>
                <w:color w:val="000000" w:themeColor="text1"/>
                <w:sz w:val="14"/>
                <w:szCs w:val="14"/>
              </w:rPr>
              <w:t>4.02</w:t>
            </w:r>
          </w:p>
        </w:tc>
        <w:tc>
          <w:tcPr>
            <w:tcW w:w="123" w:type="pct"/>
            <w:tcBorders>
              <w:top w:val="nil"/>
              <w:left w:val="nil"/>
              <w:bottom w:val="nil"/>
              <w:right w:val="nil"/>
            </w:tcBorders>
          </w:tcPr>
          <w:p w14:paraId="0981B71D"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505A874F" w14:textId="77777777" w:rsidR="0035380D" w:rsidRPr="00D26C28" w:rsidRDefault="0035380D" w:rsidP="00B6548B">
            <w:pPr>
              <w:jc w:val="center"/>
              <w:rPr>
                <w:color w:val="000000" w:themeColor="text1"/>
                <w:sz w:val="14"/>
                <w:szCs w:val="14"/>
              </w:rPr>
            </w:pPr>
            <w:r w:rsidRPr="00D26C28">
              <w:rPr>
                <w:color w:val="000000" w:themeColor="text1"/>
                <w:sz w:val="14"/>
                <w:szCs w:val="14"/>
              </w:rPr>
              <w:t>2.32</w:t>
            </w:r>
          </w:p>
        </w:tc>
        <w:tc>
          <w:tcPr>
            <w:tcW w:w="320" w:type="pct"/>
            <w:tcBorders>
              <w:top w:val="nil"/>
              <w:left w:val="nil"/>
              <w:bottom w:val="nil"/>
              <w:right w:val="nil"/>
            </w:tcBorders>
            <w:shd w:val="clear" w:color="auto" w:fill="auto"/>
            <w:noWrap/>
            <w:vAlign w:val="bottom"/>
            <w:hideMark/>
          </w:tcPr>
          <w:p w14:paraId="3C05CF3F" w14:textId="77777777" w:rsidR="0035380D" w:rsidRPr="00D26C28" w:rsidRDefault="0035380D" w:rsidP="00B6548B">
            <w:pPr>
              <w:jc w:val="center"/>
              <w:rPr>
                <w:color w:val="000000" w:themeColor="text1"/>
                <w:sz w:val="14"/>
                <w:szCs w:val="14"/>
              </w:rPr>
            </w:pPr>
            <w:r w:rsidRPr="00D26C28">
              <w:rPr>
                <w:color w:val="000000" w:themeColor="text1"/>
                <w:sz w:val="14"/>
                <w:szCs w:val="14"/>
              </w:rPr>
              <w:t>2.52</w:t>
            </w:r>
          </w:p>
        </w:tc>
        <w:tc>
          <w:tcPr>
            <w:tcW w:w="320" w:type="pct"/>
            <w:tcBorders>
              <w:top w:val="nil"/>
              <w:left w:val="nil"/>
              <w:bottom w:val="nil"/>
            </w:tcBorders>
            <w:shd w:val="clear" w:color="auto" w:fill="auto"/>
            <w:noWrap/>
            <w:vAlign w:val="bottom"/>
            <w:hideMark/>
          </w:tcPr>
          <w:p w14:paraId="45EC6CCB" w14:textId="77777777" w:rsidR="0035380D" w:rsidRPr="00D26C28" w:rsidRDefault="0035380D" w:rsidP="00B6548B">
            <w:pPr>
              <w:jc w:val="center"/>
              <w:rPr>
                <w:color w:val="000000" w:themeColor="text1"/>
                <w:sz w:val="14"/>
                <w:szCs w:val="14"/>
              </w:rPr>
            </w:pPr>
            <w:r w:rsidRPr="00D26C28">
              <w:rPr>
                <w:color w:val="000000" w:themeColor="text1"/>
                <w:sz w:val="14"/>
                <w:szCs w:val="14"/>
              </w:rPr>
              <w:t>1.06</w:t>
            </w:r>
          </w:p>
        </w:tc>
        <w:tc>
          <w:tcPr>
            <w:tcW w:w="346" w:type="pct"/>
            <w:tcBorders>
              <w:top w:val="nil"/>
              <w:left w:val="nil"/>
              <w:bottom w:val="nil"/>
              <w:right w:val="nil"/>
            </w:tcBorders>
            <w:vAlign w:val="bottom"/>
          </w:tcPr>
          <w:p w14:paraId="1A167779" w14:textId="77777777" w:rsidR="0035380D" w:rsidRPr="00D26C28" w:rsidRDefault="0035380D" w:rsidP="00B6548B">
            <w:pPr>
              <w:jc w:val="center"/>
              <w:rPr>
                <w:color w:val="000000" w:themeColor="text1"/>
                <w:sz w:val="14"/>
                <w:szCs w:val="14"/>
              </w:rPr>
            </w:pPr>
            <w:r w:rsidRPr="00D26C28">
              <w:rPr>
                <w:color w:val="000000" w:themeColor="text1"/>
                <w:sz w:val="14"/>
                <w:szCs w:val="14"/>
              </w:rPr>
              <w:t>1.76</w:t>
            </w:r>
          </w:p>
        </w:tc>
      </w:tr>
      <w:tr w:rsidR="0035380D" w:rsidRPr="00D26C28" w14:paraId="732F9FAC" w14:textId="77777777" w:rsidTr="006132B7">
        <w:trPr>
          <w:cantSplit/>
          <w:trHeight w:hRule="exact" w:val="255"/>
        </w:trPr>
        <w:tc>
          <w:tcPr>
            <w:tcW w:w="275" w:type="pct"/>
            <w:tcBorders>
              <w:top w:val="nil"/>
              <w:bottom w:val="nil"/>
              <w:right w:val="nil"/>
            </w:tcBorders>
            <w:shd w:val="clear" w:color="auto" w:fill="auto"/>
            <w:noWrap/>
            <w:vAlign w:val="bottom"/>
            <w:hideMark/>
          </w:tcPr>
          <w:p w14:paraId="64F43268"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073EA84F" w14:textId="77777777" w:rsidR="0035380D" w:rsidRPr="00D26C28" w:rsidRDefault="0035380D" w:rsidP="00B6548B">
            <w:pPr>
              <w:rPr>
                <w:color w:val="000000" w:themeColor="text1"/>
                <w:sz w:val="14"/>
                <w:szCs w:val="14"/>
              </w:rPr>
            </w:pPr>
            <w:r w:rsidRPr="00D26C28">
              <w:rPr>
                <w:color w:val="000000" w:themeColor="text1"/>
                <w:sz w:val="14"/>
                <w:szCs w:val="14"/>
              </w:rPr>
              <w:t>Volatility</w:t>
            </w:r>
          </w:p>
        </w:tc>
        <w:tc>
          <w:tcPr>
            <w:tcW w:w="320" w:type="pct"/>
            <w:tcBorders>
              <w:top w:val="nil"/>
              <w:left w:val="nil"/>
              <w:bottom w:val="nil"/>
              <w:right w:val="nil"/>
            </w:tcBorders>
            <w:shd w:val="clear" w:color="auto" w:fill="auto"/>
            <w:noWrap/>
            <w:vAlign w:val="bottom"/>
            <w:hideMark/>
          </w:tcPr>
          <w:p w14:paraId="09CBA117" w14:textId="77777777" w:rsidR="0035380D" w:rsidRPr="00D26C28" w:rsidRDefault="0035380D" w:rsidP="00B6548B">
            <w:pPr>
              <w:jc w:val="center"/>
              <w:rPr>
                <w:color w:val="000000" w:themeColor="text1"/>
                <w:sz w:val="14"/>
                <w:szCs w:val="14"/>
              </w:rPr>
            </w:pPr>
            <w:r w:rsidRPr="00D26C28">
              <w:rPr>
                <w:color w:val="000000" w:themeColor="text1"/>
                <w:sz w:val="14"/>
                <w:szCs w:val="14"/>
              </w:rPr>
              <w:t>3.80%</w:t>
            </w:r>
          </w:p>
        </w:tc>
        <w:tc>
          <w:tcPr>
            <w:tcW w:w="320" w:type="pct"/>
            <w:tcBorders>
              <w:top w:val="nil"/>
              <w:left w:val="nil"/>
              <w:bottom w:val="nil"/>
              <w:right w:val="nil"/>
            </w:tcBorders>
            <w:shd w:val="clear" w:color="auto" w:fill="auto"/>
            <w:noWrap/>
            <w:vAlign w:val="bottom"/>
            <w:hideMark/>
          </w:tcPr>
          <w:p w14:paraId="63EFA048" w14:textId="77777777" w:rsidR="0035380D" w:rsidRPr="00D26C28" w:rsidRDefault="0035380D" w:rsidP="00B6548B">
            <w:pPr>
              <w:jc w:val="center"/>
              <w:rPr>
                <w:color w:val="000000" w:themeColor="text1"/>
                <w:sz w:val="14"/>
                <w:szCs w:val="14"/>
              </w:rPr>
            </w:pPr>
            <w:r w:rsidRPr="00D26C28">
              <w:rPr>
                <w:color w:val="000000" w:themeColor="text1"/>
                <w:sz w:val="14"/>
                <w:szCs w:val="14"/>
              </w:rPr>
              <w:t>5.20%</w:t>
            </w:r>
          </w:p>
        </w:tc>
        <w:tc>
          <w:tcPr>
            <w:tcW w:w="320" w:type="pct"/>
            <w:tcBorders>
              <w:top w:val="nil"/>
              <w:left w:val="nil"/>
              <w:bottom w:val="nil"/>
              <w:right w:val="nil"/>
            </w:tcBorders>
            <w:shd w:val="clear" w:color="auto" w:fill="auto"/>
            <w:noWrap/>
            <w:vAlign w:val="bottom"/>
            <w:hideMark/>
          </w:tcPr>
          <w:p w14:paraId="7AE4DB72" w14:textId="77777777" w:rsidR="0035380D" w:rsidRPr="00D26C28" w:rsidRDefault="0035380D" w:rsidP="00B6548B">
            <w:pPr>
              <w:jc w:val="center"/>
              <w:rPr>
                <w:color w:val="000000" w:themeColor="text1"/>
                <w:sz w:val="14"/>
                <w:szCs w:val="14"/>
              </w:rPr>
            </w:pPr>
            <w:r w:rsidRPr="00D26C28">
              <w:rPr>
                <w:color w:val="000000" w:themeColor="text1"/>
                <w:sz w:val="14"/>
                <w:szCs w:val="14"/>
              </w:rPr>
              <w:t>4.66%</w:t>
            </w:r>
          </w:p>
        </w:tc>
        <w:tc>
          <w:tcPr>
            <w:tcW w:w="293" w:type="pct"/>
            <w:tcBorders>
              <w:top w:val="nil"/>
              <w:left w:val="nil"/>
              <w:bottom w:val="nil"/>
              <w:right w:val="nil"/>
            </w:tcBorders>
            <w:shd w:val="clear" w:color="auto" w:fill="auto"/>
            <w:noWrap/>
            <w:vAlign w:val="bottom"/>
            <w:hideMark/>
          </w:tcPr>
          <w:p w14:paraId="38C396D5" w14:textId="77777777" w:rsidR="0035380D" w:rsidRPr="00D26C28" w:rsidRDefault="0035380D" w:rsidP="00B6548B">
            <w:pPr>
              <w:jc w:val="center"/>
              <w:rPr>
                <w:color w:val="000000" w:themeColor="text1"/>
                <w:sz w:val="14"/>
                <w:szCs w:val="14"/>
              </w:rPr>
            </w:pPr>
            <w:r w:rsidRPr="00D26C28">
              <w:rPr>
                <w:color w:val="000000" w:themeColor="text1"/>
                <w:sz w:val="14"/>
                <w:szCs w:val="14"/>
              </w:rPr>
              <w:t>5.11%</w:t>
            </w:r>
          </w:p>
        </w:tc>
        <w:tc>
          <w:tcPr>
            <w:tcW w:w="184" w:type="pct"/>
            <w:tcBorders>
              <w:top w:val="nil"/>
              <w:left w:val="nil"/>
              <w:bottom w:val="nil"/>
              <w:right w:val="nil"/>
            </w:tcBorders>
          </w:tcPr>
          <w:p w14:paraId="427E2AF1"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7D4236EA" w14:textId="77777777" w:rsidR="0035380D" w:rsidRPr="00D26C28" w:rsidRDefault="0035380D" w:rsidP="00B6548B">
            <w:pPr>
              <w:jc w:val="center"/>
              <w:rPr>
                <w:color w:val="000000" w:themeColor="text1"/>
                <w:sz w:val="14"/>
                <w:szCs w:val="14"/>
              </w:rPr>
            </w:pPr>
            <w:r w:rsidRPr="00D26C28">
              <w:rPr>
                <w:color w:val="000000" w:themeColor="text1"/>
                <w:sz w:val="14"/>
                <w:szCs w:val="14"/>
              </w:rPr>
              <w:t>4.97%</w:t>
            </w:r>
          </w:p>
        </w:tc>
        <w:tc>
          <w:tcPr>
            <w:tcW w:w="440" w:type="pct"/>
            <w:tcBorders>
              <w:top w:val="nil"/>
              <w:left w:val="nil"/>
              <w:bottom w:val="nil"/>
              <w:right w:val="nil"/>
            </w:tcBorders>
            <w:shd w:val="clear" w:color="auto" w:fill="auto"/>
            <w:noWrap/>
            <w:vAlign w:val="bottom"/>
            <w:hideMark/>
          </w:tcPr>
          <w:p w14:paraId="7041A744" w14:textId="77777777" w:rsidR="0035380D" w:rsidRPr="00D26C28" w:rsidRDefault="0035380D" w:rsidP="00B6548B">
            <w:pPr>
              <w:jc w:val="center"/>
              <w:rPr>
                <w:color w:val="000000" w:themeColor="text1"/>
                <w:sz w:val="14"/>
                <w:szCs w:val="14"/>
              </w:rPr>
            </w:pPr>
            <w:r w:rsidRPr="00D26C28">
              <w:rPr>
                <w:color w:val="000000" w:themeColor="text1"/>
                <w:sz w:val="14"/>
                <w:szCs w:val="14"/>
              </w:rPr>
              <w:t>5.29%</w:t>
            </w:r>
          </w:p>
        </w:tc>
        <w:tc>
          <w:tcPr>
            <w:tcW w:w="320" w:type="pct"/>
            <w:tcBorders>
              <w:top w:val="nil"/>
              <w:left w:val="nil"/>
              <w:bottom w:val="nil"/>
              <w:right w:val="nil"/>
            </w:tcBorders>
            <w:shd w:val="clear" w:color="auto" w:fill="auto"/>
            <w:noWrap/>
            <w:vAlign w:val="bottom"/>
            <w:hideMark/>
          </w:tcPr>
          <w:p w14:paraId="21BACA13" w14:textId="77777777" w:rsidR="0035380D" w:rsidRPr="00D26C28" w:rsidRDefault="0035380D" w:rsidP="00B6548B">
            <w:pPr>
              <w:jc w:val="center"/>
              <w:rPr>
                <w:color w:val="000000" w:themeColor="text1"/>
                <w:sz w:val="14"/>
                <w:szCs w:val="14"/>
              </w:rPr>
            </w:pPr>
            <w:r w:rsidRPr="00D26C28">
              <w:rPr>
                <w:color w:val="000000" w:themeColor="text1"/>
                <w:sz w:val="14"/>
                <w:szCs w:val="14"/>
              </w:rPr>
              <w:t>5.85%</w:t>
            </w:r>
          </w:p>
        </w:tc>
        <w:tc>
          <w:tcPr>
            <w:tcW w:w="346" w:type="pct"/>
            <w:tcBorders>
              <w:top w:val="nil"/>
              <w:left w:val="nil"/>
              <w:bottom w:val="nil"/>
              <w:right w:val="nil"/>
            </w:tcBorders>
            <w:shd w:val="clear" w:color="auto" w:fill="auto"/>
            <w:noWrap/>
            <w:vAlign w:val="bottom"/>
            <w:hideMark/>
          </w:tcPr>
          <w:p w14:paraId="15E703CF" w14:textId="77777777" w:rsidR="0035380D" w:rsidRPr="00D26C28" w:rsidRDefault="0035380D" w:rsidP="00B6548B">
            <w:pPr>
              <w:jc w:val="center"/>
              <w:rPr>
                <w:color w:val="000000" w:themeColor="text1"/>
                <w:sz w:val="14"/>
                <w:szCs w:val="14"/>
              </w:rPr>
            </w:pPr>
            <w:r w:rsidRPr="00D26C28">
              <w:rPr>
                <w:color w:val="000000" w:themeColor="text1"/>
                <w:sz w:val="14"/>
                <w:szCs w:val="14"/>
              </w:rPr>
              <w:t>5.55%</w:t>
            </w:r>
          </w:p>
        </w:tc>
        <w:tc>
          <w:tcPr>
            <w:tcW w:w="123" w:type="pct"/>
            <w:tcBorders>
              <w:top w:val="nil"/>
              <w:left w:val="nil"/>
              <w:bottom w:val="nil"/>
              <w:right w:val="nil"/>
            </w:tcBorders>
          </w:tcPr>
          <w:p w14:paraId="5A89EBEC"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782CA0C3" w14:textId="77777777" w:rsidR="0035380D" w:rsidRPr="00D26C28" w:rsidRDefault="0035380D" w:rsidP="00B6548B">
            <w:pPr>
              <w:jc w:val="center"/>
              <w:rPr>
                <w:color w:val="000000" w:themeColor="text1"/>
                <w:sz w:val="14"/>
                <w:szCs w:val="14"/>
              </w:rPr>
            </w:pPr>
            <w:r w:rsidRPr="00D26C28">
              <w:rPr>
                <w:color w:val="000000" w:themeColor="text1"/>
                <w:sz w:val="14"/>
                <w:szCs w:val="14"/>
              </w:rPr>
              <w:t>2.77%</w:t>
            </w:r>
          </w:p>
        </w:tc>
        <w:tc>
          <w:tcPr>
            <w:tcW w:w="320" w:type="pct"/>
            <w:tcBorders>
              <w:top w:val="nil"/>
              <w:left w:val="nil"/>
              <w:bottom w:val="nil"/>
              <w:right w:val="nil"/>
            </w:tcBorders>
            <w:shd w:val="clear" w:color="auto" w:fill="auto"/>
            <w:noWrap/>
            <w:vAlign w:val="bottom"/>
            <w:hideMark/>
          </w:tcPr>
          <w:p w14:paraId="6320457C" w14:textId="77777777" w:rsidR="0035380D" w:rsidRPr="00D26C28" w:rsidRDefault="0035380D" w:rsidP="00B6548B">
            <w:pPr>
              <w:jc w:val="center"/>
              <w:rPr>
                <w:color w:val="000000" w:themeColor="text1"/>
                <w:sz w:val="14"/>
                <w:szCs w:val="14"/>
              </w:rPr>
            </w:pPr>
            <w:r w:rsidRPr="00D26C28">
              <w:rPr>
                <w:color w:val="000000" w:themeColor="text1"/>
                <w:sz w:val="14"/>
                <w:szCs w:val="14"/>
              </w:rPr>
              <w:t>2.95%</w:t>
            </w:r>
          </w:p>
        </w:tc>
        <w:tc>
          <w:tcPr>
            <w:tcW w:w="320" w:type="pct"/>
            <w:tcBorders>
              <w:top w:val="nil"/>
              <w:left w:val="nil"/>
              <w:bottom w:val="nil"/>
            </w:tcBorders>
            <w:shd w:val="clear" w:color="auto" w:fill="auto"/>
            <w:noWrap/>
            <w:vAlign w:val="bottom"/>
            <w:hideMark/>
          </w:tcPr>
          <w:p w14:paraId="68168E92" w14:textId="77777777" w:rsidR="0035380D" w:rsidRPr="00D26C28" w:rsidRDefault="0035380D" w:rsidP="00B6548B">
            <w:pPr>
              <w:jc w:val="center"/>
              <w:rPr>
                <w:color w:val="000000" w:themeColor="text1"/>
                <w:sz w:val="14"/>
                <w:szCs w:val="14"/>
              </w:rPr>
            </w:pPr>
            <w:r w:rsidRPr="00D26C28">
              <w:rPr>
                <w:color w:val="000000" w:themeColor="text1"/>
                <w:sz w:val="14"/>
                <w:szCs w:val="14"/>
              </w:rPr>
              <w:t>5.09%</w:t>
            </w:r>
          </w:p>
        </w:tc>
        <w:tc>
          <w:tcPr>
            <w:tcW w:w="346" w:type="pct"/>
            <w:tcBorders>
              <w:top w:val="nil"/>
              <w:left w:val="nil"/>
              <w:bottom w:val="nil"/>
              <w:right w:val="nil"/>
            </w:tcBorders>
            <w:vAlign w:val="bottom"/>
          </w:tcPr>
          <w:p w14:paraId="44685FCA" w14:textId="77777777" w:rsidR="0035380D" w:rsidRPr="00D26C28" w:rsidRDefault="0035380D" w:rsidP="00B6548B">
            <w:pPr>
              <w:jc w:val="center"/>
              <w:rPr>
                <w:color w:val="000000" w:themeColor="text1"/>
                <w:sz w:val="14"/>
                <w:szCs w:val="14"/>
              </w:rPr>
            </w:pPr>
            <w:r w:rsidRPr="00D26C28">
              <w:rPr>
                <w:color w:val="000000" w:themeColor="text1"/>
                <w:sz w:val="14"/>
                <w:szCs w:val="14"/>
              </w:rPr>
              <w:t>5.32%</w:t>
            </w:r>
          </w:p>
        </w:tc>
      </w:tr>
      <w:tr w:rsidR="0035380D" w:rsidRPr="00D26C28" w14:paraId="73656A7D" w14:textId="77777777" w:rsidTr="006132B7">
        <w:trPr>
          <w:cantSplit/>
          <w:trHeight w:hRule="exact" w:val="255"/>
        </w:trPr>
        <w:tc>
          <w:tcPr>
            <w:tcW w:w="275" w:type="pct"/>
            <w:tcBorders>
              <w:top w:val="nil"/>
              <w:bottom w:val="nil"/>
              <w:right w:val="nil"/>
            </w:tcBorders>
            <w:shd w:val="clear" w:color="auto" w:fill="auto"/>
            <w:noWrap/>
            <w:vAlign w:val="bottom"/>
            <w:hideMark/>
          </w:tcPr>
          <w:p w14:paraId="050D7AC8"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712BF058" w14:textId="77777777" w:rsidR="0035380D" w:rsidRPr="00D26C28" w:rsidRDefault="0035380D" w:rsidP="00B6548B">
            <w:pPr>
              <w:rPr>
                <w:color w:val="000000" w:themeColor="text1"/>
                <w:sz w:val="14"/>
                <w:szCs w:val="14"/>
              </w:rPr>
            </w:pPr>
            <w:r w:rsidRPr="00D26C28">
              <w:rPr>
                <w:color w:val="000000" w:themeColor="text1"/>
                <w:sz w:val="14"/>
                <w:szCs w:val="14"/>
              </w:rPr>
              <w:t>Sharpe</w:t>
            </w:r>
          </w:p>
        </w:tc>
        <w:tc>
          <w:tcPr>
            <w:tcW w:w="320" w:type="pct"/>
            <w:tcBorders>
              <w:top w:val="nil"/>
              <w:left w:val="nil"/>
              <w:bottom w:val="nil"/>
              <w:right w:val="nil"/>
            </w:tcBorders>
            <w:shd w:val="clear" w:color="auto" w:fill="auto"/>
            <w:noWrap/>
            <w:vAlign w:val="bottom"/>
            <w:hideMark/>
          </w:tcPr>
          <w:p w14:paraId="3DB047D2" w14:textId="77777777" w:rsidR="0035380D" w:rsidRPr="00D26C28" w:rsidRDefault="0035380D" w:rsidP="00B6548B">
            <w:pPr>
              <w:jc w:val="center"/>
              <w:rPr>
                <w:color w:val="000000" w:themeColor="text1"/>
                <w:sz w:val="14"/>
                <w:szCs w:val="14"/>
              </w:rPr>
            </w:pPr>
            <w:r w:rsidRPr="00D26C28">
              <w:rPr>
                <w:color w:val="000000" w:themeColor="text1"/>
                <w:sz w:val="14"/>
                <w:szCs w:val="14"/>
              </w:rPr>
              <w:t>1.45</w:t>
            </w:r>
          </w:p>
        </w:tc>
        <w:tc>
          <w:tcPr>
            <w:tcW w:w="320" w:type="pct"/>
            <w:tcBorders>
              <w:top w:val="nil"/>
              <w:left w:val="nil"/>
              <w:bottom w:val="nil"/>
              <w:right w:val="nil"/>
            </w:tcBorders>
            <w:shd w:val="clear" w:color="auto" w:fill="auto"/>
            <w:noWrap/>
            <w:vAlign w:val="bottom"/>
            <w:hideMark/>
          </w:tcPr>
          <w:p w14:paraId="2EC013D7" w14:textId="77777777" w:rsidR="0035380D" w:rsidRPr="00D26C28" w:rsidRDefault="0035380D" w:rsidP="00B6548B">
            <w:pPr>
              <w:jc w:val="center"/>
              <w:rPr>
                <w:color w:val="000000" w:themeColor="text1"/>
                <w:sz w:val="14"/>
                <w:szCs w:val="14"/>
              </w:rPr>
            </w:pPr>
            <w:r w:rsidRPr="00D26C28">
              <w:rPr>
                <w:color w:val="000000" w:themeColor="text1"/>
                <w:sz w:val="14"/>
                <w:szCs w:val="14"/>
              </w:rPr>
              <w:t>1.38</w:t>
            </w:r>
          </w:p>
        </w:tc>
        <w:tc>
          <w:tcPr>
            <w:tcW w:w="320" w:type="pct"/>
            <w:tcBorders>
              <w:top w:val="nil"/>
              <w:left w:val="nil"/>
              <w:bottom w:val="nil"/>
              <w:right w:val="nil"/>
            </w:tcBorders>
            <w:shd w:val="clear" w:color="auto" w:fill="auto"/>
            <w:noWrap/>
            <w:vAlign w:val="bottom"/>
            <w:hideMark/>
          </w:tcPr>
          <w:p w14:paraId="19C5DCB3" w14:textId="77777777" w:rsidR="0035380D" w:rsidRPr="00D26C28" w:rsidRDefault="0035380D" w:rsidP="00B6548B">
            <w:pPr>
              <w:jc w:val="center"/>
              <w:rPr>
                <w:color w:val="000000" w:themeColor="text1"/>
                <w:sz w:val="14"/>
                <w:szCs w:val="14"/>
              </w:rPr>
            </w:pPr>
            <w:r w:rsidRPr="00D26C28">
              <w:rPr>
                <w:color w:val="000000" w:themeColor="text1"/>
                <w:sz w:val="14"/>
                <w:szCs w:val="14"/>
              </w:rPr>
              <w:t>2.22</w:t>
            </w:r>
          </w:p>
        </w:tc>
        <w:tc>
          <w:tcPr>
            <w:tcW w:w="293" w:type="pct"/>
            <w:tcBorders>
              <w:top w:val="nil"/>
              <w:left w:val="nil"/>
              <w:bottom w:val="nil"/>
              <w:right w:val="nil"/>
            </w:tcBorders>
            <w:shd w:val="clear" w:color="auto" w:fill="auto"/>
            <w:noWrap/>
            <w:vAlign w:val="bottom"/>
            <w:hideMark/>
          </w:tcPr>
          <w:p w14:paraId="56B07E57" w14:textId="77777777" w:rsidR="0035380D" w:rsidRPr="00D26C28" w:rsidRDefault="0035380D" w:rsidP="00B6548B">
            <w:pPr>
              <w:jc w:val="center"/>
              <w:rPr>
                <w:color w:val="000000" w:themeColor="text1"/>
                <w:sz w:val="14"/>
                <w:szCs w:val="14"/>
              </w:rPr>
            </w:pPr>
            <w:r w:rsidRPr="00D26C28">
              <w:rPr>
                <w:color w:val="000000" w:themeColor="text1"/>
                <w:sz w:val="14"/>
                <w:szCs w:val="14"/>
              </w:rPr>
              <w:t>2.46</w:t>
            </w:r>
          </w:p>
        </w:tc>
        <w:tc>
          <w:tcPr>
            <w:tcW w:w="184" w:type="pct"/>
            <w:tcBorders>
              <w:top w:val="nil"/>
              <w:left w:val="nil"/>
              <w:bottom w:val="nil"/>
              <w:right w:val="nil"/>
            </w:tcBorders>
          </w:tcPr>
          <w:p w14:paraId="4BEBBC1A"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2D9C0BE3" w14:textId="77777777" w:rsidR="0035380D" w:rsidRPr="00D26C28" w:rsidRDefault="0035380D" w:rsidP="00B6548B">
            <w:pPr>
              <w:jc w:val="center"/>
              <w:rPr>
                <w:color w:val="000000" w:themeColor="text1"/>
                <w:sz w:val="14"/>
                <w:szCs w:val="14"/>
              </w:rPr>
            </w:pPr>
            <w:r w:rsidRPr="00D26C28">
              <w:rPr>
                <w:color w:val="000000" w:themeColor="text1"/>
                <w:sz w:val="14"/>
                <w:szCs w:val="14"/>
              </w:rPr>
              <w:t>1.25</w:t>
            </w:r>
          </w:p>
        </w:tc>
        <w:tc>
          <w:tcPr>
            <w:tcW w:w="440" w:type="pct"/>
            <w:tcBorders>
              <w:top w:val="nil"/>
              <w:left w:val="nil"/>
              <w:bottom w:val="nil"/>
              <w:right w:val="nil"/>
            </w:tcBorders>
            <w:shd w:val="clear" w:color="auto" w:fill="auto"/>
            <w:noWrap/>
            <w:vAlign w:val="bottom"/>
            <w:hideMark/>
          </w:tcPr>
          <w:p w14:paraId="5680C028" w14:textId="77777777" w:rsidR="0035380D" w:rsidRPr="00D26C28" w:rsidRDefault="0035380D" w:rsidP="00B6548B">
            <w:pPr>
              <w:jc w:val="center"/>
              <w:rPr>
                <w:color w:val="000000" w:themeColor="text1"/>
                <w:sz w:val="14"/>
                <w:szCs w:val="14"/>
              </w:rPr>
            </w:pPr>
            <w:r w:rsidRPr="00D26C28">
              <w:rPr>
                <w:color w:val="000000" w:themeColor="text1"/>
                <w:sz w:val="14"/>
                <w:szCs w:val="14"/>
              </w:rPr>
              <w:t>1.74</w:t>
            </w:r>
          </w:p>
        </w:tc>
        <w:tc>
          <w:tcPr>
            <w:tcW w:w="320" w:type="pct"/>
            <w:tcBorders>
              <w:top w:val="nil"/>
              <w:left w:val="nil"/>
              <w:bottom w:val="nil"/>
              <w:right w:val="nil"/>
            </w:tcBorders>
            <w:shd w:val="clear" w:color="auto" w:fill="auto"/>
            <w:noWrap/>
            <w:vAlign w:val="bottom"/>
            <w:hideMark/>
          </w:tcPr>
          <w:p w14:paraId="24589D51" w14:textId="77777777" w:rsidR="0035380D" w:rsidRPr="00D26C28" w:rsidRDefault="0035380D" w:rsidP="00B6548B">
            <w:pPr>
              <w:jc w:val="center"/>
              <w:rPr>
                <w:color w:val="000000" w:themeColor="text1"/>
                <w:sz w:val="14"/>
                <w:szCs w:val="14"/>
              </w:rPr>
            </w:pPr>
            <w:r w:rsidRPr="00D26C28">
              <w:rPr>
                <w:color w:val="000000" w:themeColor="text1"/>
                <w:sz w:val="14"/>
                <w:szCs w:val="14"/>
              </w:rPr>
              <w:t>1.71</w:t>
            </w:r>
          </w:p>
        </w:tc>
        <w:tc>
          <w:tcPr>
            <w:tcW w:w="346" w:type="pct"/>
            <w:tcBorders>
              <w:top w:val="nil"/>
              <w:left w:val="nil"/>
              <w:bottom w:val="nil"/>
              <w:right w:val="nil"/>
            </w:tcBorders>
            <w:shd w:val="clear" w:color="auto" w:fill="auto"/>
            <w:noWrap/>
            <w:vAlign w:val="bottom"/>
            <w:hideMark/>
          </w:tcPr>
          <w:p w14:paraId="7697FDA5" w14:textId="77777777" w:rsidR="0035380D" w:rsidRPr="00D26C28" w:rsidRDefault="0035380D" w:rsidP="00B6548B">
            <w:pPr>
              <w:jc w:val="center"/>
              <w:rPr>
                <w:color w:val="000000" w:themeColor="text1"/>
                <w:sz w:val="14"/>
                <w:szCs w:val="14"/>
              </w:rPr>
            </w:pPr>
            <w:r w:rsidRPr="00D26C28">
              <w:rPr>
                <w:color w:val="000000" w:themeColor="text1"/>
                <w:sz w:val="14"/>
                <w:szCs w:val="14"/>
              </w:rPr>
              <w:t>1.63</w:t>
            </w:r>
          </w:p>
        </w:tc>
        <w:tc>
          <w:tcPr>
            <w:tcW w:w="123" w:type="pct"/>
            <w:tcBorders>
              <w:top w:val="nil"/>
              <w:left w:val="nil"/>
              <w:bottom w:val="nil"/>
              <w:right w:val="nil"/>
            </w:tcBorders>
          </w:tcPr>
          <w:p w14:paraId="3FEA9F3F"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26EC1AEA" w14:textId="77777777" w:rsidR="0035380D" w:rsidRPr="00D26C28" w:rsidRDefault="0035380D" w:rsidP="00B6548B">
            <w:pPr>
              <w:jc w:val="center"/>
              <w:rPr>
                <w:color w:val="000000" w:themeColor="text1"/>
                <w:sz w:val="14"/>
                <w:szCs w:val="14"/>
              </w:rPr>
            </w:pPr>
            <w:r w:rsidRPr="00D26C28">
              <w:rPr>
                <w:color w:val="000000" w:themeColor="text1"/>
                <w:sz w:val="14"/>
                <w:szCs w:val="14"/>
              </w:rPr>
              <w:t>1.08</w:t>
            </w:r>
          </w:p>
        </w:tc>
        <w:tc>
          <w:tcPr>
            <w:tcW w:w="320" w:type="pct"/>
            <w:tcBorders>
              <w:top w:val="nil"/>
              <w:left w:val="nil"/>
              <w:bottom w:val="nil"/>
              <w:right w:val="nil"/>
            </w:tcBorders>
            <w:shd w:val="clear" w:color="auto" w:fill="auto"/>
            <w:noWrap/>
            <w:vAlign w:val="bottom"/>
            <w:hideMark/>
          </w:tcPr>
          <w:p w14:paraId="4AD1537B" w14:textId="77777777" w:rsidR="0035380D" w:rsidRPr="00D26C28" w:rsidRDefault="0035380D" w:rsidP="00B6548B">
            <w:pPr>
              <w:jc w:val="center"/>
              <w:rPr>
                <w:color w:val="000000" w:themeColor="text1"/>
                <w:sz w:val="14"/>
                <w:szCs w:val="14"/>
              </w:rPr>
            </w:pPr>
            <w:r w:rsidRPr="00D26C28">
              <w:rPr>
                <w:color w:val="000000" w:themeColor="text1"/>
                <w:sz w:val="14"/>
                <w:szCs w:val="14"/>
              </w:rPr>
              <w:t>1.20</w:t>
            </w:r>
          </w:p>
        </w:tc>
        <w:tc>
          <w:tcPr>
            <w:tcW w:w="320" w:type="pct"/>
            <w:tcBorders>
              <w:top w:val="nil"/>
              <w:left w:val="nil"/>
              <w:bottom w:val="nil"/>
            </w:tcBorders>
            <w:shd w:val="clear" w:color="auto" w:fill="auto"/>
            <w:noWrap/>
            <w:vAlign w:val="bottom"/>
            <w:hideMark/>
          </w:tcPr>
          <w:p w14:paraId="5B7C72AB" w14:textId="77777777" w:rsidR="0035380D" w:rsidRPr="00D26C28" w:rsidRDefault="0035380D" w:rsidP="00B6548B">
            <w:pPr>
              <w:jc w:val="center"/>
              <w:rPr>
                <w:color w:val="000000" w:themeColor="text1"/>
                <w:sz w:val="14"/>
                <w:szCs w:val="14"/>
              </w:rPr>
            </w:pPr>
            <w:r w:rsidRPr="00D26C28">
              <w:rPr>
                <w:color w:val="000000" w:themeColor="text1"/>
                <w:sz w:val="14"/>
                <w:szCs w:val="14"/>
              </w:rPr>
              <w:t>0.42</w:t>
            </w:r>
          </w:p>
        </w:tc>
        <w:tc>
          <w:tcPr>
            <w:tcW w:w="346" w:type="pct"/>
            <w:tcBorders>
              <w:top w:val="nil"/>
              <w:left w:val="nil"/>
              <w:bottom w:val="nil"/>
              <w:right w:val="nil"/>
            </w:tcBorders>
            <w:vAlign w:val="bottom"/>
          </w:tcPr>
          <w:p w14:paraId="5047F3EB" w14:textId="77777777" w:rsidR="0035380D" w:rsidRPr="00D26C28" w:rsidRDefault="0035380D" w:rsidP="00B6548B">
            <w:pPr>
              <w:jc w:val="center"/>
              <w:rPr>
                <w:color w:val="000000" w:themeColor="text1"/>
                <w:sz w:val="14"/>
                <w:szCs w:val="14"/>
              </w:rPr>
            </w:pPr>
            <w:r w:rsidRPr="00D26C28">
              <w:rPr>
                <w:color w:val="000000" w:themeColor="text1"/>
                <w:sz w:val="14"/>
                <w:szCs w:val="14"/>
              </w:rPr>
              <w:t>0.68</w:t>
            </w:r>
          </w:p>
        </w:tc>
      </w:tr>
      <w:tr w:rsidR="0035380D" w:rsidRPr="00D26C28" w14:paraId="3A3CF33B" w14:textId="77777777" w:rsidTr="006132B7">
        <w:trPr>
          <w:cantSplit/>
          <w:trHeight w:hRule="exact" w:val="255"/>
        </w:trPr>
        <w:tc>
          <w:tcPr>
            <w:tcW w:w="275" w:type="pct"/>
            <w:tcBorders>
              <w:top w:val="nil"/>
              <w:bottom w:val="nil"/>
              <w:right w:val="nil"/>
            </w:tcBorders>
            <w:shd w:val="clear" w:color="auto" w:fill="auto"/>
            <w:noWrap/>
            <w:vAlign w:val="bottom"/>
            <w:hideMark/>
          </w:tcPr>
          <w:p w14:paraId="14B341BD" w14:textId="77777777" w:rsidR="0035380D" w:rsidRPr="00D26C28" w:rsidRDefault="0035380D" w:rsidP="00B6548B">
            <w:pPr>
              <w:rPr>
                <w:color w:val="000000" w:themeColor="text1"/>
                <w:sz w:val="14"/>
                <w:szCs w:val="14"/>
              </w:rPr>
            </w:pPr>
            <w:r w:rsidRPr="00D26C28">
              <w:rPr>
                <w:color w:val="000000" w:themeColor="text1"/>
                <w:sz w:val="14"/>
                <w:szCs w:val="14"/>
              </w:rPr>
              <w:t>2012</w:t>
            </w:r>
          </w:p>
        </w:tc>
        <w:tc>
          <w:tcPr>
            <w:tcW w:w="434" w:type="pct"/>
            <w:tcBorders>
              <w:top w:val="nil"/>
              <w:left w:val="nil"/>
              <w:bottom w:val="nil"/>
              <w:right w:val="nil"/>
            </w:tcBorders>
            <w:shd w:val="clear" w:color="auto" w:fill="auto"/>
            <w:noWrap/>
            <w:vAlign w:val="bottom"/>
            <w:hideMark/>
          </w:tcPr>
          <w:p w14:paraId="3BED9ABF" w14:textId="77777777" w:rsidR="0035380D" w:rsidRPr="00D26C28" w:rsidRDefault="0035380D" w:rsidP="00B6548B">
            <w:pPr>
              <w:rPr>
                <w:color w:val="000000" w:themeColor="text1"/>
                <w:sz w:val="14"/>
                <w:szCs w:val="14"/>
              </w:rPr>
            </w:pPr>
            <w:r w:rsidRPr="00D26C28">
              <w:rPr>
                <w:color w:val="000000" w:themeColor="text1"/>
                <w:sz w:val="14"/>
                <w:szCs w:val="14"/>
              </w:rPr>
              <w:t>Returns</w:t>
            </w:r>
          </w:p>
        </w:tc>
        <w:tc>
          <w:tcPr>
            <w:tcW w:w="320" w:type="pct"/>
            <w:tcBorders>
              <w:top w:val="nil"/>
              <w:left w:val="nil"/>
              <w:bottom w:val="nil"/>
              <w:right w:val="nil"/>
            </w:tcBorders>
            <w:shd w:val="clear" w:color="auto" w:fill="auto"/>
            <w:noWrap/>
            <w:vAlign w:val="bottom"/>
            <w:hideMark/>
          </w:tcPr>
          <w:p w14:paraId="255655E0" w14:textId="77777777" w:rsidR="0035380D" w:rsidRPr="00D26C28" w:rsidRDefault="0035380D" w:rsidP="00B6548B">
            <w:pPr>
              <w:jc w:val="center"/>
              <w:rPr>
                <w:color w:val="000000" w:themeColor="text1"/>
                <w:sz w:val="14"/>
                <w:szCs w:val="14"/>
              </w:rPr>
            </w:pPr>
            <w:r w:rsidRPr="00D26C28">
              <w:rPr>
                <w:color w:val="000000" w:themeColor="text1"/>
                <w:sz w:val="14"/>
                <w:szCs w:val="14"/>
              </w:rPr>
              <w:t>1.60%</w:t>
            </w:r>
          </w:p>
        </w:tc>
        <w:tc>
          <w:tcPr>
            <w:tcW w:w="320" w:type="pct"/>
            <w:tcBorders>
              <w:top w:val="nil"/>
              <w:left w:val="nil"/>
              <w:bottom w:val="nil"/>
              <w:right w:val="nil"/>
            </w:tcBorders>
            <w:shd w:val="clear" w:color="auto" w:fill="auto"/>
            <w:noWrap/>
            <w:vAlign w:val="bottom"/>
            <w:hideMark/>
          </w:tcPr>
          <w:p w14:paraId="7C292699" w14:textId="77777777" w:rsidR="0035380D" w:rsidRPr="00D26C28" w:rsidRDefault="0035380D" w:rsidP="00B6548B">
            <w:pPr>
              <w:jc w:val="center"/>
              <w:rPr>
                <w:color w:val="000000" w:themeColor="text1"/>
                <w:sz w:val="14"/>
                <w:szCs w:val="14"/>
              </w:rPr>
            </w:pPr>
            <w:r w:rsidRPr="00D26C28">
              <w:rPr>
                <w:color w:val="000000" w:themeColor="text1"/>
                <w:sz w:val="14"/>
                <w:szCs w:val="14"/>
              </w:rPr>
              <w:t>2.08%</w:t>
            </w:r>
          </w:p>
        </w:tc>
        <w:tc>
          <w:tcPr>
            <w:tcW w:w="320" w:type="pct"/>
            <w:tcBorders>
              <w:top w:val="nil"/>
              <w:left w:val="nil"/>
              <w:bottom w:val="nil"/>
              <w:right w:val="nil"/>
            </w:tcBorders>
            <w:shd w:val="clear" w:color="auto" w:fill="auto"/>
            <w:noWrap/>
            <w:vAlign w:val="bottom"/>
            <w:hideMark/>
          </w:tcPr>
          <w:p w14:paraId="51BAAC93" w14:textId="77777777" w:rsidR="0035380D" w:rsidRPr="00D26C28" w:rsidRDefault="0035380D" w:rsidP="00B6548B">
            <w:pPr>
              <w:jc w:val="center"/>
              <w:rPr>
                <w:color w:val="000000" w:themeColor="text1"/>
                <w:sz w:val="14"/>
                <w:szCs w:val="14"/>
              </w:rPr>
            </w:pPr>
            <w:r w:rsidRPr="00D26C28">
              <w:rPr>
                <w:color w:val="000000" w:themeColor="text1"/>
                <w:sz w:val="14"/>
                <w:szCs w:val="14"/>
              </w:rPr>
              <w:t>2.45%</w:t>
            </w:r>
          </w:p>
        </w:tc>
        <w:tc>
          <w:tcPr>
            <w:tcW w:w="293" w:type="pct"/>
            <w:tcBorders>
              <w:top w:val="nil"/>
              <w:left w:val="nil"/>
              <w:bottom w:val="nil"/>
              <w:right w:val="nil"/>
            </w:tcBorders>
            <w:shd w:val="clear" w:color="auto" w:fill="auto"/>
            <w:noWrap/>
            <w:vAlign w:val="bottom"/>
            <w:hideMark/>
          </w:tcPr>
          <w:p w14:paraId="017B59F3" w14:textId="77777777" w:rsidR="0035380D" w:rsidRPr="00D26C28" w:rsidRDefault="0035380D" w:rsidP="00B6548B">
            <w:pPr>
              <w:jc w:val="center"/>
              <w:rPr>
                <w:color w:val="000000" w:themeColor="text1"/>
                <w:sz w:val="14"/>
                <w:szCs w:val="14"/>
              </w:rPr>
            </w:pPr>
            <w:r w:rsidRPr="00D26C28">
              <w:rPr>
                <w:color w:val="000000" w:themeColor="text1"/>
                <w:sz w:val="14"/>
                <w:szCs w:val="14"/>
              </w:rPr>
              <w:t>2.93%</w:t>
            </w:r>
          </w:p>
        </w:tc>
        <w:tc>
          <w:tcPr>
            <w:tcW w:w="184" w:type="pct"/>
            <w:tcBorders>
              <w:top w:val="nil"/>
              <w:left w:val="nil"/>
              <w:bottom w:val="nil"/>
              <w:right w:val="nil"/>
            </w:tcBorders>
          </w:tcPr>
          <w:p w14:paraId="74366AE2"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66AF555D" w14:textId="77777777" w:rsidR="0035380D" w:rsidRPr="00D26C28" w:rsidRDefault="0035380D" w:rsidP="00B6548B">
            <w:pPr>
              <w:jc w:val="center"/>
              <w:rPr>
                <w:color w:val="000000" w:themeColor="text1"/>
                <w:sz w:val="14"/>
                <w:szCs w:val="14"/>
              </w:rPr>
            </w:pPr>
            <w:r w:rsidRPr="00D26C28">
              <w:rPr>
                <w:color w:val="000000" w:themeColor="text1"/>
                <w:sz w:val="14"/>
                <w:szCs w:val="14"/>
              </w:rPr>
              <w:t>1.65%</w:t>
            </w:r>
          </w:p>
        </w:tc>
        <w:tc>
          <w:tcPr>
            <w:tcW w:w="440" w:type="pct"/>
            <w:tcBorders>
              <w:top w:val="nil"/>
              <w:left w:val="nil"/>
              <w:bottom w:val="nil"/>
              <w:right w:val="nil"/>
            </w:tcBorders>
            <w:shd w:val="clear" w:color="auto" w:fill="auto"/>
            <w:noWrap/>
            <w:vAlign w:val="bottom"/>
            <w:hideMark/>
          </w:tcPr>
          <w:p w14:paraId="6F6AC080" w14:textId="77777777" w:rsidR="0035380D" w:rsidRPr="00D26C28" w:rsidRDefault="0035380D" w:rsidP="00B6548B">
            <w:pPr>
              <w:jc w:val="center"/>
              <w:rPr>
                <w:color w:val="000000" w:themeColor="text1"/>
                <w:sz w:val="14"/>
                <w:szCs w:val="14"/>
              </w:rPr>
            </w:pPr>
            <w:r w:rsidRPr="00D26C28">
              <w:rPr>
                <w:color w:val="000000" w:themeColor="text1"/>
                <w:sz w:val="14"/>
                <w:szCs w:val="14"/>
              </w:rPr>
              <w:t>2.33%</w:t>
            </w:r>
          </w:p>
        </w:tc>
        <w:tc>
          <w:tcPr>
            <w:tcW w:w="320" w:type="pct"/>
            <w:tcBorders>
              <w:top w:val="nil"/>
              <w:left w:val="nil"/>
              <w:bottom w:val="nil"/>
              <w:right w:val="nil"/>
            </w:tcBorders>
            <w:shd w:val="clear" w:color="auto" w:fill="auto"/>
            <w:noWrap/>
            <w:vAlign w:val="bottom"/>
            <w:hideMark/>
          </w:tcPr>
          <w:p w14:paraId="6D67E808" w14:textId="77777777" w:rsidR="0035380D" w:rsidRPr="00D26C28" w:rsidRDefault="0035380D" w:rsidP="00B6548B">
            <w:pPr>
              <w:jc w:val="center"/>
              <w:rPr>
                <w:color w:val="000000" w:themeColor="text1"/>
                <w:sz w:val="14"/>
                <w:szCs w:val="14"/>
              </w:rPr>
            </w:pPr>
            <w:r w:rsidRPr="00D26C28">
              <w:rPr>
                <w:color w:val="000000" w:themeColor="text1"/>
                <w:sz w:val="14"/>
                <w:szCs w:val="14"/>
              </w:rPr>
              <w:t>2.37%</w:t>
            </w:r>
          </w:p>
        </w:tc>
        <w:tc>
          <w:tcPr>
            <w:tcW w:w="346" w:type="pct"/>
            <w:tcBorders>
              <w:top w:val="nil"/>
              <w:left w:val="nil"/>
              <w:bottom w:val="nil"/>
              <w:right w:val="nil"/>
            </w:tcBorders>
            <w:shd w:val="clear" w:color="auto" w:fill="auto"/>
            <w:noWrap/>
            <w:vAlign w:val="bottom"/>
            <w:hideMark/>
          </w:tcPr>
          <w:p w14:paraId="463D6CB9" w14:textId="77777777" w:rsidR="0035380D" w:rsidRPr="00D26C28" w:rsidRDefault="0035380D" w:rsidP="00B6548B">
            <w:pPr>
              <w:jc w:val="center"/>
              <w:rPr>
                <w:color w:val="000000" w:themeColor="text1"/>
                <w:sz w:val="14"/>
                <w:szCs w:val="14"/>
              </w:rPr>
            </w:pPr>
            <w:r w:rsidRPr="00D26C28">
              <w:rPr>
                <w:color w:val="000000" w:themeColor="text1"/>
                <w:sz w:val="14"/>
                <w:szCs w:val="14"/>
              </w:rPr>
              <w:t>2.18%</w:t>
            </w:r>
          </w:p>
        </w:tc>
        <w:tc>
          <w:tcPr>
            <w:tcW w:w="123" w:type="pct"/>
            <w:tcBorders>
              <w:top w:val="nil"/>
              <w:left w:val="nil"/>
              <w:bottom w:val="nil"/>
              <w:right w:val="nil"/>
            </w:tcBorders>
          </w:tcPr>
          <w:p w14:paraId="3D80CBC0"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111556BA" w14:textId="77777777" w:rsidR="0035380D" w:rsidRPr="00D26C28" w:rsidRDefault="0035380D" w:rsidP="00B6548B">
            <w:pPr>
              <w:jc w:val="center"/>
              <w:rPr>
                <w:color w:val="000000" w:themeColor="text1"/>
                <w:sz w:val="14"/>
                <w:szCs w:val="14"/>
              </w:rPr>
            </w:pPr>
            <w:r w:rsidRPr="00D26C28">
              <w:rPr>
                <w:color w:val="000000" w:themeColor="text1"/>
                <w:sz w:val="14"/>
                <w:szCs w:val="14"/>
              </w:rPr>
              <w:t>0.80%</w:t>
            </w:r>
          </w:p>
        </w:tc>
        <w:tc>
          <w:tcPr>
            <w:tcW w:w="320" w:type="pct"/>
            <w:tcBorders>
              <w:top w:val="nil"/>
              <w:left w:val="nil"/>
              <w:bottom w:val="nil"/>
              <w:right w:val="nil"/>
            </w:tcBorders>
            <w:shd w:val="clear" w:color="auto" w:fill="auto"/>
            <w:noWrap/>
            <w:vAlign w:val="bottom"/>
            <w:hideMark/>
          </w:tcPr>
          <w:p w14:paraId="7AACC61A" w14:textId="77777777" w:rsidR="0035380D" w:rsidRPr="00D26C28" w:rsidRDefault="0035380D" w:rsidP="00B6548B">
            <w:pPr>
              <w:jc w:val="center"/>
              <w:rPr>
                <w:color w:val="000000" w:themeColor="text1"/>
                <w:sz w:val="14"/>
                <w:szCs w:val="14"/>
              </w:rPr>
            </w:pPr>
            <w:r w:rsidRPr="00D26C28">
              <w:rPr>
                <w:color w:val="000000" w:themeColor="text1"/>
                <w:sz w:val="14"/>
                <w:szCs w:val="14"/>
              </w:rPr>
              <w:t>0.92%</w:t>
            </w:r>
          </w:p>
        </w:tc>
        <w:tc>
          <w:tcPr>
            <w:tcW w:w="320" w:type="pct"/>
            <w:tcBorders>
              <w:top w:val="nil"/>
              <w:left w:val="nil"/>
              <w:bottom w:val="nil"/>
            </w:tcBorders>
            <w:shd w:val="clear" w:color="auto" w:fill="auto"/>
            <w:noWrap/>
            <w:vAlign w:val="bottom"/>
            <w:hideMark/>
          </w:tcPr>
          <w:p w14:paraId="5138DDE9" w14:textId="77777777" w:rsidR="0035380D" w:rsidRPr="00D26C28" w:rsidRDefault="0035380D" w:rsidP="00B6548B">
            <w:pPr>
              <w:jc w:val="center"/>
              <w:rPr>
                <w:color w:val="000000" w:themeColor="text1"/>
                <w:sz w:val="14"/>
                <w:szCs w:val="14"/>
              </w:rPr>
            </w:pPr>
            <w:r w:rsidRPr="00D26C28">
              <w:rPr>
                <w:color w:val="000000" w:themeColor="text1"/>
                <w:sz w:val="14"/>
                <w:szCs w:val="14"/>
              </w:rPr>
              <w:t>0.41%</w:t>
            </w:r>
          </w:p>
        </w:tc>
        <w:tc>
          <w:tcPr>
            <w:tcW w:w="346" w:type="pct"/>
            <w:tcBorders>
              <w:top w:val="nil"/>
              <w:left w:val="nil"/>
              <w:bottom w:val="nil"/>
              <w:right w:val="nil"/>
            </w:tcBorders>
            <w:vAlign w:val="bottom"/>
          </w:tcPr>
          <w:p w14:paraId="0DA62743" w14:textId="77777777" w:rsidR="0035380D" w:rsidRPr="00D26C28" w:rsidRDefault="0035380D" w:rsidP="00B6548B">
            <w:pPr>
              <w:jc w:val="center"/>
              <w:rPr>
                <w:color w:val="000000" w:themeColor="text1"/>
                <w:sz w:val="14"/>
                <w:szCs w:val="14"/>
              </w:rPr>
            </w:pPr>
            <w:r w:rsidRPr="00D26C28">
              <w:rPr>
                <w:color w:val="000000" w:themeColor="text1"/>
                <w:sz w:val="14"/>
                <w:szCs w:val="14"/>
              </w:rPr>
              <w:t>0.78%</w:t>
            </w:r>
          </w:p>
        </w:tc>
      </w:tr>
      <w:tr w:rsidR="0035380D" w:rsidRPr="00D26C28" w14:paraId="64DABCC3" w14:textId="77777777" w:rsidTr="006132B7">
        <w:trPr>
          <w:cantSplit/>
          <w:trHeight w:hRule="exact" w:val="255"/>
        </w:trPr>
        <w:tc>
          <w:tcPr>
            <w:tcW w:w="275" w:type="pct"/>
            <w:tcBorders>
              <w:top w:val="nil"/>
              <w:bottom w:val="nil"/>
              <w:right w:val="nil"/>
            </w:tcBorders>
            <w:shd w:val="clear" w:color="auto" w:fill="auto"/>
            <w:noWrap/>
            <w:vAlign w:val="bottom"/>
            <w:hideMark/>
          </w:tcPr>
          <w:p w14:paraId="4F4BF99F" w14:textId="77777777" w:rsidR="0035380D" w:rsidRPr="00D26C28" w:rsidRDefault="0035380D" w:rsidP="00B6548B">
            <w:pPr>
              <w:rPr>
                <w:color w:val="000000" w:themeColor="text1"/>
                <w:sz w:val="14"/>
                <w:szCs w:val="14"/>
              </w:rPr>
            </w:pPr>
          </w:p>
        </w:tc>
        <w:tc>
          <w:tcPr>
            <w:tcW w:w="434" w:type="pct"/>
            <w:tcBorders>
              <w:top w:val="nil"/>
              <w:left w:val="nil"/>
              <w:bottom w:val="nil"/>
              <w:right w:val="nil"/>
            </w:tcBorders>
            <w:shd w:val="clear" w:color="auto" w:fill="auto"/>
            <w:noWrap/>
            <w:vAlign w:val="bottom"/>
            <w:hideMark/>
          </w:tcPr>
          <w:p w14:paraId="30B424C6" w14:textId="77777777" w:rsidR="0035380D" w:rsidRPr="00D26C28" w:rsidRDefault="0035380D" w:rsidP="00B6548B">
            <w:pPr>
              <w:rPr>
                <w:i/>
                <w:iCs/>
                <w:color w:val="000000" w:themeColor="text1"/>
                <w:sz w:val="14"/>
                <w:szCs w:val="14"/>
              </w:rPr>
            </w:pPr>
            <w:r w:rsidRPr="00D26C28">
              <w:rPr>
                <w:i/>
                <w:iCs/>
                <w:color w:val="000000" w:themeColor="text1"/>
                <w:sz w:val="14"/>
                <w:szCs w:val="14"/>
              </w:rPr>
              <w:t>t-</w:t>
            </w:r>
            <w:r w:rsidRPr="00D26C28">
              <w:rPr>
                <w:color w:val="000000" w:themeColor="text1"/>
                <w:sz w:val="14"/>
                <w:szCs w:val="14"/>
              </w:rPr>
              <w:t>statistics</w:t>
            </w:r>
          </w:p>
        </w:tc>
        <w:tc>
          <w:tcPr>
            <w:tcW w:w="320" w:type="pct"/>
            <w:tcBorders>
              <w:top w:val="nil"/>
              <w:left w:val="nil"/>
              <w:bottom w:val="nil"/>
              <w:right w:val="nil"/>
            </w:tcBorders>
            <w:shd w:val="clear" w:color="auto" w:fill="auto"/>
            <w:noWrap/>
            <w:vAlign w:val="bottom"/>
            <w:hideMark/>
          </w:tcPr>
          <w:p w14:paraId="09F39BDF" w14:textId="77777777" w:rsidR="0035380D" w:rsidRPr="00D26C28" w:rsidRDefault="0035380D" w:rsidP="00B6548B">
            <w:pPr>
              <w:jc w:val="center"/>
              <w:rPr>
                <w:color w:val="000000" w:themeColor="text1"/>
                <w:sz w:val="14"/>
                <w:szCs w:val="14"/>
              </w:rPr>
            </w:pPr>
            <w:r w:rsidRPr="00D26C28">
              <w:rPr>
                <w:color w:val="000000" w:themeColor="text1"/>
                <w:sz w:val="14"/>
                <w:szCs w:val="14"/>
              </w:rPr>
              <w:t>3.57</w:t>
            </w:r>
          </w:p>
        </w:tc>
        <w:tc>
          <w:tcPr>
            <w:tcW w:w="320" w:type="pct"/>
            <w:tcBorders>
              <w:top w:val="nil"/>
              <w:left w:val="nil"/>
              <w:bottom w:val="nil"/>
              <w:right w:val="nil"/>
            </w:tcBorders>
            <w:shd w:val="clear" w:color="auto" w:fill="auto"/>
            <w:noWrap/>
            <w:vAlign w:val="bottom"/>
            <w:hideMark/>
          </w:tcPr>
          <w:p w14:paraId="61AF689E" w14:textId="77777777" w:rsidR="0035380D" w:rsidRPr="00D26C28" w:rsidRDefault="0035380D" w:rsidP="00B6548B">
            <w:pPr>
              <w:jc w:val="center"/>
              <w:rPr>
                <w:color w:val="000000" w:themeColor="text1"/>
                <w:sz w:val="14"/>
                <w:szCs w:val="14"/>
              </w:rPr>
            </w:pPr>
            <w:r w:rsidRPr="00D26C28">
              <w:rPr>
                <w:color w:val="000000" w:themeColor="text1"/>
                <w:sz w:val="14"/>
                <w:szCs w:val="14"/>
              </w:rPr>
              <w:t>3.13</w:t>
            </w:r>
          </w:p>
        </w:tc>
        <w:tc>
          <w:tcPr>
            <w:tcW w:w="320" w:type="pct"/>
            <w:tcBorders>
              <w:top w:val="nil"/>
              <w:left w:val="nil"/>
              <w:bottom w:val="nil"/>
              <w:right w:val="nil"/>
            </w:tcBorders>
            <w:shd w:val="clear" w:color="auto" w:fill="auto"/>
            <w:noWrap/>
            <w:vAlign w:val="bottom"/>
            <w:hideMark/>
          </w:tcPr>
          <w:p w14:paraId="214D4E7E" w14:textId="77777777" w:rsidR="0035380D" w:rsidRPr="00D26C28" w:rsidRDefault="0035380D" w:rsidP="00B6548B">
            <w:pPr>
              <w:jc w:val="center"/>
              <w:rPr>
                <w:color w:val="000000" w:themeColor="text1"/>
                <w:sz w:val="14"/>
                <w:szCs w:val="14"/>
              </w:rPr>
            </w:pPr>
            <w:r w:rsidRPr="00D26C28">
              <w:rPr>
                <w:color w:val="000000" w:themeColor="text1"/>
                <w:sz w:val="14"/>
                <w:szCs w:val="14"/>
              </w:rPr>
              <w:t>4.22</w:t>
            </w:r>
          </w:p>
        </w:tc>
        <w:tc>
          <w:tcPr>
            <w:tcW w:w="293" w:type="pct"/>
            <w:tcBorders>
              <w:top w:val="nil"/>
              <w:left w:val="nil"/>
              <w:bottom w:val="nil"/>
              <w:right w:val="nil"/>
            </w:tcBorders>
            <w:shd w:val="clear" w:color="auto" w:fill="auto"/>
            <w:noWrap/>
            <w:vAlign w:val="bottom"/>
            <w:hideMark/>
          </w:tcPr>
          <w:p w14:paraId="2DC8EA20" w14:textId="77777777" w:rsidR="0035380D" w:rsidRPr="00D26C28" w:rsidRDefault="0035380D" w:rsidP="00B6548B">
            <w:pPr>
              <w:jc w:val="center"/>
              <w:rPr>
                <w:color w:val="000000" w:themeColor="text1"/>
                <w:sz w:val="14"/>
                <w:szCs w:val="14"/>
              </w:rPr>
            </w:pPr>
            <w:r w:rsidRPr="00D26C28">
              <w:rPr>
                <w:color w:val="000000" w:themeColor="text1"/>
                <w:sz w:val="14"/>
                <w:szCs w:val="14"/>
              </w:rPr>
              <w:t>4.53</w:t>
            </w:r>
          </w:p>
        </w:tc>
        <w:tc>
          <w:tcPr>
            <w:tcW w:w="184" w:type="pct"/>
            <w:tcBorders>
              <w:top w:val="nil"/>
              <w:left w:val="nil"/>
              <w:bottom w:val="nil"/>
              <w:right w:val="nil"/>
            </w:tcBorders>
          </w:tcPr>
          <w:p w14:paraId="0FCAA9DD"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6CE34DC3" w14:textId="77777777" w:rsidR="0035380D" w:rsidRPr="00D26C28" w:rsidRDefault="0035380D" w:rsidP="00B6548B">
            <w:pPr>
              <w:jc w:val="center"/>
              <w:rPr>
                <w:color w:val="000000" w:themeColor="text1"/>
                <w:sz w:val="14"/>
                <w:szCs w:val="14"/>
              </w:rPr>
            </w:pPr>
            <w:r w:rsidRPr="00D26C28">
              <w:rPr>
                <w:color w:val="000000" w:themeColor="text1"/>
                <w:sz w:val="14"/>
                <w:szCs w:val="14"/>
              </w:rPr>
              <w:t>2.37</w:t>
            </w:r>
          </w:p>
        </w:tc>
        <w:tc>
          <w:tcPr>
            <w:tcW w:w="440" w:type="pct"/>
            <w:tcBorders>
              <w:top w:val="nil"/>
              <w:left w:val="nil"/>
              <w:bottom w:val="nil"/>
              <w:right w:val="nil"/>
            </w:tcBorders>
            <w:shd w:val="clear" w:color="auto" w:fill="auto"/>
            <w:noWrap/>
            <w:vAlign w:val="bottom"/>
            <w:hideMark/>
          </w:tcPr>
          <w:p w14:paraId="672B20CE" w14:textId="77777777" w:rsidR="0035380D" w:rsidRPr="00D26C28" w:rsidRDefault="0035380D" w:rsidP="00B6548B">
            <w:pPr>
              <w:jc w:val="center"/>
              <w:rPr>
                <w:color w:val="000000" w:themeColor="text1"/>
                <w:sz w:val="14"/>
                <w:szCs w:val="14"/>
              </w:rPr>
            </w:pPr>
            <w:r w:rsidRPr="00D26C28">
              <w:rPr>
                <w:color w:val="000000" w:themeColor="text1"/>
                <w:sz w:val="14"/>
                <w:szCs w:val="14"/>
              </w:rPr>
              <w:t>3.04</w:t>
            </w:r>
          </w:p>
        </w:tc>
        <w:tc>
          <w:tcPr>
            <w:tcW w:w="320" w:type="pct"/>
            <w:tcBorders>
              <w:top w:val="nil"/>
              <w:left w:val="nil"/>
              <w:bottom w:val="nil"/>
              <w:right w:val="nil"/>
            </w:tcBorders>
            <w:shd w:val="clear" w:color="auto" w:fill="auto"/>
            <w:noWrap/>
            <w:vAlign w:val="bottom"/>
            <w:hideMark/>
          </w:tcPr>
          <w:p w14:paraId="7C967F7C" w14:textId="77777777" w:rsidR="0035380D" w:rsidRPr="00D26C28" w:rsidRDefault="0035380D" w:rsidP="00B6548B">
            <w:pPr>
              <w:jc w:val="center"/>
              <w:rPr>
                <w:color w:val="000000" w:themeColor="text1"/>
                <w:sz w:val="14"/>
                <w:szCs w:val="14"/>
              </w:rPr>
            </w:pPr>
            <w:r w:rsidRPr="00D26C28">
              <w:rPr>
                <w:color w:val="000000" w:themeColor="text1"/>
                <w:sz w:val="14"/>
                <w:szCs w:val="14"/>
              </w:rPr>
              <w:t>2.75</w:t>
            </w:r>
          </w:p>
        </w:tc>
        <w:tc>
          <w:tcPr>
            <w:tcW w:w="346" w:type="pct"/>
            <w:tcBorders>
              <w:top w:val="nil"/>
              <w:left w:val="nil"/>
              <w:bottom w:val="nil"/>
              <w:right w:val="nil"/>
            </w:tcBorders>
            <w:shd w:val="clear" w:color="auto" w:fill="auto"/>
            <w:noWrap/>
            <w:vAlign w:val="bottom"/>
            <w:hideMark/>
          </w:tcPr>
          <w:p w14:paraId="34A5B388" w14:textId="77777777" w:rsidR="0035380D" w:rsidRPr="00D26C28" w:rsidRDefault="0035380D" w:rsidP="00B6548B">
            <w:pPr>
              <w:jc w:val="center"/>
              <w:rPr>
                <w:color w:val="000000" w:themeColor="text1"/>
                <w:sz w:val="14"/>
                <w:szCs w:val="14"/>
              </w:rPr>
            </w:pPr>
            <w:r w:rsidRPr="00D26C28">
              <w:rPr>
                <w:color w:val="000000" w:themeColor="text1"/>
                <w:sz w:val="14"/>
                <w:szCs w:val="14"/>
              </w:rPr>
              <w:t>3.13</w:t>
            </w:r>
          </w:p>
        </w:tc>
        <w:tc>
          <w:tcPr>
            <w:tcW w:w="123" w:type="pct"/>
            <w:tcBorders>
              <w:top w:val="nil"/>
              <w:left w:val="nil"/>
              <w:bottom w:val="nil"/>
              <w:right w:val="nil"/>
            </w:tcBorders>
          </w:tcPr>
          <w:p w14:paraId="53E52912"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19656804" w14:textId="77777777" w:rsidR="0035380D" w:rsidRPr="00D26C28" w:rsidRDefault="0035380D" w:rsidP="00B6548B">
            <w:pPr>
              <w:jc w:val="center"/>
              <w:rPr>
                <w:color w:val="000000" w:themeColor="text1"/>
                <w:sz w:val="14"/>
                <w:szCs w:val="14"/>
              </w:rPr>
            </w:pPr>
            <w:r w:rsidRPr="00D26C28">
              <w:rPr>
                <w:color w:val="000000" w:themeColor="text1"/>
                <w:sz w:val="14"/>
                <w:szCs w:val="14"/>
              </w:rPr>
              <w:t>1.96</w:t>
            </w:r>
          </w:p>
        </w:tc>
        <w:tc>
          <w:tcPr>
            <w:tcW w:w="320" w:type="pct"/>
            <w:tcBorders>
              <w:top w:val="nil"/>
              <w:left w:val="nil"/>
              <w:bottom w:val="nil"/>
              <w:right w:val="nil"/>
            </w:tcBorders>
            <w:shd w:val="clear" w:color="auto" w:fill="auto"/>
            <w:noWrap/>
            <w:vAlign w:val="bottom"/>
            <w:hideMark/>
          </w:tcPr>
          <w:p w14:paraId="62541813" w14:textId="77777777" w:rsidR="0035380D" w:rsidRPr="00D26C28" w:rsidRDefault="0035380D" w:rsidP="00B6548B">
            <w:pPr>
              <w:jc w:val="center"/>
              <w:rPr>
                <w:color w:val="000000" w:themeColor="text1"/>
                <w:sz w:val="14"/>
                <w:szCs w:val="14"/>
              </w:rPr>
            </w:pPr>
            <w:r w:rsidRPr="00D26C28">
              <w:rPr>
                <w:color w:val="000000" w:themeColor="text1"/>
                <w:sz w:val="14"/>
                <w:szCs w:val="14"/>
              </w:rPr>
              <w:t>2.08</w:t>
            </w:r>
          </w:p>
        </w:tc>
        <w:tc>
          <w:tcPr>
            <w:tcW w:w="320" w:type="pct"/>
            <w:tcBorders>
              <w:top w:val="nil"/>
              <w:left w:val="nil"/>
              <w:bottom w:val="nil"/>
            </w:tcBorders>
            <w:shd w:val="clear" w:color="auto" w:fill="auto"/>
            <w:noWrap/>
            <w:vAlign w:val="bottom"/>
            <w:hideMark/>
          </w:tcPr>
          <w:p w14:paraId="4F2C7AB3" w14:textId="77777777" w:rsidR="0035380D" w:rsidRPr="00D26C28" w:rsidRDefault="0035380D" w:rsidP="00B6548B">
            <w:pPr>
              <w:jc w:val="center"/>
              <w:rPr>
                <w:color w:val="000000" w:themeColor="text1"/>
                <w:sz w:val="14"/>
                <w:szCs w:val="14"/>
              </w:rPr>
            </w:pPr>
            <w:r w:rsidRPr="00D26C28">
              <w:rPr>
                <w:color w:val="000000" w:themeColor="text1"/>
                <w:sz w:val="14"/>
                <w:szCs w:val="14"/>
              </w:rPr>
              <w:t>0.63</w:t>
            </w:r>
          </w:p>
        </w:tc>
        <w:tc>
          <w:tcPr>
            <w:tcW w:w="346" w:type="pct"/>
            <w:tcBorders>
              <w:top w:val="nil"/>
              <w:left w:val="nil"/>
              <w:bottom w:val="nil"/>
              <w:right w:val="nil"/>
            </w:tcBorders>
            <w:vAlign w:val="bottom"/>
          </w:tcPr>
          <w:p w14:paraId="786C1125" w14:textId="77777777" w:rsidR="0035380D" w:rsidRPr="00D26C28" w:rsidRDefault="0035380D" w:rsidP="00B6548B">
            <w:pPr>
              <w:jc w:val="center"/>
              <w:rPr>
                <w:color w:val="000000" w:themeColor="text1"/>
                <w:sz w:val="14"/>
                <w:szCs w:val="14"/>
              </w:rPr>
            </w:pPr>
            <w:r w:rsidRPr="00D26C28">
              <w:rPr>
                <w:color w:val="000000" w:themeColor="text1"/>
                <w:sz w:val="14"/>
                <w:szCs w:val="14"/>
              </w:rPr>
              <w:t>1.20</w:t>
            </w:r>
          </w:p>
        </w:tc>
      </w:tr>
      <w:tr w:rsidR="0035380D" w:rsidRPr="00D26C28" w14:paraId="23AE75D7" w14:textId="77777777" w:rsidTr="006132B7">
        <w:trPr>
          <w:cantSplit/>
          <w:trHeight w:hRule="exact" w:val="255"/>
        </w:trPr>
        <w:tc>
          <w:tcPr>
            <w:tcW w:w="275" w:type="pct"/>
            <w:tcBorders>
              <w:top w:val="nil"/>
              <w:bottom w:val="nil"/>
              <w:right w:val="nil"/>
            </w:tcBorders>
            <w:shd w:val="clear" w:color="auto" w:fill="auto"/>
            <w:noWrap/>
            <w:vAlign w:val="bottom"/>
            <w:hideMark/>
          </w:tcPr>
          <w:p w14:paraId="36887CA7"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2D22D727" w14:textId="77777777" w:rsidR="0035380D" w:rsidRPr="00D26C28" w:rsidRDefault="0035380D" w:rsidP="00B6548B">
            <w:pPr>
              <w:rPr>
                <w:color w:val="000000" w:themeColor="text1"/>
                <w:sz w:val="14"/>
                <w:szCs w:val="14"/>
              </w:rPr>
            </w:pPr>
            <w:r w:rsidRPr="00D26C28">
              <w:rPr>
                <w:color w:val="000000" w:themeColor="text1"/>
                <w:sz w:val="14"/>
                <w:szCs w:val="14"/>
              </w:rPr>
              <w:t>Volatility</w:t>
            </w:r>
          </w:p>
        </w:tc>
        <w:tc>
          <w:tcPr>
            <w:tcW w:w="320" w:type="pct"/>
            <w:tcBorders>
              <w:top w:val="nil"/>
              <w:left w:val="nil"/>
              <w:bottom w:val="nil"/>
              <w:right w:val="nil"/>
            </w:tcBorders>
            <w:shd w:val="clear" w:color="auto" w:fill="auto"/>
            <w:noWrap/>
            <w:vAlign w:val="bottom"/>
            <w:hideMark/>
          </w:tcPr>
          <w:p w14:paraId="2CA4CDC2" w14:textId="77777777" w:rsidR="0035380D" w:rsidRPr="00D26C28" w:rsidRDefault="0035380D" w:rsidP="00B6548B">
            <w:pPr>
              <w:jc w:val="center"/>
              <w:rPr>
                <w:color w:val="000000" w:themeColor="text1"/>
                <w:sz w:val="14"/>
                <w:szCs w:val="14"/>
              </w:rPr>
            </w:pPr>
            <w:r w:rsidRPr="00D26C28">
              <w:rPr>
                <w:color w:val="000000" w:themeColor="text1"/>
                <w:sz w:val="14"/>
                <w:szCs w:val="14"/>
              </w:rPr>
              <w:t>4.10%</w:t>
            </w:r>
          </w:p>
        </w:tc>
        <w:tc>
          <w:tcPr>
            <w:tcW w:w="320" w:type="pct"/>
            <w:tcBorders>
              <w:top w:val="nil"/>
              <w:left w:val="nil"/>
              <w:bottom w:val="nil"/>
              <w:right w:val="nil"/>
            </w:tcBorders>
            <w:shd w:val="clear" w:color="auto" w:fill="auto"/>
            <w:noWrap/>
            <w:vAlign w:val="bottom"/>
            <w:hideMark/>
          </w:tcPr>
          <w:p w14:paraId="4976561B" w14:textId="77777777" w:rsidR="0035380D" w:rsidRPr="00D26C28" w:rsidRDefault="0035380D" w:rsidP="00B6548B">
            <w:pPr>
              <w:jc w:val="center"/>
              <w:rPr>
                <w:color w:val="000000" w:themeColor="text1"/>
                <w:sz w:val="14"/>
                <w:szCs w:val="14"/>
              </w:rPr>
            </w:pPr>
            <w:r w:rsidRPr="00D26C28">
              <w:rPr>
                <w:color w:val="000000" w:themeColor="text1"/>
                <w:sz w:val="14"/>
                <w:szCs w:val="14"/>
              </w:rPr>
              <w:t>5.59%</w:t>
            </w:r>
          </w:p>
        </w:tc>
        <w:tc>
          <w:tcPr>
            <w:tcW w:w="320" w:type="pct"/>
            <w:tcBorders>
              <w:top w:val="nil"/>
              <w:left w:val="nil"/>
              <w:bottom w:val="nil"/>
              <w:right w:val="nil"/>
            </w:tcBorders>
            <w:shd w:val="clear" w:color="auto" w:fill="auto"/>
            <w:noWrap/>
            <w:vAlign w:val="bottom"/>
            <w:hideMark/>
          </w:tcPr>
          <w:p w14:paraId="5BD22059" w14:textId="77777777" w:rsidR="0035380D" w:rsidRPr="00D26C28" w:rsidRDefault="0035380D" w:rsidP="00B6548B">
            <w:pPr>
              <w:jc w:val="center"/>
              <w:rPr>
                <w:color w:val="000000" w:themeColor="text1"/>
                <w:sz w:val="14"/>
                <w:szCs w:val="14"/>
              </w:rPr>
            </w:pPr>
            <w:r w:rsidRPr="00D26C28">
              <w:rPr>
                <w:color w:val="000000" w:themeColor="text1"/>
                <w:sz w:val="14"/>
                <w:szCs w:val="14"/>
              </w:rPr>
              <w:t>4.85%</w:t>
            </w:r>
          </w:p>
        </w:tc>
        <w:tc>
          <w:tcPr>
            <w:tcW w:w="293" w:type="pct"/>
            <w:tcBorders>
              <w:top w:val="nil"/>
              <w:left w:val="nil"/>
              <w:bottom w:val="nil"/>
              <w:right w:val="nil"/>
            </w:tcBorders>
            <w:shd w:val="clear" w:color="auto" w:fill="auto"/>
            <w:noWrap/>
            <w:vAlign w:val="bottom"/>
            <w:hideMark/>
          </w:tcPr>
          <w:p w14:paraId="272FEEAB" w14:textId="77777777" w:rsidR="0035380D" w:rsidRPr="00D26C28" w:rsidRDefault="0035380D" w:rsidP="00B6548B">
            <w:pPr>
              <w:jc w:val="center"/>
              <w:rPr>
                <w:color w:val="000000" w:themeColor="text1"/>
                <w:sz w:val="14"/>
                <w:szCs w:val="14"/>
              </w:rPr>
            </w:pPr>
            <w:r w:rsidRPr="00D26C28">
              <w:rPr>
                <w:color w:val="000000" w:themeColor="text1"/>
                <w:sz w:val="14"/>
                <w:szCs w:val="14"/>
              </w:rPr>
              <w:t>5.18%</w:t>
            </w:r>
          </w:p>
        </w:tc>
        <w:tc>
          <w:tcPr>
            <w:tcW w:w="184" w:type="pct"/>
            <w:tcBorders>
              <w:top w:val="nil"/>
              <w:left w:val="nil"/>
              <w:bottom w:val="nil"/>
              <w:right w:val="nil"/>
            </w:tcBorders>
          </w:tcPr>
          <w:p w14:paraId="74E3E505"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65D5D4EB" w14:textId="77777777" w:rsidR="0035380D" w:rsidRPr="00D26C28" w:rsidRDefault="0035380D" w:rsidP="00B6548B">
            <w:pPr>
              <w:jc w:val="center"/>
              <w:rPr>
                <w:color w:val="000000" w:themeColor="text1"/>
                <w:sz w:val="14"/>
                <w:szCs w:val="14"/>
              </w:rPr>
            </w:pPr>
            <w:r w:rsidRPr="00D26C28">
              <w:rPr>
                <w:color w:val="000000" w:themeColor="text1"/>
                <w:sz w:val="14"/>
                <w:szCs w:val="14"/>
              </w:rPr>
              <w:t>5.15%</w:t>
            </w:r>
          </w:p>
        </w:tc>
        <w:tc>
          <w:tcPr>
            <w:tcW w:w="440" w:type="pct"/>
            <w:tcBorders>
              <w:top w:val="nil"/>
              <w:left w:val="nil"/>
              <w:bottom w:val="nil"/>
              <w:right w:val="nil"/>
            </w:tcBorders>
            <w:shd w:val="clear" w:color="auto" w:fill="auto"/>
            <w:noWrap/>
            <w:vAlign w:val="bottom"/>
            <w:hideMark/>
          </w:tcPr>
          <w:p w14:paraId="57562EFC" w14:textId="77777777" w:rsidR="0035380D" w:rsidRPr="00D26C28" w:rsidRDefault="0035380D" w:rsidP="00B6548B">
            <w:pPr>
              <w:jc w:val="center"/>
              <w:rPr>
                <w:color w:val="000000" w:themeColor="text1"/>
                <w:sz w:val="14"/>
                <w:szCs w:val="14"/>
              </w:rPr>
            </w:pPr>
            <w:r w:rsidRPr="00D26C28">
              <w:rPr>
                <w:color w:val="000000" w:themeColor="text1"/>
                <w:sz w:val="14"/>
                <w:szCs w:val="14"/>
              </w:rPr>
              <w:t>5.52%</w:t>
            </w:r>
          </w:p>
        </w:tc>
        <w:tc>
          <w:tcPr>
            <w:tcW w:w="320" w:type="pct"/>
            <w:tcBorders>
              <w:top w:val="nil"/>
              <w:left w:val="nil"/>
              <w:bottom w:val="nil"/>
              <w:right w:val="nil"/>
            </w:tcBorders>
            <w:shd w:val="clear" w:color="auto" w:fill="auto"/>
            <w:noWrap/>
            <w:vAlign w:val="bottom"/>
            <w:hideMark/>
          </w:tcPr>
          <w:p w14:paraId="20555DCE" w14:textId="77777777" w:rsidR="0035380D" w:rsidRPr="00D26C28" w:rsidRDefault="0035380D" w:rsidP="00B6548B">
            <w:pPr>
              <w:jc w:val="center"/>
              <w:rPr>
                <w:color w:val="000000" w:themeColor="text1"/>
                <w:sz w:val="14"/>
                <w:szCs w:val="14"/>
              </w:rPr>
            </w:pPr>
            <w:r w:rsidRPr="00D26C28">
              <w:rPr>
                <w:color w:val="000000" w:themeColor="text1"/>
                <w:sz w:val="14"/>
                <w:szCs w:val="14"/>
              </w:rPr>
              <w:t>6.30%</w:t>
            </w:r>
          </w:p>
        </w:tc>
        <w:tc>
          <w:tcPr>
            <w:tcW w:w="346" w:type="pct"/>
            <w:tcBorders>
              <w:top w:val="nil"/>
              <w:left w:val="nil"/>
              <w:bottom w:val="nil"/>
              <w:right w:val="nil"/>
            </w:tcBorders>
            <w:shd w:val="clear" w:color="auto" w:fill="auto"/>
            <w:noWrap/>
            <w:vAlign w:val="bottom"/>
            <w:hideMark/>
          </w:tcPr>
          <w:p w14:paraId="05FC5CAA" w14:textId="77777777" w:rsidR="0035380D" w:rsidRPr="00D26C28" w:rsidRDefault="0035380D" w:rsidP="00B6548B">
            <w:pPr>
              <w:jc w:val="center"/>
              <w:rPr>
                <w:color w:val="000000" w:themeColor="text1"/>
                <w:sz w:val="14"/>
                <w:szCs w:val="14"/>
              </w:rPr>
            </w:pPr>
            <w:r w:rsidRPr="00D26C28">
              <w:rPr>
                <w:color w:val="000000" w:themeColor="text1"/>
                <w:sz w:val="14"/>
                <w:szCs w:val="14"/>
              </w:rPr>
              <w:t>5.88%</w:t>
            </w:r>
          </w:p>
        </w:tc>
        <w:tc>
          <w:tcPr>
            <w:tcW w:w="123" w:type="pct"/>
            <w:tcBorders>
              <w:top w:val="nil"/>
              <w:left w:val="nil"/>
              <w:bottom w:val="nil"/>
              <w:right w:val="nil"/>
            </w:tcBorders>
          </w:tcPr>
          <w:p w14:paraId="3D7B9B68"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4A05C0B8" w14:textId="77777777" w:rsidR="0035380D" w:rsidRPr="00D26C28" w:rsidRDefault="0035380D" w:rsidP="00B6548B">
            <w:pPr>
              <w:jc w:val="center"/>
              <w:rPr>
                <w:color w:val="000000" w:themeColor="text1"/>
                <w:sz w:val="14"/>
                <w:szCs w:val="14"/>
              </w:rPr>
            </w:pPr>
            <w:r w:rsidRPr="00D26C28">
              <w:rPr>
                <w:color w:val="000000" w:themeColor="text1"/>
                <w:sz w:val="14"/>
                <w:szCs w:val="14"/>
              </w:rPr>
              <w:t>2.85%</w:t>
            </w:r>
          </w:p>
        </w:tc>
        <w:tc>
          <w:tcPr>
            <w:tcW w:w="320" w:type="pct"/>
            <w:tcBorders>
              <w:top w:val="nil"/>
              <w:left w:val="nil"/>
              <w:bottom w:val="nil"/>
              <w:right w:val="nil"/>
            </w:tcBorders>
            <w:shd w:val="clear" w:color="auto" w:fill="auto"/>
            <w:noWrap/>
            <w:vAlign w:val="bottom"/>
            <w:hideMark/>
          </w:tcPr>
          <w:p w14:paraId="59BF27D0" w14:textId="77777777" w:rsidR="0035380D" w:rsidRPr="00D26C28" w:rsidRDefault="0035380D" w:rsidP="00B6548B">
            <w:pPr>
              <w:jc w:val="center"/>
              <w:rPr>
                <w:color w:val="000000" w:themeColor="text1"/>
                <w:sz w:val="14"/>
                <w:szCs w:val="14"/>
              </w:rPr>
            </w:pPr>
            <w:r w:rsidRPr="00D26C28">
              <w:rPr>
                <w:color w:val="000000" w:themeColor="text1"/>
                <w:sz w:val="14"/>
                <w:szCs w:val="14"/>
              </w:rPr>
              <w:t>3.03%</w:t>
            </w:r>
          </w:p>
        </w:tc>
        <w:tc>
          <w:tcPr>
            <w:tcW w:w="320" w:type="pct"/>
            <w:tcBorders>
              <w:top w:val="nil"/>
              <w:left w:val="nil"/>
              <w:bottom w:val="nil"/>
            </w:tcBorders>
            <w:shd w:val="clear" w:color="auto" w:fill="auto"/>
            <w:noWrap/>
            <w:vAlign w:val="bottom"/>
            <w:hideMark/>
          </w:tcPr>
          <w:p w14:paraId="15672FA8" w14:textId="77777777" w:rsidR="0035380D" w:rsidRPr="00D26C28" w:rsidRDefault="0035380D" w:rsidP="00B6548B">
            <w:pPr>
              <w:jc w:val="center"/>
              <w:rPr>
                <w:color w:val="000000" w:themeColor="text1"/>
                <w:sz w:val="14"/>
                <w:szCs w:val="14"/>
              </w:rPr>
            </w:pPr>
            <w:r w:rsidRPr="00D26C28">
              <w:rPr>
                <w:color w:val="000000" w:themeColor="text1"/>
                <w:sz w:val="14"/>
                <w:szCs w:val="14"/>
              </w:rPr>
              <w:t>5.32%</w:t>
            </w:r>
          </w:p>
        </w:tc>
        <w:tc>
          <w:tcPr>
            <w:tcW w:w="346" w:type="pct"/>
            <w:tcBorders>
              <w:top w:val="nil"/>
              <w:left w:val="nil"/>
              <w:bottom w:val="nil"/>
              <w:right w:val="nil"/>
            </w:tcBorders>
            <w:vAlign w:val="bottom"/>
          </w:tcPr>
          <w:p w14:paraId="329BF262" w14:textId="77777777" w:rsidR="0035380D" w:rsidRPr="00D26C28" w:rsidRDefault="0035380D" w:rsidP="00B6548B">
            <w:pPr>
              <w:jc w:val="center"/>
              <w:rPr>
                <w:color w:val="000000" w:themeColor="text1"/>
                <w:sz w:val="14"/>
                <w:szCs w:val="14"/>
              </w:rPr>
            </w:pPr>
            <w:r w:rsidRPr="00D26C28">
              <w:rPr>
                <w:color w:val="000000" w:themeColor="text1"/>
                <w:sz w:val="14"/>
                <w:szCs w:val="14"/>
              </w:rPr>
              <w:t>5.58%</w:t>
            </w:r>
          </w:p>
        </w:tc>
      </w:tr>
      <w:tr w:rsidR="0035380D" w:rsidRPr="00D26C28" w14:paraId="2DEB1CD1" w14:textId="77777777" w:rsidTr="006132B7">
        <w:trPr>
          <w:cantSplit/>
          <w:trHeight w:hRule="exact" w:val="255"/>
        </w:trPr>
        <w:tc>
          <w:tcPr>
            <w:tcW w:w="275" w:type="pct"/>
            <w:tcBorders>
              <w:top w:val="nil"/>
              <w:bottom w:val="nil"/>
              <w:right w:val="nil"/>
            </w:tcBorders>
            <w:shd w:val="clear" w:color="auto" w:fill="auto"/>
            <w:noWrap/>
            <w:vAlign w:val="bottom"/>
            <w:hideMark/>
          </w:tcPr>
          <w:p w14:paraId="76EB8395"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4423DA19" w14:textId="77777777" w:rsidR="0035380D" w:rsidRPr="00D26C28" w:rsidRDefault="0035380D" w:rsidP="00B6548B">
            <w:pPr>
              <w:rPr>
                <w:color w:val="000000" w:themeColor="text1"/>
                <w:sz w:val="14"/>
                <w:szCs w:val="14"/>
              </w:rPr>
            </w:pPr>
            <w:r w:rsidRPr="00D26C28">
              <w:rPr>
                <w:color w:val="000000" w:themeColor="text1"/>
                <w:sz w:val="14"/>
                <w:szCs w:val="14"/>
              </w:rPr>
              <w:t>Sharpe</w:t>
            </w:r>
          </w:p>
        </w:tc>
        <w:tc>
          <w:tcPr>
            <w:tcW w:w="320" w:type="pct"/>
            <w:tcBorders>
              <w:top w:val="nil"/>
              <w:left w:val="nil"/>
              <w:bottom w:val="nil"/>
              <w:right w:val="nil"/>
            </w:tcBorders>
            <w:shd w:val="clear" w:color="auto" w:fill="auto"/>
            <w:noWrap/>
            <w:vAlign w:val="bottom"/>
            <w:hideMark/>
          </w:tcPr>
          <w:p w14:paraId="2E72CB5F" w14:textId="77777777" w:rsidR="0035380D" w:rsidRPr="00D26C28" w:rsidRDefault="0035380D" w:rsidP="00B6548B">
            <w:pPr>
              <w:jc w:val="center"/>
              <w:rPr>
                <w:color w:val="000000" w:themeColor="text1"/>
                <w:sz w:val="14"/>
                <w:szCs w:val="14"/>
              </w:rPr>
            </w:pPr>
            <w:r w:rsidRPr="00D26C28">
              <w:rPr>
                <w:color w:val="000000" w:themeColor="text1"/>
                <w:sz w:val="14"/>
                <w:szCs w:val="14"/>
              </w:rPr>
              <w:t>1.48</w:t>
            </w:r>
          </w:p>
        </w:tc>
        <w:tc>
          <w:tcPr>
            <w:tcW w:w="320" w:type="pct"/>
            <w:tcBorders>
              <w:top w:val="nil"/>
              <w:left w:val="nil"/>
              <w:bottom w:val="nil"/>
              <w:right w:val="nil"/>
            </w:tcBorders>
            <w:shd w:val="clear" w:color="auto" w:fill="auto"/>
            <w:noWrap/>
            <w:vAlign w:val="bottom"/>
            <w:hideMark/>
          </w:tcPr>
          <w:p w14:paraId="04F0D0A2" w14:textId="77777777" w:rsidR="0035380D" w:rsidRPr="00D26C28" w:rsidRDefault="0035380D" w:rsidP="00B6548B">
            <w:pPr>
              <w:jc w:val="center"/>
              <w:rPr>
                <w:color w:val="000000" w:themeColor="text1"/>
                <w:sz w:val="14"/>
                <w:szCs w:val="14"/>
              </w:rPr>
            </w:pPr>
            <w:r w:rsidRPr="00D26C28">
              <w:rPr>
                <w:color w:val="000000" w:themeColor="text1"/>
                <w:sz w:val="14"/>
                <w:szCs w:val="14"/>
              </w:rPr>
              <w:t>1.44</w:t>
            </w:r>
          </w:p>
        </w:tc>
        <w:tc>
          <w:tcPr>
            <w:tcW w:w="320" w:type="pct"/>
            <w:tcBorders>
              <w:top w:val="nil"/>
              <w:left w:val="nil"/>
              <w:bottom w:val="nil"/>
              <w:right w:val="nil"/>
            </w:tcBorders>
            <w:shd w:val="clear" w:color="auto" w:fill="auto"/>
            <w:noWrap/>
            <w:vAlign w:val="bottom"/>
            <w:hideMark/>
          </w:tcPr>
          <w:p w14:paraId="25809784" w14:textId="77777777" w:rsidR="0035380D" w:rsidRPr="00D26C28" w:rsidRDefault="0035380D" w:rsidP="00B6548B">
            <w:pPr>
              <w:jc w:val="center"/>
              <w:rPr>
                <w:color w:val="000000" w:themeColor="text1"/>
                <w:sz w:val="14"/>
                <w:szCs w:val="14"/>
              </w:rPr>
            </w:pPr>
            <w:r w:rsidRPr="00D26C28">
              <w:rPr>
                <w:color w:val="000000" w:themeColor="text1"/>
                <w:sz w:val="14"/>
                <w:szCs w:val="14"/>
              </w:rPr>
              <w:t>2.00</w:t>
            </w:r>
          </w:p>
        </w:tc>
        <w:tc>
          <w:tcPr>
            <w:tcW w:w="293" w:type="pct"/>
            <w:tcBorders>
              <w:top w:val="nil"/>
              <w:left w:val="nil"/>
              <w:bottom w:val="nil"/>
              <w:right w:val="nil"/>
            </w:tcBorders>
            <w:shd w:val="clear" w:color="auto" w:fill="auto"/>
            <w:noWrap/>
            <w:vAlign w:val="bottom"/>
            <w:hideMark/>
          </w:tcPr>
          <w:p w14:paraId="5141736D" w14:textId="77777777" w:rsidR="0035380D" w:rsidRPr="00D26C28" w:rsidRDefault="0035380D" w:rsidP="00B6548B">
            <w:pPr>
              <w:jc w:val="center"/>
              <w:rPr>
                <w:color w:val="000000" w:themeColor="text1"/>
                <w:sz w:val="14"/>
                <w:szCs w:val="14"/>
              </w:rPr>
            </w:pPr>
            <w:r w:rsidRPr="00D26C28">
              <w:rPr>
                <w:color w:val="000000" w:themeColor="text1"/>
                <w:sz w:val="14"/>
                <w:szCs w:val="14"/>
              </w:rPr>
              <w:t>2.31</w:t>
            </w:r>
          </w:p>
        </w:tc>
        <w:tc>
          <w:tcPr>
            <w:tcW w:w="184" w:type="pct"/>
            <w:tcBorders>
              <w:top w:val="nil"/>
              <w:left w:val="nil"/>
              <w:bottom w:val="nil"/>
              <w:right w:val="nil"/>
            </w:tcBorders>
          </w:tcPr>
          <w:p w14:paraId="56F5F995"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3574B2EE" w14:textId="77777777" w:rsidR="0035380D" w:rsidRPr="00D26C28" w:rsidRDefault="0035380D" w:rsidP="00B6548B">
            <w:pPr>
              <w:jc w:val="center"/>
              <w:rPr>
                <w:color w:val="000000" w:themeColor="text1"/>
                <w:sz w:val="14"/>
                <w:szCs w:val="14"/>
              </w:rPr>
            </w:pPr>
            <w:r w:rsidRPr="00D26C28">
              <w:rPr>
                <w:color w:val="000000" w:themeColor="text1"/>
                <w:sz w:val="14"/>
                <w:szCs w:val="14"/>
              </w:rPr>
              <w:t>1.22</w:t>
            </w:r>
          </w:p>
        </w:tc>
        <w:tc>
          <w:tcPr>
            <w:tcW w:w="440" w:type="pct"/>
            <w:tcBorders>
              <w:top w:val="nil"/>
              <w:left w:val="nil"/>
              <w:bottom w:val="nil"/>
              <w:right w:val="nil"/>
            </w:tcBorders>
            <w:shd w:val="clear" w:color="auto" w:fill="auto"/>
            <w:noWrap/>
            <w:vAlign w:val="bottom"/>
            <w:hideMark/>
          </w:tcPr>
          <w:p w14:paraId="59011A38" w14:textId="77777777" w:rsidR="0035380D" w:rsidRPr="00D26C28" w:rsidRDefault="0035380D" w:rsidP="00B6548B">
            <w:pPr>
              <w:jc w:val="center"/>
              <w:rPr>
                <w:color w:val="000000" w:themeColor="text1"/>
                <w:sz w:val="14"/>
                <w:szCs w:val="14"/>
              </w:rPr>
            </w:pPr>
            <w:r w:rsidRPr="00D26C28">
              <w:rPr>
                <w:color w:val="000000" w:themeColor="text1"/>
                <w:sz w:val="14"/>
                <w:szCs w:val="14"/>
              </w:rPr>
              <w:t>1.67</w:t>
            </w:r>
          </w:p>
        </w:tc>
        <w:tc>
          <w:tcPr>
            <w:tcW w:w="320" w:type="pct"/>
            <w:tcBorders>
              <w:top w:val="nil"/>
              <w:left w:val="nil"/>
              <w:bottom w:val="nil"/>
              <w:right w:val="nil"/>
            </w:tcBorders>
            <w:shd w:val="clear" w:color="auto" w:fill="auto"/>
            <w:noWrap/>
            <w:vAlign w:val="bottom"/>
            <w:hideMark/>
          </w:tcPr>
          <w:p w14:paraId="1A57B44E" w14:textId="77777777" w:rsidR="0035380D" w:rsidRPr="00D26C28" w:rsidRDefault="0035380D" w:rsidP="00B6548B">
            <w:pPr>
              <w:jc w:val="center"/>
              <w:rPr>
                <w:color w:val="000000" w:themeColor="text1"/>
                <w:sz w:val="14"/>
                <w:szCs w:val="14"/>
              </w:rPr>
            </w:pPr>
            <w:r w:rsidRPr="00D26C28">
              <w:rPr>
                <w:color w:val="000000" w:themeColor="text1"/>
                <w:sz w:val="14"/>
                <w:szCs w:val="14"/>
              </w:rPr>
              <w:t>1.49</w:t>
            </w:r>
          </w:p>
        </w:tc>
        <w:tc>
          <w:tcPr>
            <w:tcW w:w="346" w:type="pct"/>
            <w:tcBorders>
              <w:top w:val="nil"/>
              <w:left w:val="nil"/>
              <w:bottom w:val="nil"/>
              <w:right w:val="nil"/>
            </w:tcBorders>
            <w:shd w:val="clear" w:color="auto" w:fill="auto"/>
            <w:noWrap/>
            <w:vAlign w:val="bottom"/>
            <w:hideMark/>
          </w:tcPr>
          <w:p w14:paraId="31ACE5A2" w14:textId="77777777" w:rsidR="0035380D" w:rsidRPr="00D26C28" w:rsidRDefault="0035380D" w:rsidP="00B6548B">
            <w:pPr>
              <w:jc w:val="center"/>
              <w:rPr>
                <w:color w:val="000000" w:themeColor="text1"/>
                <w:sz w:val="14"/>
                <w:szCs w:val="14"/>
              </w:rPr>
            </w:pPr>
            <w:r w:rsidRPr="00D26C28">
              <w:rPr>
                <w:color w:val="000000" w:themeColor="text1"/>
                <w:sz w:val="14"/>
                <w:szCs w:val="14"/>
              </w:rPr>
              <w:t>1.45</w:t>
            </w:r>
          </w:p>
        </w:tc>
        <w:tc>
          <w:tcPr>
            <w:tcW w:w="123" w:type="pct"/>
            <w:tcBorders>
              <w:top w:val="nil"/>
              <w:left w:val="nil"/>
              <w:bottom w:val="nil"/>
              <w:right w:val="nil"/>
            </w:tcBorders>
          </w:tcPr>
          <w:p w14:paraId="50F254C3"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7BAA9FAB" w14:textId="77777777" w:rsidR="0035380D" w:rsidRPr="00D26C28" w:rsidRDefault="0035380D" w:rsidP="00B6548B">
            <w:pPr>
              <w:jc w:val="center"/>
              <w:rPr>
                <w:color w:val="000000" w:themeColor="text1"/>
                <w:sz w:val="14"/>
                <w:szCs w:val="14"/>
              </w:rPr>
            </w:pPr>
            <w:r w:rsidRPr="00D26C28">
              <w:rPr>
                <w:color w:val="000000" w:themeColor="text1"/>
                <w:sz w:val="14"/>
                <w:szCs w:val="14"/>
              </w:rPr>
              <w:t>1.01</w:t>
            </w:r>
          </w:p>
        </w:tc>
        <w:tc>
          <w:tcPr>
            <w:tcW w:w="320" w:type="pct"/>
            <w:tcBorders>
              <w:top w:val="nil"/>
              <w:left w:val="nil"/>
              <w:bottom w:val="nil"/>
              <w:right w:val="nil"/>
            </w:tcBorders>
            <w:shd w:val="clear" w:color="auto" w:fill="auto"/>
            <w:noWrap/>
            <w:vAlign w:val="bottom"/>
            <w:hideMark/>
          </w:tcPr>
          <w:p w14:paraId="5BBC535D" w14:textId="77777777" w:rsidR="0035380D" w:rsidRPr="00D26C28" w:rsidRDefault="0035380D" w:rsidP="00B6548B">
            <w:pPr>
              <w:jc w:val="center"/>
              <w:rPr>
                <w:color w:val="000000" w:themeColor="text1"/>
                <w:sz w:val="14"/>
                <w:szCs w:val="14"/>
              </w:rPr>
            </w:pPr>
            <w:r w:rsidRPr="00D26C28">
              <w:rPr>
                <w:color w:val="000000" w:themeColor="text1"/>
                <w:sz w:val="14"/>
                <w:szCs w:val="14"/>
              </w:rPr>
              <w:t>1.10</w:t>
            </w:r>
          </w:p>
        </w:tc>
        <w:tc>
          <w:tcPr>
            <w:tcW w:w="320" w:type="pct"/>
            <w:tcBorders>
              <w:top w:val="nil"/>
              <w:left w:val="nil"/>
              <w:bottom w:val="nil"/>
            </w:tcBorders>
            <w:shd w:val="clear" w:color="auto" w:fill="auto"/>
            <w:noWrap/>
            <w:vAlign w:val="bottom"/>
            <w:hideMark/>
          </w:tcPr>
          <w:p w14:paraId="62D6F485" w14:textId="77777777" w:rsidR="0035380D" w:rsidRPr="00D26C28" w:rsidRDefault="0035380D" w:rsidP="00B6548B">
            <w:pPr>
              <w:jc w:val="center"/>
              <w:rPr>
                <w:color w:val="000000" w:themeColor="text1"/>
                <w:sz w:val="14"/>
                <w:szCs w:val="14"/>
              </w:rPr>
            </w:pPr>
            <w:r w:rsidRPr="00D26C28">
              <w:rPr>
                <w:color w:val="000000" w:themeColor="text1"/>
                <w:sz w:val="14"/>
                <w:szCs w:val="14"/>
              </w:rPr>
              <w:t>0.27</w:t>
            </w:r>
          </w:p>
        </w:tc>
        <w:tc>
          <w:tcPr>
            <w:tcW w:w="346" w:type="pct"/>
            <w:tcBorders>
              <w:top w:val="nil"/>
              <w:left w:val="nil"/>
              <w:bottom w:val="nil"/>
              <w:right w:val="nil"/>
            </w:tcBorders>
            <w:vAlign w:val="bottom"/>
          </w:tcPr>
          <w:p w14:paraId="6B6F7512" w14:textId="77777777" w:rsidR="0035380D" w:rsidRPr="00D26C28" w:rsidRDefault="0035380D" w:rsidP="00B6548B">
            <w:pPr>
              <w:jc w:val="center"/>
              <w:rPr>
                <w:color w:val="000000" w:themeColor="text1"/>
                <w:sz w:val="14"/>
                <w:szCs w:val="14"/>
              </w:rPr>
            </w:pPr>
            <w:r w:rsidRPr="00D26C28">
              <w:rPr>
                <w:color w:val="000000" w:themeColor="text1"/>
                <w:sz w:val="14"/>
                <w:szCs w:val="14"/>
              </w:rPr>
              <w:t>0.50</w:t>
            </w:r>
          </w:p>
        </w:tc>
      </w:tr>
      <w:tr w:rsidR="0035380D" w:rsidRPr="00D26C28" w14:paraId="12344CCF" w14:textId="77777777" w:rsidTr="006132B7">
        <w:trPr>
          <w:cantSplit/>
          <w:trHeight w:hRule="exact" w:val="255"/>
        </w:trPr>
        <w:tc>
          <w:tcPr>
            <w:tcW w:w="275" w:type="pct"/>
            <w:tcBorders>
              <w:top w:val="nil"/>
              <w:bottom w:val="nil"/>
              <w:right w:val="nil"/>
            </w:tcBorders>
            <w:shd w:val="clear" w:color="auto" w:fill="auto"/>
            <w:noWrap/>
            <w:vAlign w:val="bottom"/>
            <w:hideMark/>
          </w:tcPr>
          <w:p w14:paraId="2FBD3958" w14:textId="77777777" w:rsidR="0035380D" w:rsidRPr="00D26C28" w:rsidRDefault="0035380D" w:rsidP="00B6548B">
            <w:pPr>
              <w:rPr>
                <w:color w:val="000000" w:themeColor="text1"/>
                <w:sz w:val="14"/>
                <w:szCs w:val="14"/>
              </w:rPr>
            </w:pPr>
            <w:r w:rsidRPr="00D26C28">
              <w:rPr>
                <w:color w:val="000000" w:themeColor="text1"/>
                <w:sz w:val="14"/>
                <w:szCs w:val="14"/>
              </w:rPr>
              <w:t>2013</w:t>
            </w:r>
          </w:p>
        </w:tc>
        <w:tc>
          <w:tcPr>
            <w:tcW w:w="434" w:type="pct"/>
            <w:tcBorders>
              <w:top w:val="nil"/>
              <w:left w:val="nil"/>
              <w:bottom w:val="nil"/>
              <w:right w:val="nil"/>
            </w:tcBorders>
            <w:shd w:val="clear" w:color="auto" w:fill="auto"/>
            <w:noWrap/>
            <w:vAlign w:val="bottom"/>
            <w:hideMark/>
          </w:tcPr>
          <w:p w14:paraId="094DC063" w14:textId="77777777" w:rsidR="0035380D" w:rsidRPr="00D26C28" w:rsidRDefault="0035380D" w:rsidP="00B6548B">
            <w:pPr>
              <w:rPr>
                <w:color w:val="000000" w:themeColor="text1"/>
                <w:sz w:val="14"/>
                <w:szCs w:val="14"/>
              </w:rPr>
            </w:pPr>
            <w:r w:rsidRPr="00D26C28">
              <w:rPr>
                <w:color w:val="000000" w:themeColor="text1"/>
                <w:sz w:val="14"/>
                <w:szCs w:val="14"/>
              </w:rPr>
              <w:t>Returns</w:t>
            </w:r>
          </w:p>
        </w:tc>
        <w:tc>
          <w:tcPr>
            <w:tcW w:w="320" w:type="pct"/>
            <w:tcBorders>
              <w:top w:val="nil"/>
              <w:left w:val="nil"/>
              <w:bottom w:val="nil"/>
              <w:right w:val="nil"/>
            </w:tcBorders>
            <w:shd w:val="clear" w:color="auto" w:fill="auto"/>
            <w:noWrap/>
            <w:vAlign w:val="bottom"/>
            <w:hideMark/>
          </w:tcPr>
          <w:p w14:paraId="06DA3A29" w14:textId="77777777" w:rsidR="0035380D" w:rsidRPr="00D26C28" w:rsidRDefault="0035380D" w:rsidP="00B6548B">
            <w:pPr>
              <w:jc w:val="center"/>
              <w:rPr>
                <w:color w:val="000000" w:themeColor="text1"/>
                <w:sz w:val="14"/>
                <w:szCs w:val="14"/>
              </w:rPr>
            </w:pPr>
            <w:r w:rsidRPr="00D26C28">
              <w:rPr>
                <w:color w:val="000000" w:themeColor="text1"/>
                <w:sz w:val="14"/>
                <w:szCs w:val="14"/>
              </w:rPr>
              <w:t>1.64%</w:t>
            </w:r>
          </w:p>
        </w:tc>
        <w:tc>
          <w:tcPr>
            <w:tcW w:w="320" w:type="pct"/>
            <w:tcBorders>
              <w:top w:val="nil"/>
              <w:left w:val="nil"/>
              <w:bottom w:val="nil"/>
              <w:right w:val="nil"/>
            </w:tcBorders>
            <w:shd w:val="clear" w:color="auto" w:fill="auto"/>
            <w:noWrap/>
            <w:vAlign w:val="bottom"/>
            <w:hideMark/>
          </w:tcPr>
          <w:p w14:paraId="7CF5E01A" w14:textId="77777777" w:rsidR="0035380D" w:rsidRPr="00D26C28" w:rsidRDefault="0035380D" w:rsidP="00B6548B">
            <w:pPr>
              <w:jc w:val="center"/>
              <w:rPr>
                <w:color w:val="000000" w:themeColor="text1"/>
                <w:sz w:val="14"/>
                <w:szCs w:val="14"/>
              </w:rPr>
            </w:pPr>
            <w:r w:rsidRPr="00D26C28">
              <w:rPr>
                <w:color w:val="000000" w:themeColor="text1"/>
                <w:sz w:val="14"/>
                <w:szCs w:val="14"/>
              </w:rPr>
              <w:t>2.08%</w:t>
            </w:r>
          </w:p>
        </w:tc>
        <w:tc>
          <w:tcPr>
            <w:tcW w:w="320" w:type="pct"/>
            <w:tcBorders>
              <w:top w:val="nil"/>
              <w:left w:val="nil"/>
              <w:bottom w:val="nil"/>
              <w:right w:val="nil"/>
            </w:tcBorders>
            <w:shd w:val="clear" w:color="auto" w:fill="auto"/>
            <w:noWrap/>
            <w:vAlign w:val="bottom"/>
            <w:hideMark/>
          </w:tcPr>
          <w:p w14:paraId="7FA341E6" w14:textId="77777777" w:rsidR="0035380D" w:rsidRPr="00D26C28" w:rsidRDefault="0035380D" w:rsidP="00B6548B">
            <w:pPr>
              <w:jc w:val="center"/>
              <w:rPr>
                <w:color w:val="000000" w:themeColor="text1"/>
                <w:sz w:val="14"/>
                <w:szCs w:val="14"/>
              </w:rPr>
            </w:pPr>
            <w:r w:rsidRPr="00D26C28">
              <w:rPr>
                <w:color w:val="000000" w:themeColor="text1"/>
                <w:sz w:val="14"/>
                <w:szCs w:val="14"/>
              </w:rPr>
              <w:t>2.34%</w:t>
            </w:r>
          </w:p>
        </w:tc>
        <w:tc>
          <w:tcPr>
            <w:tcW w:w="293" w:type="pct"/>
            <w:tcBorders>
              <w:top w:val="nil"/>
              <w:left w:val="nil"/>
              <w:bottom w:val="nil"/>
              <w:right w:val="nil"/>
            </w:tcBorders>
            <w:shd w:val="clear" w:color="auto" w:fill="auto"/>
            <w:noWrap/>
            <w:vAlign w:val="bottom"/>
            <w:hideMark/>
          </w:tcPr>
          <w:p w14:paraId="35240985" w14:textId="77777777" w:rsidR="0035380D" w:rsidRPr="00D26C28" w:rsidRDefault="0035380D" w:rsidP="00B6548B">
            <w:pPr>
              <w:jc w:val="center"/>
              <w:rPr>
                <w:color w:val="000000" w:themeColor="text1"/>
                <w:sz w:val="14"/>
                <w:szCs w:val="14"/>
              </w:rPr>
            </w:pPr>
            <w:r w:rsidRPr="00D26C28">
              <w:rPr>
                <w:color w:val="000000" w:themeColor="text1"/>
                <w:sz w:val="14"/>
                <w:szCs w:val="14"/>
              </w:rPr>
              <w:t>2.66%</w:t>
            </w:r>
          </w:p>
        </w:tc>
        <w:tc>
          <w:tcPr>
            <w:tcW w:w="184" w:type="pct"/>
            <w:tcBorders>
              <w:top w:val="nil"/>
              <w:left w:val="nil"/>
              <w:bottom w:val="nil"/>
              <w:right w:val="nil"/>
            </w:tcBorders>
          </w:tcPr>
          <w:p w14:paraId="428DFB9F"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5BFAE777" w14:textId="77777777" w:rsidR="0035380D" w:rsidRPr="00D26C28" w:rsidRDefault="0035380D" w:rsidP="00B6548B">
            <w:pPr>
              <w:jc w:val="center"/>
              <w:rPr>
                <w:color w:val="000000" w:themeColor="text1"/>
                <w:sz w:val="14"/>
                <w:szCs w:val="14"/>
              </w:rPr>
            </w:pPr>
            <w:r w:rsidRPr="00D26C28">
              <w:rPr>
                <w:color w:val="000000" w:themeColor="text1"/>
                <w:sz w:val="14"/>
                <w:szCs w:val="14"/>
              </w:rPr>
              <w:t>2.05%</w:t>
            </w:r>
          </w:p>
        </w:tc>
        <w:tc>
          <w:tcPr>
            <w:tcW w:w="440" w:type="pct"/>
            <w:tcBorders>
              <w:top w:val="nil"/>
              <w:left w:val="nil"/>
              <w:bottom w:val="nil"/>
              <w:right w:val="nil"/>
            </w:tcBorders>
            <w:shd w:val="clear" w:color="auto" w:fill="auto"/>
            <w:noWrap/>
            <w:vAlign w:val="bottom"/>
            <w:hideMark/>
          </w:tcPr>
          <w:p w14:paraId="438E9EDD" w14:textId="77777777" w:rsidR="0035380D" w:rsidRPr="00D26C28" w:rsidRDefault="0035380D" w:rsidP="00B6548B">
            <w:pPr>
              <w:jc w:val="center"/>
              <w:rPr>
                <w:color w:val="000000" w:themeColor="text1"/>
                <w:sz w:val="14"/>
                <w:szCs w:val="14"/>
              </w:rPr>
            </w:pPr>
            <w:r w:rsidRPr="00D26C28">
              <w:rPr>
                <w:color w:val="000000" w:themeColor="text1"/>
                <w:sz w:val="14"/>
                <w:szCs w:val="14"/>
              </w:rPr>
              <w:t>2.36%</w:t>
            </w:r>
          </w:p>
        </w:tc>
        <w:tc>
          <w:tcPr>
            <w:tcW w:w="320" w:type="pct"/>
            <w:tcBorders>
              <w:top w:val="nil"/>
              <w:left w:val="nil"/>
              <w:bottom w:val="nil"/>
              <w:right w:val="nil"/>
            </w:tcBorders>
            <w:shd w:val="clear" w:color="auto" w:fill="auto"/>
            <w:noWrap/>
            <w:vAlign w:val="bottom"/>
            <w:hideMark/>
          </w:tcPr>
          <w:p w14:paraId="51716DEF" w14:textId="77777777" w:rsidR="0035380D" w:rsidRPr="00D26C28" w:rsidRDefault="0035380D" w:rsidP="00B6548B">
            <w:pPr>
              <w:jc w:val="center"/>
              <w:rPr>
                <w:color w:val="000000" w:themeColor="text1"/>
                <w:sz w:val="14"/>
                <w:szCs w:val="14"/>
              </w:rPr>
            </w:pPr>
            <w:r w:rsidRPr="00D26C28">
              <w:rPr>
                <w:color w:val="000000" w:themeColor="text1"/>
                <w:sz w:val="14"/>
                <w:szCs w:val="14"/>
              </w:rPr>
              <w:t>2.34%</w:t>
            </w:r>
          </w:p>
        </w:tc>
        <w:tc>
          <w:tcPr>
            <w:tcW w:w="346" w:type="pct"/>
            <w:tcBorders>
              <w:top w:val="nil"/>
              <w:left w:val="nil"/>
              <w:bottom w:val="nil"/>
              <w:right w:val="nil"/>
            </w:tcBorders>
            <w:shd w:val="clear" w:color="auto" w:fill="auto"/>
            <w:noWrap/>
            <w:vAlign w:val="bottom"/>
            <w:hideMark/>
          </w:tcPr>
          <w:p w14:paraId="07934803" w14:textId="77777777" w:rsidR="0035380D" w:rsidRPr="00D26C28" w:rsidRDefault="0035380D" w:rsidP="00B6548B">
            <w:pPr>
              <w:jc w:val="center"/>
              <w:rPr>
                <w:color w:val="000000" w:themeColor="text1"/>
                <w:sz w:val="14"/>
                <w:szCs w:val="14"/>
              </w:rPr>
            </w:pPr>
            <w:r w:rsidRPr="00D26C28">
              <w:rPr>
                <w:color w:val="000000" w:themeColor="text1"/>
                <w:sz w:val="14"/>
                <w:szCs w:val="14"/>
              </w:rPr>
              <w:t>2.16%</w:t>
            </w:r>
          </w:p>
        </w:tc>
        <w:tc>
          <w:tcPr>
            <w:tcW w:w="123" w:type="pct"/>
            <w:tcBorders>
              <w:top w:val="nil"/>
              <w:left w:val="nil"/>
              <w:bottom w:val="nil"/>
              <w:right w:val="nil"/>
            </w:tcBorders>
          </w:tcPr>
          <w:p w14:paraId="383E5AEE"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4B332D02" w14:textId="77777777" w:rsidR="0035380D" w:rsidRPr="00D26C28" w:rsidRDefault="0035380D" w:rsidP="00B6548B">
            <w:pPr>
              <w:jc w:val="center"/>
              <w:rPr>
                <w:color w:val="000000" w:themeColor="text1"/>
                <w:sz w:val="14"/>
                <w:szCs w:val="14"/>
              </w:rPr>
            </w:pPr>
            <w:r w:rsidRPr="00D26C28">
              <w:rPr>
                <w:color w:val="000000" w:themeColor="text1"/>
                <w:sz w:val="14"/>
                <w:szCs w:val="14"/>
              </w:rPr>
              <w:t>0.90%</w:t>
            </w:r>
          </w:p>
        </w:tc>
        <w:tc>
          <w:tcPr>
            <w:tcW w:w="320" w:type="pct"/>
            <w:tcBorders>
              <w:top w:val="nil"/>
              <w:left w:val="nil"/>
              <w:bottom w:val="nil"/>
              <w:right w:val="nil"/>
            </w:tcBorders>
            <w:shd w:val="clear" w:color="auto" w:fill="auto"/>
            <w:noWrap/>
            <w:vAlign w:val="bottom"/>
            <w:hideMark/>
          </w:tcPr>
          <w:p w14:paraId="055289AF" w14:textId="77777777" w:rsidR="0035380D" w:rsidRPr="00D26C28" w:rsidRDefault="0035380D" w:rsidP="00B6548B">
            <w:pPr>
              <w:jc w:val="center"/>
              <w:rPr>
                <w:color w:val="000000" w:themeColor="text1"/>
                <w:sz w:val="14"/>
                <w:szCs w:val="14"/>
              </w:rPr>
            </w:pPr>
            <w:r w:rsidRPr="00D26C28">
              <w:rPr>
                <w:color w:val="000000" w:themeColor="text1"/>
                <w:sz w:val="14"/>
                <w:szCs w:val="14"/>
              </w:rPr>
              <w:t>0.99%</w:t>
            </w:r>
          </w:p>
        </w:tc>
        <w:tc>
          <w:tcPr>
            <w:tcW w:w="320" w:type="pct"/>
            <w:tcBorders>
              <w:top w:val="nil"/>
              <w:left w:val="nil"/>
              <w:bottom w:val="nil"/>
            </w:tcBorders>
            <w:shd w:val="clear" w:color="auto" w:fill="auto"/>
            <w:noWrap/>
            <w:vAlign w:val="bottom"/>
            <w:hideMark/>
          </w:tcPr>
          <w:p w14:paraId="4A78BDE3" w14:textId="77777777" w:rsidR="0035380D" w:rsidRPr="00D26C28" w:rsidRDefault="0035380D" w:rsidP="00B6548B">
            <w:pPr>
              <w:jc w:val="center"/>
              <w:rPr>
                <w:color w:val="000000" w:themeColor="text1"/>
                <w:sz w:val="14"/>
                <w:szCs w:val="14"/>
              </w:rPr>
            </w:pPr>
            <w:r w:rsidRPr="00D26C28">
              <w:rPr>
                <w:color w:val="000000" w:themeColor="text1"/>
                <w:sz w:val="14"/>
                <w:szCs w:val="14"/>
              </w:rPr>
              <w:t>0.41%</w:t>
            </w:r>
          </w:p>
        </w:tc>
        <w:tc>
          <w:tcPr>
            <w:tcW w:w="346" w:type="pct"/>
            <w:tcBorders>
              <w:top w:val="nil"/>
              <w:left w:val="nil"/>
              <w:bottom w:val="nil"/>
              <w:right w:val="nil"/>
            </w:tcBorders>
            <w:vAlign w:val="bottom"/>
          </w:tcPr>
          <w:p w14:paraId="151999F7" w14:textId="77777777" w:rsidR="0035380D" w:rsidRPr="00D26C28" w:rsidRDefault="0035380D" w:rsidP="00B6548B">
            <w:pPr>
              <w:jc w:val="center"/>
              <w:rPr>
                <w:color w:val="000000" w:themeColor="text1"/>
                <w:sz w:val="14"/>
                <w:szCs w:val="14"/>
              </w:rPr>
            </w:pPr>
            <w:r w:rsidRPr="00D26C28">
              <w:rPr>
                <w:color w:val="000000" w:themeColor="text1"/>
                <w:sz w:val="14"/>
                <w:szCs w:val="14"/>
              </w:rPr>
              <w:t>0.77%</w:t>
            </w:r>
          </w:p>
        </w:tc>
      </w:tr>
      <w:tr w:rsidR="0035380D" w:rsidRPr="00D26C28" w14:paraId="1E4FBE34" w14:textId="77777777" w:rsidTr="006132B7">
        <w:trPr>
          <w:cantSplit/>
          <w:trHeight w:hRule="exact" w:val="255"/>
        </w:trPr>
        <w:tc>
          <w:tcPr>
            <w:tcW w:w="275" w:type="pct"/>
            <w:tcBorders>
              <w:top w:val="nil"/>
              <w:bottom w:val="nil"/>
              <w:right w:val="nil"/>
            </w:tcBorders>
            <w:shd w:val="clear" w:color="auto" w:fill="auto"/>
            <w:noWrap/>
            <w:vAlign w:val="bottom"/>
            <w:hideMark/>
          </w:tcPr>
          <w:p w14:paraId="7B735DE3" w14:textId="77777777" w:rsidR="0035380D" w:rsidRPr="00D26C28" w:rsidRDefault="0035380D" w:rsidP="00B6548B">
            <w:pPr>
              <w:rPr>
                <w:color w:val="000000" w:themeColor="text1"/>
                <w:sz w:val="14"/>
                <w:szCs w:val="14"/>
              </w:rPr>
            </w:pPr>
          </w:p>
        </w:tc>
        <w:tc>
          <w:tcPr>
            <w:tcW w:w="434" w:type="pct"/>
            <w:tcBorders>
              <w:top w:val="nil"/>
              <w:left w:val="nil"/>
              <w:bottom w:val="nil"/>
              <w:right w:val="nil"/>
            </w:tcBorders>
            <w:shd w:val="clear" w:color="auto" w:fill="auto"/>
            <w:noWrap/>
            <w:vAlign w:val="bottom"/>
            <w:hideMark/>
          </w:tcPr>
          <w:p w14:paraId="13E5D29E" w14:textId="77777777" w:rsidR="0035380D" w:rsidRPr="00D26C28" w:rsidRDefault="0035380D" w:rsidP="00B6548B">
            <w:pPr>
              <w:rPr>
                <w:i/>
                <w:iCs/>
                <w:color w:val="000000" w:themeColor="text1"/>
                <w:sz w:val="14"/>
                <w:szCs w:val="14"/>
              </w:rPr>
            </w:pPr>
            <w:r w:rsidRPr="00D26C28">
              <w:rPr>
                <w:i/>
                <w:iCs/>
                <w:color w:val="000000" w:themeColor="text1"/>
                <w:sz w:val="14"/>
                <w:szCs w:val="14"/>
              </w:rPr>
              <w:t>t-</w:t>
            </w:r>
            <w:r w:rsidRPr="00D26C28">
              <w:rPr>
                <w:color w:val="000000" w:themeColor="text1"/>
                <w:sz w:val="14"/>
                <w:szCs w:val="14"/>
              </w:rPr>
              <w:t>statistics</w:t>
            </w:r>
          </w:p>
        </w:tc>
        <w:tc>
          <w:tcPr>
            <w:tcW w:w="320" w:type="pct"/>
            <w:tcBorders>
              <w:top w:val="nil"/>
              <w:left w:val="nil"/>
              <w:bottom w:val="nil"/>
              <w:right w:val="nil"/>
            </w:tcBorders>
            <w:shd w:val="clear" w:color="auto" w:fill="auto"/>
            <w:noWrap/>
            <w:vAlign w:val="bottom"/>
            <w:hideMark/>
          </w:tcPr>
          <w:p w14:paraId="72CDA254" w14:textId="77777777" w:rsidR="0035380D" w:rsidRPr="00D26C28" w:rsidRDefault="0035380D" w:rsidP="00B6548B">
            <w:pPr>
              <w:jc w:val="center"/>
              <w:rPr>
                <w:color w:val="000000" w:themeColor="text1"/>
                <w:sz w:val="14"/>
                <w:szCs w:val="14"/>
              </w:rPr>
            </w:pPr>
            <w:r w:rsidRPr="00D26C28">
              <w:rPr>
                <w:color w:val="000000" w:themeColor="text1"/>
                <w:sz w:val="14"/>
                <w:szCs w:val="14"/>
              </w:rPr>
              <w:t>2.99</w:t>
            </w:r>
          </w:p>
        </w:tc>
        <w:tc>
          <w:tcPr>
            <w:tcW w:w="320" w:type="pct"/>
            <w:tcBorders>
              <w:top w:val="nil"/>
              <w:left w:val="nil"/>
              <w:bottom w:val="nil"/>
              <w:right w:val="nil"/>
            </w:tcBorders>
            <w:shd w:val="clear" w:color="auto" w:fill="auto"/>
            <w:noWrap/>
            <w:vAlign w:val="bottom"/>
            <w:hideMark/>
          </w:tcPr>
          <w:p w14:paraId="55D973CA" w14:textId="77777777" w:rsidR="0035380D" w:rsidRPr="00D26C28" w:rsidRDefault="0035380D" w:rsidP="00B6548B">
            <w:pPr>
              <w:jc w:val="center"/>
              <w:rPr>
                <w:color w:val="000000" w:themeColor="text1"/>
                <w:sz w:val="14"/>
                <w:szCs w:val="14"/>
              </w:rPr>
            </w:pPr>
            <w:r w:rsidRPr="00D26C28">
              <w:rPr>
                <w:color w:val="000000" w:themeColor="text1"/>
                <w:sz w:val="14"/>
                <w:szCs w:val="14"/>
              </w:rPr>
              <w:t>2.63</w:t>
            </w:r>
          </w:p>
        </w:tc>
        <w:tc>
          <w:tcPr>
            <w:tcW w:w="320" w:type="pct"/>
            <w:tcBorders>
              <w:top w:val="nil"/>
              <w:left w:val="nil"/>
              <w:bottom w:val="nil"/>
              <w:right w:val="nil"/>
            </w:tcBorders>
            <w:shd w:val="clear" w:color="auto" w:fill="auto"/>
            <w:noWrap/>
            <w:vAlign w:val="bottom"/>
            <w:hideMark/>
          </w:tcPr>
          <w:p w14:paraId="123BEF37" w14:textId="77777777" w:rsidR="0035380D" w:rsidRPr="00D26C28" w:rsidRDefault="0035380D" w:rsidP="00B6548B">
            <w:pPr>
              <w:jc w:val="center"/>
              <w:rPr>
                <w:color w:val="000000" w:themeColor="text1"/>
                <w:sz w:val="14"/>
                <w:szCs w:val="14"/>
              </w:rPr>
            </w:pPr>
            <w:r w:rsidRPr="00D26C28">
              <w:rPr>
                <w:color w:val="000000" w:themeColor="text1"/>
                <w:sz w:val="14"/>
                <w:szCs w:val="14"/>
              </w:rPr>
              <w:t>3.55</w:t>
            </w:r>
          </w:p>
        </w:tc>
        <w:tc>
          <w:tcPr>
            <w:tcW w:w="293" w:type="pct"/>
            <w:tcBorders>
              <w:top w:val="nil"/>
              <w:left w:val="nil"/>
              <w:bottom w:val="nil"/>
              <w:right w:val="nil"/>
            </w:tcBorders>
            <w:shd w:val="clear" w:color="auto" w:fill="auto"/>
            <w:noWrap/>
            <w:vAlign w:val="bottom"/>
            <w:hideMark/>
          </w:tcPr>
          <w:p w14:paraId="2054DADD" w14:textId="77777777" w:rsidR="0035380D" w:rsidRPr="00D26C28" w:rsidRDefault="0035380D" w:rsidP="00B6548B">
            <w:pPr>
              <w:jc w:val="center"/>
              <w:rPr>
                <w:color w:val="000000" w:themeColor="text1"/>
                <w:sz w:val="14"/>
                <w:szCs w:val="14"/>
              </w:rPr>
            </w:pPr>
            <w:r w:rsidRPr="00D26C28">
              <w:rPr>
                <w:color w:val="000000" w:themeColor="text1"/>
                <w:sz w:val="14"/>
                <w:szCs w:val="14"/>
              </w:rPr>
              <w:t>3.65</w:t>
            </w:r>
          </w:p>
        </w:tc>
        <w:tc>
          <w:tcPr>
            <w:tcW w:w="184" w:type="pct"/>
            <w:tcBorders>
              <w:top w:val="nil"/>
              <w:left w:val="nil"/>
              <w:bottom w:val="nil"/>
              <w:right w:val="nil"/>
            </w:tcBorders>
          </w:tcPr>
          <w:p w14:paraId="725D0781"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75F5DB0B" w14:textId="77777777" w:rsidR="0035380D" w:rsidRPr="00D26C28" w:rsidRDefault="0035380D" w:rsidP="00B6548B">
            <w:pPr>
              <w:jc w:val="center"/>
              <w:rPr>
                <w:color w:val="000000" w:themeColor="text1"/>
                <w:sz w:val="14"/>
                <w:szCs w:val="14"/>
              </w:rPr>
            </w:pPr>
            <w:r w:rsidRPr="00D26C28">
              <w:rPr>
                <w:color w:val="000000" w:themeColor="text1"/>
                <w:sz w:val="14"/>
                <w:szCs w:val="14"/>
              </w:rPr>
              <w:t>2.60</w:t>
            </w:r>
          </w:p>
        </w:tc>
        <w:tc>
          <w:tcPr>
            <w:tcW w:w="440" w:type="pct"/>
            <w:tcBorders>
              <w:top w:val="nil"/>
              <w:left w:val="nil"/>
              <w:bottom w:val="nil"/>
              <w:right w:val="nil"/>
            </w:tcBorders>
            <w:shd w:val="clear" w:color="auto" w:fill="auto"/>
            <w:noWrap/>
            <w:vAlign w:val="bottom"/>
            <w:hideMark/>
          </w:tcPr>
          <w:p w14:paraId="73E12682" w14:textId="77777777" w:rsidR="0035380D" w:rsidRPr="00D26C28" w:rsidRDefault="0035380D" w:rsidP="00B6548B">
            <w:pPr>
              <w:jc w:val="center"/>
              <w:rPr>
                <w:color w:val="000000" w:themeColor="text1"/>
                <w:sz w:val="14"/>
                <w:szCs w:val="14"/>
              </w:rPr>
            </w:pPr>
            <w:r w:rsidRPr="00D26C28">
              <w:rPr>
                <w:color w:val="000000" w:themeColor="text1"/>
                <w:sz w:val="14"/>
                <w:szCs w:val="14"/>
              </w:rPr>
              <w:t>2.58</w:t>
            </w:r>
          </w:p>
        </w:tc>
        <w:tc>
          <w:tcPr>
            <w:tcW w:w="320" w:type="pct"/>
            <w:tcBorders>
              <w:top w:val="nil"/>
              <w:left w:val="nil"/>
              <w:bottom w:val="nil"/>
              <w:right w:val="nil"/>
            </w:tcBorders>
            <w:shd w:val="clear" w:color="auto" w:fill="auto"/>
            <w:noWrap/>
            <w:vAlign w:val="bottom"/>
            <w:hideMark/>
          </w:tcPr>
          <w:p w14:paraId="1F8F50A0" w14:textId="77777777" w:rsidR="0035380D" w:rsidRPr="00D26C28" w:rsidRDefault="0035380D" w:rsidP="00B6548B">
            <w:pPr>
              <w:jc w:val="center"/>
              <w:rPr>
                <w:color w:val="000000" w:themeColor="text1"/>
                <w:sz w:val="14"/>
                <w:szCs w:val="14"/>
              </w:rPr>
            </w:pPr>
            <w:r w:rsidRPr="00D26C28">
              <w:rPr>
                <w:color w:val="000000" w:themeColor="text1"/>
                <w:sz w:val="14"/>
                <w:szCs w:val="14"/>
              </w:rPr>
              <w:t>2.30</w:t>
            </w:r>
          </w:p>
        </w:tc>
        <w:tc>
          <w:tcPr>
            <w:tcW w:w="346" w:type="pct"/>
            <w:tcBorders>
              <w:top w:val="nil"/>
              <w:left w:val="nil"/>
              <w:bottom w:val="nil"/>
              <w:right w:val="nil"/>
            </w:tcBorders>
            <w:shd w:val="clear" w:color="auto" w:fill="auto"/>
            <w:noWrap/>
            <w:vAlign w:val="bottom"/>
            <w:hideMark/>
          </w:tcPr>
          <w:p w14:paraId="5814C64B" w14:textId="77777777" w:rsidR="0035380D" w:rsidRPr="00D26C28" w:rsidRDefault="0035380D" w:rsidP="00B6548B">
            <w:pPr>
              <w:jc w:val="center"/>
              <w:rPr>
                <w:color w:val="000000" w:themeColor="text1"/>
                <w:sz w:val="14"/>
                <w:szCs w:val="14"/>
              </w:rPr>
            </w:pPr>
            <w:r w:rsidRPr="00D26C28">
              <w:rPr>
                <w:color w:val="000000" w:themeColor="text1"/>
                <w:sz w:val="14"/>
                <w:szCs w:val="14"/>
              </w:rPr>
              <w:t>2.54</w:t>
            </w:r>
          </w:p>
        </w:tc>
        <w:tc>
          <w:tcPr>
            <w:tcW w:w="123" w:type="pct"/>
            <w:tcBorders>
              <w:top w:val="nil"/>
              <w:left w:val="nil"/>
              <w:bottom w:val="nil"/>
              <w:right w:val="nil"/>
            </w:tcBorders>
          </w:tcPr>
          <w:p w14:paraId="3007FF9E"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3DE6181B" w14:textId="77777777" w:rsidR="0035380D" w:rsidRPr="00D26C28" w:rsidRDefault="0035380D" w:rsidP="00B6548B">
            <w:pPr>
              <w:jc w:val="center"/>
              <w:rPr>
                <w:color w:val="000000" w:themeColor="text1"/>
                <w:sz w:val="14"/>
                <w:szCs w:val="14"/>
              </w:rPr>
            </w:pPr>
            <w:r w:rsidRPr="00D26C28">
              <w:rPr>
                <w:color w:val="000000" w:themeColor="text1"/>
                <w:sz w:val="14"/>
                <w:szCs w:val="14"/>
              </w:rPr>
              <w:t>1.99</w:t>
            </w:r>
          </w:p>
        </w:tc>
        <w:tc>
          <w:tcPr>
            <w:tcW w:w="320" w:type="pct"/>
            <w:tcBorders>
              <w:top w:val="nil"/>
              <w:left w:val="nil"/>
              <w:bottom w:val="nil"/>
              <w:right w:val="nil"/>
            </w:tcBorders>
            <w:shd w:val="clear" w:color="auto" w:fill="auto"/>
            <w:noWrap/>
            <w:vAlign w:val="bottom"/>
            <w:hideMark/>
          </w:tcPr>
          <w:p w14:paraId="3F379721" w14:textId="77777777" w:rsidR="0035380D" w:rsidRPr="00D26C28" w:rsidRDefault="0035380D" w:rsidP="00B6548B">
            <w:pPr>
              <w:jc w:val="center"/>
              <w:rPr>
                <w:color w:val="000000" w:themeColor="text1"/>
                <w:sz w:val="14"/>
                <w:szCs w:val="14"/>
              </w:rPr>
            </w:pPr>
            <w:r w:rsidRPr="00D26C28">
              <w:rPr>
                <w:color w:val="000000" w:themeColor="text1"/>
                <w:sz w:val="14"/>
                <w:szCs w:val="14"/>
              </w:rPr>
              <w:t>2.02</w:t>
            </w:r>
          </w:p>
        </w:tc>
        <w:tc>
          <w:tcPr>
            <w:tcW w:w="320" w:type="pct"/>
            <w:tcBorders>
              <w:top w:val="nil"/>
              <w:left w:val="nil"/>
              <w:bottom w:val="nil"/>
            </w:tcBorders>
            <w:shd w:val="clear" w:color="auto" w:fill="auto"/>
            <w:noWrap/>
            <w:vAlign w:val="bottom"/>
            <w:hideMark/>
          </w:tcPr>
          <w:p w14:paraId="52ADA63A" w14:textId="77777777" w:rsidR="0035380D" w:rsidRPr="00D26C28" w:rsidRDefault="0035380D" w:rsidP="00B6548B">
            <w:pPr>
              <w:jc w:val="center"/>
              <w:rPr>
                <w:color w:val="000000" w:themeColor="text1"/>
                <w:sz w:val="14"/>
                <w:szCs w:val="14"/>
              </w:rPr>
            </w:pPr>
            <w:r w:rsidRPr="00D26C28">
              <w:rPr>
                <w:color w:val="000000" w:themeColor="text1"/>
                <w:sz w:val="14"/>
                <w:szCs w:val="14"/>
              </w:rPr>
              <w:t>0.50</w:t>
            </w:r>
          </w:p>
        </w:tc>
        <w:tc>
          <w:tcPr>
            <w:tcW w:w="346" w:type="pct"/>
            <w:tcBorders>
              <w:top w:val="nil"/>
              <w:left w:val="nil"/>
              <w:bottom w:val="nil"/>
              <w:right w:val="nil"/>
            </w:tcBorders>
            <w:vAlign w:val="bottom"/>
          </w:tcPr>
          <w:p w14:paraId="6ACEE5B8" w14:textId="77777777" w:rsidR="0035380D" w:rsidRPr="00D26C28" w:rsidRDefault="0035380D" w:rsidP="00B6548B">
            <w:pPr>
              <w:jc w:val="center"/>
              <w:rPr>
                <w:color w:val="000000" w:themeColor="text1"/>
                <w:sz w:val="14"/>
                <w:szCs w:val="14"/>
              </w:rPr>
            </w:pPr>
            <w:r w:rsidRPr="00D26C28">
              <w:rPr>
                <w:color w:val="000000" w:themeColor="text1"/>
                <w:sz w:val="14"/>
                <w:szCs w:val="14"/>
              </w:rPr>
              <w:t>0.94</w:t>
            </w:r>
          </w:p>
        </w:tc>
      </w:tr>
      <w:tr w:rsidR="0035380D" w:rsidRPr="00D26C28" w14:paraId="3174089B" w14:textId="77777777" w:rsidTr="006132B7">
        <w:trPr>
          <w:cantSplit/>
          <w:trHeight w:hRule="exact" w:val="255"/>
        </w:trPr>
        <w:tc>
          <w:tcPr>
            <w:tcW w:w="275" w:type="pct"/>
            <w:tcBorders>
              <w:top w:val="nil"/>
              <w:bottom w:val="nil"/>
              <w:right w:val="nil"/>
            </w:tcBorders>
            <w:shd w:val="clear" w:color="auto" w:fill="auto"/>
            <w:noWrap/>
            <w:vAlign w:val="bottom"/>
            <w:hideMark/>
          </w:tcPr>
          <w:p w14:paraId="74409C31"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6DB4F2B1" w14:textId="77777777" w:rsidR="0035380D" w:rsidRPr="00D26C28" w:rsidRDefault="0035380D" w:rsidP="00B6548B">
            <w:pPr>
              <w:rPr>
                <w:color w:val="000000" w:themeColor="text1"/>
                <w:sz w:val="14"/>
                <w:szCs w:val="14"/>
              </w:rPr>
            </w:pPr>
            <w:r w:rsidRPr="00D26C28">
              <w:rPr>
                <w:color w:val="000000" w:themeColor="text1"/>
                <w:sz w:val="14"/>
                <w:szCs w:val="14"/>
              </w:rPr>
              <w:t>Volatility</w:t>
            </w:r>
          </w:p>
        </w:tc>
        <w:tc>
          <w:tcPr>
            <w:tcW w:w="320" w:type="pct"/>
            <w:tcBorders>
              <w:top w:val="nil"/>
              <w:left w:val="nil"/>
              <w:bottom w:val="nil"/>
              <w:right w:val="nil"/>
            </w:tcBorders>
            <w:shd w:val="clear" w:color="auto" w:fill="auto"/>
            <w:noWrap/>
            <w:vAlign w:val="bottom"/>
            <w:hideMark/>
          </w:tcPr>
          <w:p w14:paraId="51CF69E9" w14:textId="77777777" w:rsidR="0035380D" w:rsidRPr="00D26C28" w:rsidRDefault="0035380D" w:rsidP="00B6548B">
            <w:pPr>
              <w:jc w:val="center"/>
              <w:rPr>
                <w:color w:val="000000" w:themeColor="text1"/>
                <w:sz w:val="14"/>
                <w:szCs w:val="14"/>
              </w:rPr>
            </w:pPr>
            <w:r w:rsidRPr="00D26C28">
              <w:rPr>
                <w:color w:val="000000" w:themeColor="text1"/>
                <w:sz w:val="14"/>
                <w:szCs w:val="14"/>
              </w:rPr>
              <w:t>3.93%</w:t>
            </w:r>
          </w:p>
        </w:tc>
        <w:tc>
          <w:tcPr>
            <w:tcW w:w="320" w:type="pct"/>
            <w:tcBorders>
              <w:top w:val="nil"/>
              <w:left w:val="nil"/>
              <w:bottom w:val="nil"/>
              <w:right w:val="nil"/>
            </w:tcBorders>
            <w:shd w:val="clear" w:color="auto" w:fill="auto"/>
            <w:noWrap/>
            <w:vAlign w:val="bottom"/>
            <w:hideMark/>
          </w:tcPr>
          <w:p w14:paraId="1D1EE1FE" w14:textId="77777777" w:rsidR="0035380D" w:rsidRPr="00D26C28" w:rsidRDefault="0035380D" w:rsidP="00B6548B">
            <w:pPr>
              <w:jc w:val="center"/>
              <w:rPr>
                <w:color w:val="000000" w:themeColor="text1"/>
                <w:sz w:val="14"/>
                <w:szCs w:val="14"/>
              </w:rPr>
            </w:pPr>
            <w:r w:rsidRPr="00D26C28">
              <w:rPr>
                <w:color w:val="000000" w:themeColor="text1"/>
                <w:sz w:val="14"/>
                <w:szCs w:val="14"/>
              </w:rPr>
              <w:t>5.11%</w:t>
            </w:r>
          </w:p>
        </w:tc>
        <w:tc>
          <w:tcPr>
            <w:tcW w:w="320" w:type="pct"/>
            <w:tcBorders>
              <w:top w:val="nil"/>
              <w:left w:val="nil"/>
              <w:bottom w:val="nil"/>
              <w:right w:val="nil"/>
            </w:tcBorders>
            <w:shd w:val="clear" w:color="auto" w:fill="auto"/>
            <w:noWrap/>
            <w:vAlign w:val="bottom"/>
            <w:hideMark/>
          </w:tcPr>
          <w:p w14:paraId="44D098A7" w14:textId="77777777" w:rsidR="0035380D" w:rsidRPr="00D26C28" w:rsidRDefault="0035380D" w:rsidP="00B6548B">
            <w:pPr>
              <w:jc w:val="center"/>
              <w:rPr>
                <w:color w:val="000000" w:themeColor="text1"/>
                <w:sz w:val="14"/>
                <w:szCs w:val="14"/>
              </w:rPr>
            </w:pPr>
            <w:r w:rsidRPr="00D26C28">
              <w:rPr>
                <w:color w:val="000000" w:themeColor="text1"/>
                <w:sz w:val="14"/>
                <w:szCs w:val="14"/>
              </w:rPr>
              <w:t>5.00%</w:t>
            </w:r>
          </w:p>
        </w:tc>
        <w:tc>
          <w:tcPr>
            <w:tcW w:w="293" w:type="pct"/>
            <w:tcBorders>
              <w:top w:val="nil"/>
              <w:left w:val="nil"/>
              <w:bottom w:val="nil"/>
              <w:right w:val="nil"/>
            </w:tcBorders>
            <w:shd w:val="clear" w:color="auto" w:fill="auto"/>
            <w:noWrap/>
            <w:vAlign w:val="bottom"/>
            <w:hideMark/>
          </w:tcPr>
          <w:p w14:paraId="117D0E2C" w14:textId="77777777" w:rsidR="0035380D" w:rsidRPr="00D26C28" w:rsidRDefault="0035380D" w:rsidP="00B6548B">
            <w:pPr>
              <w:jc w:val="center"/>
              <w:rPr>
                <w:color w:val="000000" w:themeColor="text1"/>
                <w:sz w:val="14"/>
                <w:szCs w:val="14"/>
              </w:rPr>
            </w:pPr>
            <w:r w:rsidRPr="00D26C28">
              <w:rPr>
                <w:color w:val="000000" w:themeColor="text1"/>
                <w:sz w:val="14"/>
                <w:szCs w:val="14"/>
              </w:rPr>
              <w:t>5.27%</w:t>
            </w:r>
          </w:p>
        </w:tc>
        <w:tc>
          <w:tcPr>
            <w:tcW w:w="184" w:type="pct"/>
            <w:tcBorders>
              <w:top w:val="nil"/>
              <w:left w:val="nil"/>
              <w:bottom w:val="nil"/>
              <w:right w:val="nil"/>
            </w:tcBorders>
          </w:tcPr>
          <w:p w14:paraId="059556C0"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4D2DB008" w14:textId="77777777" w:rsidR="0035380D" w:rsidRPr="00D26C28" w:rsidRDefault="0035380D" w:rsidP="00B6548B">
            <w:pPr>
              <w:jc w:val="center"/>
              <w:rPr>
                <w:color w:val="000000" w:themeColor="text1"/>
                <w:sz w:val="14"/>
                <w:szCs w:val="14"/>
              </w:rPr>
            </w:pPr>
            <w:r w:rsidRPr="00D26C28">
              <w:rPr>
                <w:color w:val="000000" w:themeColor="text1"/>
                <w:sz w:val="14"/>
                <w:szCs w:val="14"/>
              </w:rPr>
              <w:t>4.86%</w:t>
            </w:r>
          </w:p>
        </w:tc>
        <w:tc>
          <w:tcPr>
            <w:tcW w:w="440" w:type="pct"/>
            <w:tcBorders>
              <w:top w:val="nil"/>
              <w:left w:val="nil"/>
              <w:bottom w:val="nil"/>
              <w:right w:val="nil"/>
            </w:tcBorders>
            <w:shd w:val="clear" w:color="auto" w:fill="auto"/>
            <w:noWrap/>
            <w:vAlign w:val="bottom"/>
            <w:hideMark/>
          </w:tcPr>
          <w:p w14:paraId="6CC70A28" w14:textId="77777777" w:rsidR="0035380D" w:rsidRPr="00D26C28" w:rsidRDefault="0035380D" w:rsidP="00B6548B">
            <w:pPr>
              <w:jc w:val="center"/>
              <w:rPr>
                <w:color w:val="000000" w:themeColor="text1"/>
                <w:sz w:val="14"/>
                <w:szCs w:val="14"/>
              </w:rPr>
            </w:pPr>
            <w:r w:rsidRPr="00D26C28">
              <w:rPr>
                <w:color w:val="000000" w:themeColor="text1"/>
                <w:sz w:val="14"/>
                <w:szCs w:val="14"/>
              </w:rPr>
              <w:t>5.53%</w:t>
            </w:r>
          </w:p>
        </w:tc>
        <w:tc>
          <w:tcPr>
            <w:tcW w:w="320" w:type="pct"/>
            <w:tcBorders>
              <w:top w:val="nil"/>
              <w:left w:val="nil"/>
              <w:bottom w:val="nil"/>
              <w:right w:val="nil"/>
            </w:tcBorders>
            <w:shd w:val="clear" w:color="auto" w:fill="auto"/>
            <w:noWrap/>
            <w:vAlign w:val="bottom"/>
            <w:hideMark/>
          </w:tcPr>
          <w:p w14:paraId="2ADD85E9" w14:textId="77777777" w:rsidR="0035380D" w:rsidRPr="00D26C28" w:rsidRDefault="0035380D" w:rsidP="00B6548B">
            <w:pPr>
              <w:jc w:val="center"/>
              <w:rPr>
                <w:color w:val="000000" w:themeColor="text1"/>
                <w:sz w:val="14"/>
                <w:szCs w:val="14"/>
              </w:rPr>
            </w:pPr>
            <w:r w:rsidRPr="00D26C28">
              <w:rPr>
                <w:color w:val="000000" w:themeColor="text1"/>
                <w:sz w:val="14"/>
                <w:szCs w:val="14"/>
              </w:rPr>
              <w:t>6.37%</w:t>
            </w:r>
          </w:p>
        </w:tc>
        <w:tc>
          <w:tcPr>
            <w:tcW w:w="346" w:type="pct"/>
            <w:tcBorders>
              <w:top w:val="nil"/>
              <w:left w:val="nil"/>
              <w:bottom w:val="nil"/>
              <w:right w:val="nil"/>
            </w:tcBorders>
            <w:shd w:val="clear" w:color="auto" w:fill="auto"/>
            <w:noWrap/>
            <w:vAlign w:val="bottom"/>
            <w:hideMark/>
          </w:tcPr>
          <w:p w14:paraId="0F670C58" w14:textId="77777777" w:rsidR="0035380D" w:rsidRPr="00D26C28" w:rsidRDefault="0035380D" w:rsidP="00B6548B">
            <w:pPr>
              <w:jc w:val="center"/>
              <w:rPr>
                <w:color w:val="000000" w:themeColor="text1"/>
                <w:sz w:val="14"/>
                <w:szCs w:val="14"/>
              </w:rPr>
            </w:pPr>
            <w:r w:rsidRPr="00D26C28">
              <w:rPr>
                <w:color w:val="000000" w:themeColor="text1"/>
                <w:sz w:val="14"/>
                <w:szCs w:val="14"/>
              </w:rPr>
              <w:t>5.99%</w:t>
            </w:r>
          </w:p>
        </w:tc>
        <w:tc>
          <w:tcPr>
            <w:tcW w:w="123" w:type="pct"/>
            <w:tcBorders>
              <w:top w:val="nil"/>
              <w:left w:val="nil"/>
              <w:bottom w:val="nil"/>
              <w:right w:val="nil"/>
            </w:tcBorders>
          </w:tcPr>
          <w:p w14:paraId="7F51577E"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6E968092" w14:textId="77777777" w:rsidR="0035380D" w:rsidRPr="00D26C28" w:rsidRDefault="0035380D" w:rsidP="00B6548B">
            <w:pPr>
              <w:jc w:val="center"/>
              <w:rPr>
                <w:color w:val="000000" w:themeColor="text1"/>
                <w:sz w:val="14"/>
                <w:szCs w:val="14"/>
              </w:rPr>
            </w:pPr>
            <w:r w:rsidRPr="00D26C28">
              <w:rPr>
                <w:color w:val="000000" w:themeColor="text1"/>
                <w:sz w:val="14"/>
                <w:szCs w:val="14"/>
              </w:rPr>
              <w:t>2.91%</w:t>
            </w:r>
          </w:p>
        </w:tc>
        <w:tc>
          <w:tcPr>
            <w:tcW w:w="320" w:type="pct"/>
            <w:tcBorders>
              <w:top w:val="nil"/>
              <w:left w:val="nil"/>
              <w:bottom w:val="nil"/>
              <w:right w:val="nil"/>
            </w:tcBorders>
            <w:shd w:val="clear" w:color="auto" w:fill="auto"/>
            <w:noWrap/>
            <w:vAlign w:val="bottom"/>
            <w:hideMark/>
          </w:tcPr>
          <w:p w14:paraId="1ECF4E5D" w14:textId="77777777" w:rsidR="0035380D" w:rsidRPr="00D26C28" w:rsidRDefault="0035380D" w:rsidP="00B6548B">
            <w:pPr>
              <w:jc w:val="center"/>
              <w:rPr>
                <w:color w:val="000000" w:themeColor="text1"/>
                <w:sz w:val="14"/>
                <w:szCs w:val="14"/>
              </w:rPr>
            </w:pPr>
            <w:r w:rsidRPr="00D26C28">
              <w:rPr>
                <w:color w:val="000000" w:themeColor="text1"/>
                <w:sz w:val="14"/>
                <w:szCs w:val="14"/>
              </w:rPr>
              <w:t>3.12%</w:t>
            </w:r>
          </w:p>
        </w:tc>
        <w:tc>
          <w:tcPr>
            <w:tcW w:w="320" w:type="pct"/>
            <w:tcBorders>
              <w:top w:val="nil"/>
              <w:left w:val="nil"/>
              <w:bottom w:val="nil"/>
            </w:tcBorders>
            <w:shd w:val="clear" w:color="auto" w:fill="auto"/>
            <w:noWrap/>
            <w:vAlign w:val="bottom"/>
            <w:hideMark/>
          </w:tcPr>
          <w:p w14:paraId="11FDF9DD" w14:textId="77777777" w:rsidR="0035380D" w:rsidRPr="00D26C28" w:rsidRDefault="0035380D" w:rsidP="00B6548B">
            <w:pPr>
              <w:jc w:val="center"/>
              <w:rPr>
                <w:color w:val="000000" w:themeColor="text1"/>
                <w:sz w:val="14"/>
                <w:szCs w:val="14"/>
              </w:rPr>
            </w:pPr>
            <w:r w:rsidRPr="00D26C28">
              <w:rPr>
                <w:color w:val="000000" w:themeColor="text1"/>
                <w:sz w:val="14"/>
                <w:szCs w:val="14"/>
              </w:rPr>
              <w:t>5.77%</w:t>
            </w:r>
          </w:p>
        </w:tc>
        <w:tc>
          <w:tcPr>
            <w:tcW w:w="346" w:type="pct"/>
            <w:tcBorders>
              <w:top w:val="nil"/>
              <w:left w:val="nil"/>
              <w:bottom w:val="nil"/>
              <w:right w:val="nil"/>
            </w:tcBorders>
            <w:vAlign w:val="bottom"/>
          </w:tcPr>
          <w:p w14:paraId="57674FFA" w14:textId="77777777" w:rsidR="0035380D" w:rsidRPr="00D26C28" w:rsidRDefault="0035380D" w:rsidP="00B6548B">
            <w:pPr>
              <w:jc w:val="center"/>
              <w:rPr>
                <w:color w:val="000000" w:themeColor="text1"/>
                <w:sz w:val="14"/>
                <w:szCs w:val="14"/>
              </w:rPr>
            </w:pPr>
            <w:r w:rsidRPr="00D26C28">
              <w:rPr>
                <w:color w:val="000000" w:themeColor="text1"/>
                <w:sz w:val="14"/>
                <w:szCs w:val="14"/>
              </w:rPr>
              <w:t>6.07%</w:t>
            </w:r>
          </w:p>
        </w:tc>
      </w:tr>
      <w:tr w:rsidR="0035380D" w:rsidRPr="00D26C28" w14:paraId="0ACEFF85" w14:textId="77777777" w:rsidTr="006132B7">
        <w:trPr>
          <w:cantSplit/>
          <w:trHeight w:hRule="exact" w:val="255"/>
        </w:trPr>
        <w:tc>
          <w:tcPr>
            <w:tcW w:w="275" w:type="pct"/>
            <w:tcBorders>
              <w:top w:val="nil"/>
              <w:bottom w:val="nil"/>
              <w:right w:val="nil"/>
            </w:tcBorders>
            <w:shd w:val="clear" w:color="auto" w:fill="auto"/>
            <w:noWrap/>
            <w:vAlign w:val="bottom"/>
            <w:hideMark/>
          </w:tcPr>
          <w:p w14:paraId="4B7AF388"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46DD7E59" w14:textId="77777777" w:rsidR="0035380D" w:rsidRPr="00D26C28" w:rsidRDefault="0035380D" w:rsidP="00B6548B">
            <w:pPr>
              <w:rPr>
                <w:color w:val="000000" w:themeColor="text1"/>
                <w:sz w:val="14"/>
                <w:szCs w:val="14"/>
              </w:rPr>
            </w:pPr>
            <w:r w:rsidRPr="00D26C28">
              <w:rPr>
                <w:color w:val="000000" w:themeColor="text1"/>
                <w:sz w:val="14"/>
                <w:szCs w:val="14"/>
              </w:rPr>
              <w:t>Sharpe</w:t>
            </w:r>
          </w:p>
        </w:tc>
        <w:tc>
          <w:tcPr>
            <w:tcW w:w="320" w:type="pct"/>
            <w:tcBorders>
              <w:top w:val="nil"/>
              <w:left w:val="nil"/>
              <w:bottom w:val="nil"/>
              <w:right w:val="nil"/>
            </w:tcBorders>
            <w:shd w:val="clear" w:color="auto" w:fill="auto"/>
            <w:noWrap/>
            <w:vAlign w:val="bottom"/>
            <w:hideMark/>
          </w:tcPr>
          <w:p w14:paraId="3A450349" w14:textId="77777777" w:rsidR="0035380D" w:rsidRPr="00D26C28" w:rsidRDefault="0035380D" w:rsidP="00B6548B">
            <w:pPr>
              <w:jc w:val="center"/>
              <w:rPr>
                <w:color w:val="000000" w:themeColor="text1"/>
                <w:sz w:val="14"/>
                <w:szCs w:val="14"/>
              </w:rPr>
            </w:pPr>
            <w:r w:rsidRPr="00D26C28">
              <w:rPr>
                <w:color w:val="000000" w:themeColor="text1"/>
                <w:sz w:val="14"/>
                <w:szCs w:val="14"/>
              </w:rPr>
              <w:t>1.58</w:t>
            </w:r>
          </w:p>
        </w:tc>
        <w:tc>
          <w:tcPr>
            <w:tcW w:w="320" w:type="pct"/>
            <w:tcBorders>
              <w:top w:val="nil"/>
              <w:left w:val="nil"/>
              <w:bottom w:val="nil"/>
              <w:right w:val="nil"/>
            </w:tcBorders>
            <w:shd w:val="clear" w:color="auto" w:fill="auto"/>
            <w:noWrap/>
            <w:vAlign w:val="bottom"/>
            <w:hideMark/>
          </w:tcPr>
          <w:p w14:paraId="049BD107" w14:textId="77777777" w:rsidR="0035380D" w:rsidRPr="00D26C28" w:rsidRDefault="0035380D" w:rsidP="00B6548B">
            <w:pPr>
              <w:jc w:val="center"/>
              <w:rPr>
                <w:color w:val="000000" w:themeColor="text1"/>
                <w:sz w:val="14"/>
                <w:szCs w:val="14"/>
              </w:rPr>
            </w:pPr>
            <w:r w:rsidRPr="00D26C28">
              <w:rPr>
                <w:color w:val="000000" w:themeColor="text1"/>
                <w:sz w:val="14"/>
                <w:szCs w:val="14"/>
              </w:rPr>
              <w:t>1.58</w:t>
            </w:r>
          </w:p>
        </w:tc>
        <w:tc>
          <w:tcPr>
            <w:tcW w:w="320" w:type="pct"/>
            <w:tcBorders>
              <w:top w:val="nil"/>
              <w:left w:val="nil"/>
              <w:bottom w:val="nil"/>
              <w:right w:val="nil"/>
            </w:tcBorders>
            <w:shd w:val="clear" w:color="auto" w:fill="auto"/>
            <w:noWrap/>
            <w:vAlign w:val="bottom"/>
            <w:hideMark/>
          </w:tcPr>
          <w:p w14:paraId="68AEB449" w14:textId="77777777" w:rsidR="0035380D" w:rsidRPr="00D26C28" w:rsidRDefault="0035380D" w:rsidP="00B6548B">
            <w:pPr>
              <w:jc w:val="center"/>
              <w:rPr>
                <w:color w:val="000000" w:themeColor="text1"/>
                <w:sz w:val="14"/>
                <w:szCs w:val="14"/>
              </w:rPr>
            </w:pPr>
            <w:r w:rsidRPr="00D26C28">
              <w:rPr>
                <w:color w:val="000000" w:themeColor="text1"/>
                <w:sz w:val="14"/>
                <w:szCs w:val="14"/>
              </w:rPr>
              <w:t>1.84</w:t>
            </w:r>
          </w:p>
        </w:tc>
        <w:tc>
          <w:tcPr>
            <w:tcW w:w="293" w:type="pct"/>
            <w:tcBorders>
              <w:top w:val="nil"/>
              <w:left w:val="nil"/>
              <w:bottom w:val="nil"/>
              <w:right w:val="nil"/>
            </w:tcBorders>
            <w:shd w:val="clear" w:color="auto" w:fill="auto"/>
            <w:noWrap/>
            <w:vAlign w:val="bottom"/>
            <w:hideMark/>
          </w:tcPr>
          <w:p w14:paraId="11473DF2" w14:textId="77777777" w:rsidR="0035380D" w:rsidRPr="00D26C28" w:rsidRDefault="0035380D" w:rsidP="00B6548B">
            <w:pPr>
              <w:jc w:val="center"/>
              <w:rPr>
                <w:color w:val="000000" w:themeColor="text1"/>
                <w:sz w:val="14"/>
                <w:szCs w:val="14"/>
              </w:rPr>
            </w:pPr>
            <w:r w:rsidRPr="00D26C28">
              <w:rPr>
                <w:color w:val="000000" w:themeColor="text1"/>
                <w:sz w:val="14"/>
                <w:szCs w:val="14"/>
              </w:rPr>
              <w:t>2.03</w:t>
            </w:r>
          </w:p>
        </w:tc>
        <w:tc>
          <w:tcPr>
            <w:tcW w:w="184" w:type="pct"/>
            <w:tcBorders>
              <w:top w:val="nil"/>
              <w:left w:val="nil"/>
              <w:bottom w:val="nil"/>
              <w:right w:val="nil"/>
            </w:tcBorders>
          </w:tcPr>
          <w:p w14:paraId="75203631"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6FCBE85D" w14:textId="77777777" w:rsidR="0035380D" w:rsidRPr="00D26C28" w:rsidRDefault="0035380D" w:rsidP="00B6548B">
            <w:pPr>
              <w:jc w:val="center"/>
              <w:rPr>
                <w:color w:val="000000" w:themeColor="text1"/>
                <w:sz w:val="14"/>
                <w:szCs w:val="14"/>
              </w:rPr>
            </w:pPr>
            <w:r w:rsidRPr="00D26C28">
              <w:rPr>
                <w:color w:val="000000" w:themeColor="text1"/>
                <w:sz w:val="14"/>
                <w:szCs w:val="14"/>
              </w:rPr>
              <w:t>1.64</w:t>
            </w:r>
          </w:p>
        </w:tc>
        <w:tc>
          <w:tcPr>
            <w:tcW w:w="440" w:type="pct"/>
            <w:tcBorders>
              <w:top w:val="nil"/>
              <w:left w:val="nil"/>
              <w:bottom w:val="nil"/>
              <w:right w:val="nil"/>
            </w:tcBorders>
            <w:shd w:val="clear" w:color="auto" w:fill="auto"/>
            <w:noWrap/>
            <w:vAlign w:val="bottom"/>
            <w:hideMark/>
          </w:tcPr>
          <w:p w14:paraId="7C9E2DA5" w14:textId="77777777" w:rsidR="0035380D" w:rsidRPr="00D26C28" w:rsidRDefault="0035380D" w:rsidP="00B6548B">
            <w:pPr>
              <w:jc w:val="center"/>
              <w:rPr>
                <w:color w:val="000000" w:themeColor="text1"/>
                <w:sz w:val="14"/>
                <w:szCs w:val="14"/>
              </w:rPr>
            </w:pPr>
            <w:r w:rsidRPr="00D26C28">
              <w:rPr>
                <w:color w:val="000000" w:themeColor="text1"/>
                <w:sz w:val="14"/>
                <w:szCs w:val="14"/>
              </w:rPr>
              <w:t>1.68</w:t>
            </w:r>
          </w:p>
        </w:tc>
        <w:tc>
          <w:tcPr>
            <w:tcW w:w="320" w:type="pct"/>
            <w:tcBorders>
              <w:top w:val="nil"/>
              <w:left w:val="nil"/>
              <w:bottom w:val="nil"/>
              <w:right w:val="nil"/>
            </w:tcBorders>
            <w:shd w:val="clear" w:color="auto" w:fill="auto"/>
            <w:noWrap/>
            <w:vAlign w:val="bottom"/>
            <w:hideMark/>
          </w:tcPr>
          <w:p w14:paraId="5B4A0881" w14:textId="77777777" w:rsidR="0035380D" w:rsidRPr="00D26C28" w:rsidRDefault="0035380D" w:rsidP="00B6548B">
            <w:pPr>
              <w:jc w:val="center"/>
              <w:rPr>
                <w:color w:val="000000" w:themeColor="text1"/>
                <w:sz w:val="14"/>
                <w:szCs w:val="14"/>
              </w:rPr>
            </w:pPr>
            <w:r w:rsidRPr="00D26C28">
              <w:rPr>
                <w:color w:val="000000" w:themeColor="text1"/>
                <w:sz w:val="14"/>
                <w:szCs w:val="14"/>
              </w:rPr>
              <w:t>1.45</w:t>
            </w:r>
          </w:p>
        </w:tc>
        <w:tc>
          <w:tcPr>
            <w:tcW w:w="346" w:type="pct"/>
            <w:tcBorders>
              <w:top w:val="nil"/>
              <w:left w:val="nil"/>
              <w:bottom w:val="nil"/>
              <w:right w:val="nil"/>
            </w:tcBorders>
            <w:shd w:val="clear" w:color="auto" w:fill="auto"/>
            <w:noWrap/>
            <w:vAlign w:val="bottom"/>
            <w:hideMark/>
          </w:tcPr>
          <w:p w14:paraId="4235168D" w14:textId="77777777" w:rsidR="0035380D" w:rsidRPr="00D26C28" w:rsidRDefault="0035380D" w:rsidP="00B6548B">
            <w:pPr>
              <w:jc w:val="center"/>
              <w:rPr>
                <w:color w:val="000000" w:themeColor="text1"/>
                <w:sz w:val="14"/>
                <w:szCs w:val="14"/>
              </w:rPr>
            </w:pPr>
            <w:r w:rsidRPr="00D26C28">
              <w:rPr>
                <w:color w:val="000000" w:themeColor="text1"/>
                <w:sz w:val="14"/>
                <w:szCs w:val="14"/>
              </w:rPr>
              <w:t>1.41</w:t>
            </w:r>
          </w:p>
        </w:tc>
        <w:tc>
          <w:tcPr>
            <w:tcW w:w="123" w:type="pct"/>
            <w:tcBorders>
              <w:top w:val="nil"/>
              <w:left w:val="nil"/>
              <w:bottom w:val="nil"/>
              <w:right w:val="nil"/>
            </w:tcBorders>
          </w:tcPr>
          <w:p w14:paraId="09AF0953"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1B05706C" w14:textId="77777777" w:rsidR="0035380D" w:rsidRPr="00D26C28" w:rsidRDefault="0035380D" w:rsidP="00B6548B">
            <w:pPr>
              <w:jc w:val="center"/>
              <w:rPr>
                <w:color w:val="000000" w:themeColor="text1"/>
                <w:sz w:val="14"/>
                <w:szCs w:val="14"/>
              </w:rPr>
            </w:pPr>
            <w:r w:rsidRPr="00D26C28">
              <w:rPr>
                <w:color w:val="000000" w:themeColor="text1"/>
                <w:sz w:val="14"/>
                <w:szCs w:val="14"/>
              </w:rPr>
              <w:t>1.13</w:t>
            </w:r>
          </w:p>
        </w:tc>
        <w:tc>
          <w:tcPr>
            <w:tcW w:w="320" w:type="pct"/>
            <w:tcBorders>
              <w:top w:val="nil"/>
              <w:left w:val="nil"/>
              <w:bottom w:val="nil"/>
              <w:right w:val="nil"/>
            </w:tcBorders>
            <w:shd w:val="clear" w:color="auto" w:fill="auto"/>
            <w:noWrap/>
            <w:vAlign w:val="bottom"/>
            <w:hideMark/>
          </w:tcPr>
          <w:p w14:paraId="3AB6ACB6" w14:textId="77777777" w:rsidR="0035380D" w:rsidRPr="00D26C28" w:rsidRDefault="0035380D" w:rsidP="00B6548B">
            <w:pPr>
              <w:jc w:val="center"/>
              <w:rPr>
                <w:color w:val="000000" w:themeColor="text1"/>
                <w:sz w:val="14"/>
                <w:szCs w:val="14"/>
              </w:rPr>
            </w:pPr>
            <w:r w:rsidRPr="00D26C28">
              <w:rPr>
                <w:color w:val="000000" w:themeColor="text1"/>
                <w:sz w:val="14"/>
                <w:szCs w:val="14"/>
              </w:rPr>
              <w:t>1.16</w:t>
            </w:r>
          </w:p>
        </w:tc>
        <w:tc>
          <w:tcPr>
            <w:tcW w:w="320" w:type="pct"/>
            <w:tcBorders>
              <w:top w:val="nil"/>
              <w:left w:val="nil"/>
              <w:bottom w:val="nil"/>
            </w:tcBorders>
            <w:shd w:val="clear" w:color="auto" w:fill="auto"/>
            <w:noWrap/>
            <w:vAlign w:val="bottom"/>
            <w:hideMark/>
          </w:tcPr>
          <w:p w14:paraId="0D0C94EB" w14:textId="77777777" w:rsidR="0035380D" w:rsidRPr="00D26C28" w:rsidRDefault="0035380D" w:rsidP="00B6548B">
            <w:pPr>
              <w:jc w:val="center"/>
              <w:rPr>
                <w:color w:val="000000" w:themeColor="text1"/>
                <w:sz w:val="14"/>
                <w:szCs w:val="14"/>
              </w:rPr>
            </w:pPr>
            <w:r w:rsidRPr="00D26C28">
              <w:rPr>
                <w:color w:val="000000" w:themeColor="text1"/>
                <w:sz w:val="14"/>
                <w:szCs w:val="14"/>
              </w:rPr>
              <w:t>0.25</w:t>
            </w:r>
          </w:p>
        </w:tc>
        <w:tc>
          <w:tcPr>
            <w:tcW w:w="346" w:type="pct"/>
            <w:tcBorders>
              <w:top w:val="nil"/>
              <w:left w:val="nil"/>
              <w:bottom w:val="nil"/>
              <w:right w:val="nil"/>
            </w:tcBorders>
            <w:vAlign w:val="bottom"/>
          </w:tcPr>
          <w:p w14:paraId="36B9A3D5" w14:textId="77777777" w:rsidR="0035380D" w:rsidRPr="00D26C28" w:rsidRDefault="0035380D" w:rsidP="00B6548B">
            <w:pPr>
              <w:jc w:val="center"/>
              <w:rPr>
                <w:color w:val="000000" w:themeColor="text1"/>
                <w:sz w:val="14"/>
                <w:szCs w:val="14"/>
              </w:rPr>
            </w:pPr>
            <w:r w:rsidRPr="00D26C28">
              <w:rPr>
                <w:color w:val="000000" w:themeColor="text1"/>
                <w:sz w:val="14"/>
                <w:szCs w:val="14"/>
              </w:rPr>
              <w:t>0.46</w:t>
            </w:r>
          </w:p>
        </w:tc>
      </w:tr>
      <w:tr w:rsidR="0035380D" w:rsidRPr="00D26C28" w14:paraId="76398A16" w14:textId="77777777" w:rsidTr="006132B7">
        <w:trPr>
          <w:cantSplit/>
          <w:trHeight w:hRule="exact" w:val="255"/>
        </w:trPr>
        <w:tc>
          <w:tcPr>
            <w:tcW w:w="275" w:type="pct"/>
            <w:tcBorders>
              <w:top w:val="nil"/>
              <w:bottom w:val="nil"/>
              <w:right w:val="nil"/>
            </w:tcBorders>
            <w:shd w:val="clear" w:color="auto" w:fill="auto"/>
            <w:noWrap/>
            <w:vAlign w:val="bottom"/>
            <w:hideMark/>
          </w:tcPr>
          <w:p w14:paraId="422D3C53" w14:textId="77777777" w:rsidR="0035380D" w:rsidRPr="00D26C28" w:rsidRDefault="0035380D" w:rsidP="00B6548B">
            <w:pPr>
              <w:rPr>
                <w:color w:val="000000" w:themeColor="text1"/>
                <w:sz w:val="14"/>
                <w:szCs w:val="14"/>
              </w:rPr>
            </w:pPr>
            <w:r w:rsidRPr="00D26C28">
              <w:rPr>
                <w:color w:val="000000" w:themeColor="text1"/>
                <w:sz w:val="14"/>
                <w:szCs w:val="14"/>
              </w:rPr>
              <w:t>2014</w:t>
            </w:r>
          </w:p>
        </w:tc>
        <w:tc>
          <w:tcPr>
            <w:tcW w:w="434" w:type="pct"/>
            <w:tcBorders>
              <w:top w:val="nil"/>
              <w:left w:val="nil"/>
              <w:bottom w:val="nil"/>
              <w:right w:val="nil"/>
            </w:tcBorders>
            <w:shd w:val="clear" w:color="auto" w:fill="auto"/>
            <w:noWrap/>
            <w:vAlign w:val="bottom"/>
            <w:hideMark/>
          </w:tcPr>
          <w:p w14:paraId="5C702008" w14:textId="77777777" w:rsidR="0035380D" w:rsidRPr="00D26C28" w:rsidRDefault="0035380D" w:rsidP="00B6548B">
            <w:pPr>
              <w:rPr>
                <w:color w:val="000000" w:themeColor="text1"/>
                <w:sz w:val="14"/>
                <w:szCs w:val="14"/>
              </w:rPr>
            </w:pPr>
            <w:r w:rsidRPr="00D26C28">
              <w:rPr>
                <w:color w:val="000000" w:themeColor="text1"/>
                <w:sz w:val="14"/>
                <w:szCs w:val="14"/>
              </w:rPr>
              <w:t>Returns</w:t>
            </w:r>
          </w:p>
        </w:tc>
        <w:tc>
          <w:tcPr>
            <w:tcW w:w="320" w:type="pct"/>
            <w:tcBorders>
              <w:top w:val="nil"/>
              <w:left w:val="nil"/>
              <w:bottom w:val="nil"/>
              <w:right w:val="nil"/>
            </w:tcBorders>
            <w:shd w:val="clear" w:color="auto" w:fill="auto"/>
            <w:noWrap/>
            <w:vAlign w:val="bottom"/>
            <w:hideMark/>
          </w:tcPr>
          <w:p w14:paraId="5489B19D" w14:textId="77777777" w:rsidR="0035380D" w:rsidRPr="00D26C28" w:rsidRDefault="0035380D" w:rsidP="00B6548B">
            <w:pPr>
              <w:jc w:val="center"/>
              <w:rPr>
                <w:color w:val="000000" w:themeColor="text1"/>
                <w:sz w:val="14"/>
                <w:szCs w:val="14"/>
              </w:rPr>
            </w:pPr>
            <w:r w:rsidRPr="00D26C28">
              <w:rPr>
                <w:color w:val="000000" w:themeColor="text1"/>
                <w:sz w:val="14"/>
                <w:szCs w:val="14"/>
              </w:rPr>
              <w:t>1.48%</w:t>
            </w:r>
          </w:p>
        </w:tc>
        <w:tc>
          <w:tcPr>
            <w:tcW w:w="320" w:type="pct"/>
            <w:tcBorders>
              <w:top w:val="nil"/>
              <w:left w:val="nil"/>
              <w:bottom w:val="nil"/>
              <w:right w:val="nil"/>
            </w:tcBorders>
            <w:shd w:val="clear" w:color="auto" w:fill="auto"/>
            <w:noWrap/>
            <w:vAlign w:val="bottom"/>
            <w:hideMark/>
          </w:tcPr>
          <w:p w14:paraId="416FC4A7" w14:textId="77777777" w:rsidR="0035380D" w:rsidRPr="00D26C28" w:rsidRDefault="0035380D" w:rsidP="00B6548B">
            <w:pPr>
              <w:jc w:val="center"/>
              <w:rPr>
                <w:color w:val="000000" w:themeColor="text1"/>
                <w:sz w:val="14"/>
                <w:szCs w:val="14"/>
              </w:rPr>
            </w:pPr>
            <w:r w:rsidRPr="00D26C28">
              <w:rPr>
                <w:color w:val="000000" w:themeColor="text1"/>
                <w:sz w:val="14"/>
                <w:szCs w:val="14"/>
              </w:rPr>
              <w:t>1.74%</w:t>
            </w:r>
          </w:p>
        </w:tc>
        <w:tc>
          <w:tcPr>
            <w:tcW w:w="320" w:type="pct"/>
            <w:tcBorders>
              <w:top w:val="nil"/>
              <w:left w:val="nil"/>
              <w:bottom w:val="nil"/>
              <w:right w:val="nil"/>
            </w:tcBorders>
            <w:shd w:val="clear" w:color="auto" w:fill="auto"/>
            <w:noWrap/>
            <w:vAlign w:val="bottom"/>
            <w:hideMark/>
          </w:tcPr>
          <w:p w14:paraId="77D814BB" w14:textId="77777777" w:rsidR="0035380D" w:rsidRPr="00D26C28" w:rsidRDefault="0035380D" w:rsidP="00B6548B">
            <w:pPr>
              <w:jc w:val="center"/>
              <w:rPr>
                <w:color w:val="000000" w:themeColor="text1"/>
                <w:sz w:val="14"/>
                <w:szCs w:val="14"/>
              </w:rPr>
            </w:pPr>
            <w:r w:rsidRPr="00D26C28">
              <w:rPr>
                <w:color w:val="000000" w:themeColor="text1"/>
                <w:sz w:val="14"/>
                <w:szCs w:val="14"/>
              </w:rPr>
              <w:t>1.84%</w:t>
            </w:r>
          </w:p>
        </w:tc>
        <w:tc>
          <w:tcPr>
            <w:tcW w:w="293" w:type="pct"/>
            <w:tcBorders>
              <w:top w:val="nil"/>
              <w:left w:val="nil"/>
              <w:bottom w:val="nil"/>
              <w:right w:val="nil"/>
            </w:tcBorders>
            <w:shd w:val="clear" w:color="auto" w:fill="auto"/>
            <w:noWrap/>
            <w:vAlign w:val="bottom"/>
            <w:hideMark/>
          </w:tcPr>
          <w:p w14:paraId="37A03083" w14:textId="77777777" w:rsidR="0035380D" w:rsidRPr="00D26C28" w:rsidRDefault="0035380D" w:rsidP="00B6548B">
            <w:pPr>
              <w:jc w:val="center"/>
              <w:rPr>
                <w:color w:val="000000" w:themeColor="text1"/>
                <w:sz w:val="14"/>
                <w:szCs w:val="14"/>
              </w:rPr>
            </w:pPr>
            <w:r w:rsidRPr="00D26C28">
              <w:rPr>
                <w:color w:val="000000" w:themeColor="text1"/>
                <w:sz w:val="14"/>
                <w:szCs w:val="14"/>
              </w:rPr>
              <w:t>2.36%</w:t>
            </w:r>
          </w:p>
        </w:tc>
        <w:tc>
          <w:tcPr>
            <w:tcW w:w="184" w:type="pct"/>
            <w:tcBorders>
              <w:top w:val="nil"/>
              <w:left w:val="nil"/>
              <w:bottom w:val="nil"/>
              <w:right w:val="nil"/>
            </w:tcBorders>
          </w:tcPr>
          <w:p w14:paraId="1771DEB2"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0679029F" w14:textId="77777777" w:rsidR="0035380D" w:rsidRPr="00D26C28" w:rsidRDefault="0035380D" w:rsidP="00B6548B">
            <w:pPr>
              <w:jc w:val="center"/>
              <w:rPr>
                <w:color w:val="000000" w:themeColor="text1"/>
                <w:sz w:val="14"/>
                <w:szCs w:val="14"/>
              </w:rPr>
            </w:pPr>
            <w:r w:rsidRPr="00D26C28">
              <w:rPr>
                <w:color w:val="000000" w:themeColor="text1"/>
                <w:sz w:val="14"/>
                <w:szCs w:val="14"/>
              </w:rPr>
              <w:t>1.24%</w:t>
            </w:r>
          </w:p>
        </w:tc>
        <w:tc>
          <w:tcPr>
            <w:tcW w:w="440" w:type="pct"/>
            <w:tcBorders>
              <w:top w:val="nil"/>
              <w:left w:val="nil"/>
              <w:bottom w:val="nil"/>
              <w:right w:val="nil"/>
            </w:tcBorders>
            <w:shd w:val="clear" w:color="auto" w:fill="auto"/>
            <w:noWrap/>
            <w:vAlign w:val="bottom"/>
            <w:hideMark/>
          </w:tcPr>
          <w:p w14:paraId="6B664AD3" w14:textId="77777777" w:rsidR="0035380D" w:rsidRPr="00D26C28" w:rsidRDefault="0035380D" w:rsidP="00B6548B">
            <w:pPr>
              <w:jc w:val="center"/>
              <w:rPr>
                <w:color w:val="000000" w:themeColor="text1"/>
                <w:sz w:val="14"/>
                <w:szCs w:val="14"/>
              </w:rPr>
            </w:pPr>
            <w:r w:rsidRPr="00D26C28">
              <w:rPr>
                <w:color w:val="000000" w:themeColor="text1"/>
                <w:sz w:val="14"/>
                <w:szCs w:val="14"/>
              </w:rPr>
              <w:t>1.51%</w:t>
            </w:r>
          </w:p>
        </w:tc>
        <w:tc>
          <w:tcPr>
            <w:tcW w:w="320" w:type="pct"/>
            <w:tcBorders>
              <w:top w:val="nil"/>
              <w:left w:val="nil"/>
              <w:bottom w:val="nil"/>
              <w:right w:val="nil"/>
            </w:tcBorders>
            <w:shd w:val="clear" w:color="auto" w:fill="auto"/>
            <w:noWrap/>
            <w:vAlign w:val="bottom"/>
            <w:hideMark/>
          </w:tcPr>
          <w:p w14:paraId="4E518247" w14:textId="77777777" w:rsidR="0035380D" w:rsidRPr="00D26C28" w:rsidRDefault="0035380D" w:rsidP="00B6548B">
            <w:pPr>
              <w:jc w:val="center"/>
              <w:rPr>
                <w:color w:val="000000" w:themeColor="text1"/>
                <w:sz w:val="14"/>
                <w:szCs w:val="14"/>
              </w:rPr>
            </w:pPr>
            <w:r w:rsidRPr="00D26C28">
              <w:rPr>
                <w:color w:val="000000" w:themeColor="text1"/>
                <w:sz w:val="14"/>
                <w:szCs w:val="14"/>
              </w:rPr>
              <w:t>1.57%</w:t>
            </w:r>
          </w:p>
        </w:tc>
        <w:tc>
          <w:tcPr>
            <w:tcW w:w="346" w:type="pct"/>
            <w:tcBorders>
              <w:top w:val="nil"/>
              <w:left w:val="nil"/>
              <w:bottom w:val="nil"/>
              <w:right w:val="nil"/>
            </w:tcBorders>
            <w:shd w:val="clear" w:color="auto" w:fill="auto"/>
            <w:noWrap/>
            <w:vAlign w:val="bottom"/>
            <w:hideMark/>
          </w:tcPr>
          <w:p w14:paraId="27FFC0ED" w14:textId="77777777" w:rsidR="0035380D" w:rsidRPr="00D26C28" w:rsidRDefault="0035380D" w:rsidP="00B6548B">
            <w:pPr>
              <w:jc w:val="center"/>
              <w:rPr>
                <w:color w:val="000000" w:themeColor="text1"/>
                <w:sz w:val="14"/>
                <w:szCs w:val="14"/>
              </w:rPr>
            </w:pPr>
            <w:r w:rsidRPr="00D26C28">
              <w:rPr>
                <w:color w:val="000000" w:themeColor="text1"/>
                <w:sz w:val="14"/>
                <w:szCs w:val="14"/>
              </w:rPr>
              <w:t>1.43%</w:t>
            </w:r>
          </w:p>
        </w:tc>
        <w:tc>
          <w:tcPr>
            <w:tcW w:w="123" w:type="pct"/>
            <w:tcBorders>
              <w:top w:val="nil"/>
              <w:left w:val="nil"/>
              <w:bottom w:val="nil"/>
              <w:right w:val="nil"/>
            </w:tcBorders>
          </w:tcPr>
          <w:p w14:paraId="1999037D"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1E279F84" w14:textId="77777777" w:rsidR="0035380D" w:rsidRPr="00D26C28" w:rsidRDefault="0035380D" w:rsidP="00B6548B">
            <w:pPr>
              <w:jc w:val="center"/>
              <w:rPr>
                <w:color w:val="000000" w:themeColor="text1"/>
                <w:sz w:val="14"/>
                <w:szCs w:val="14"/>
              </w:rPr>
            </w:pPr>
            <w:r w:rsidRPr="00D26C28">
              <w:rPr>
                <w:color w:val="000000" w:themeColor="text1"/>
                <w:sz w:val="14"/>
                <w:szCs w:val="14"/>
              </w:rPr>
              <w:t>1.12%</w:t>
            </w:r>
          </w:p>
        </w:tc>
        <w:tc>
          <w:tcPr>
            <w:tcW w:w="320" w:type="pct"/>
            <w:tcBorders>
              <w:top w:val="nil"/>
              <w:left w:val="nil"/>
              <w:bottom w:val="nil"/>
              <w:right w:val="nil"/>
            </w:tcBorders>
            <w:shd w:val="clear" w:color="auto" w:fill="auto"/>
            <w:noWrap/>
            <w:vAlign w:val="bottom"/>
            <w:hideMark/>
          </w:tcPr>
          <w:p w14:paraId="711F3AE8" w14:textId="77777777" w:rsidR="0035380D" w:rsidRPr="00D26C28" w:rsidRDefault="0035380D" w:rsidP="00B6548B">
            <w:pPr>
              <w:jc w:val="center"/>
              <w:rPr>
                <w:color w:val="000000" w:themeColor="text1"/>
                <w:sz w:val="14"/>
                <w:szCs w:val="14"/>
              </w:rPr>
            </w:pPr>
            <w:r w:rsidRPr="00D26C28">
              <w:rPr>
                <w:color w:val="000000" w:themeColor="text1"/>
                <w:sz w:val="14"/>
                <w:szCs w:val="14"/>
              </w:rPr>
              <w:t>1.29%</w:t>
            </w:r>
          </w:p>
        </w:tc>
        <w:tc>
          <w:tcPr>
            <w:tcW w:w="320" w:type="pct"/>
            <w:tcBorders>
              <w:top w:val="nil"/>
              <w:left w:val="nil"/>
              <w:bottom w:val="nil"/>
            </w:tcBorders>
            <w:shd w:val="clear" w:color="auto" w:fill="auto"/>
            <w:noWrap/>
            <w:vAlign w:val="bottom"/>
            <w:hideMark/>
          </w:tcPr>
          <w:p w14:paraId="5623B9B6" w14:textId="77777777" w:rsidR="0035380D" w:rsidRPr="00D26C28" w:rsidRDefault="0035380D" w:rsidP="00B6548B">
            <w:pPr>
              <w:jc w:val="center"/>
              <w:rPr>
                <w:color w:val="000000" w:themeColor="text1"/>
                <w:sz w:val="14"/>
                <w:szCs w:val="14"/>
              </w:rPr>
            </w:pPr>
            <w:r w:rsidRPr="00D26C28">
              <w:rPr>
                <w:color w:val="000000" w:themeColor="text1"/>
                <w:sz w:val="14"/>
                <w:szCs w:val="14"/>
              </w:rPr>
              <w:t>0.64%</w:t>
            </w:r>
          </w:p>
        </w:tc>
        <w:tc>
          <w:tcPr>
            <w:tcW w:w="346" w:type="pct"/>
            <w:tcBorders>
              <w:top w:val="nil"/>
              <w:left w:val="nil"/>
              <w:bottom w:val="nil"/>
              <w:right w:val="nil"/>
            </w:tcBorders>
            <w:vAlign w:val="bottom"/>
          </w:tcPr>
          <w:p w14:paraId="33985675" w14:textId="77777777" w:rsidR="0035380D" w:rsidRPr="00D26C28" w:rsidRDefault="0035380D" w:rsidP="00B6548B">
            <w:pPr>
              <w:jc w:val="center"/>
              <w:rPr>
                <w:color w:val="000000" w:themeColor="text1"/>
                <w:sz w:val="14"/>
                <w:szCs w:val="14"/>
              </w:rPr>
            </w:pPr>
            <w:r w:rsidRPr="00D26C28">
              <w:rPr>
                <w:color w:val="000000" w:themeColor="text1"/>
                <w:sz w:val="14"/>
                <w:szCs w:val="14"/>
              </w:rPr>
              <w:t>0.92%</w:t>
            </w:r>
          </w:p>
        </w:tc>
      </w:tr>
      <w:tr w:rsidR="0035380D" w:rsidRPr="00D26C28" w14:paraId="3E43C2A4" w14:textId="77777777" w:rsidTr="006132B7">
        <w:trPr>
          <w:cantSplit/>
          <w:trHeight w:hRule="exact" w:val="255"/>
        </w:trPr>
        <w:tc>
          <w:tcPr>
            <w:tcW w:w="275" w:type="pct"/>
            <w:tcBorders>
              <w:top w:val="nil"/>
              <w:bottom w:val="nil"/>
              <w:right w:val="nil"/>
            </w:tcBorders>
            <w:shd w:val="clear" w:color="auto" w:fill="auto"/>
            <w:noWrap/>
            <w:vAlign w:val="bottom"/>
            <w:hideMark/>
          </w:tcPr>
          <w:p w14:paraId="1873680E" w14:textId="77777777" w:rsidR="0035380D" w:rsidRPr="00D26C28" w:rsidRDefault="0035380D" w:rsidP="00B6548B">
            <w:pPr>
              <w:rPr>
                <w:color w:val="000000" w:themeColor="text1"/>
                <w:sz w:val="14"/>
                <w:szCs w:val="14"/>
              </w:rPr>
            </w:pPr>
          </w:p>
        </w:tc>
        <w:tc>
          <w:tcPr>
            <w:tcW w:w="434" w:type="pct"/>
            <w:tcBorders>
              <w:top w:val="nil"/>
              <w:left w:val="nil"/>
              <w:bottom w:val="nil"/>
              <w:right w:val="nil"/>
            </w:tcBorders>
            <w:shd w:val="clear" w:color="auto" w:fill="auto"/>
            <w:noWrap/>
            <w:vAlign w:val="bottom"/>
            <w:hideMark/>
          </w:tcPr>
          <w:p w14:paraId="1E6B9085" w14:textId="77777777" w:rsidR="0035380D" w:rsidRPr="00D26C28" w:rsidRDefault="0035380D" w:rsidP="00B6548B">
            <w:pPr>
              <w:rPr>
                <w:i/>
                <w:iCs/>
                <w:color w:val="000000" w:themeColor="text1"/>
                <w:sz w:val="14"/>
                <w:szCs w:val="14"/>
              </w:rPr>
            </w:pPr>
            <w:r w:rsidRPr="00D26C28">
              <w:rPr>
                <w:i/>
                <w:iCs/>
                <w:color w:val="000000" w:themeColor="text1"/>
                <w:sz w:val="14"/>
                <w:szCs w:val="14"/>
              </w:rPr>
              <w:t>t-</w:t>
            </w:r>
            <w:r w:rsidRPr="00D26C28">
              <w:rPr>
                <w:color w:val="000000" w:themeColor="text1"/>
                <w:sz w:val="14"/>
                <w:szCs w:val="14"/>
              </w:rPr>
              <w:t>statistics</w:t>
            </w:r>
          </w:p>
        </w:tc>
        <w:tc>
          <w:tcPr>
            <w:tcW w:w="320" w:type="pct"/>
            <w:tcBorders>
              <w:top w:val="nil"/>
              <w:left w:val="nil"/>
              <w:bottom w:val="nil"/>
              <w:right w:val="nil"/>
            </w:tcBorders>
            <w:shd w:val="clear" w:color="auto" w:fill="auto"/>
            <w:noWrap/>
            <w:vAlign w:val="bottom"/>
            <w:hideMark/>
          </w:tcPr>
          <w:p w14:paraId="1F93F0F8" w14:textId="77777777" w:rsidR="0035380D" w:rsidRPr="00D26C28" w:rsidRDefault="0035380D" w:rsidP="00B6548B">
            <w:pPr>
              <w:jc w:val="center"/>
              <w:rPr>
                <w:color w:val="000000" w:themeColor="text1"/>
                <w:sz w:val="14"/>
                <w:szCs w:val="14"/>
              </w:rPr>
            </w:pPr>
            <w:r w:rsidRPr="00D26C28">
              <w:rPr>
                <w:color w:val="000000" w:themeColor="text1"/>
                <w:sz w:val="14"/>
                <w:szCs w:val="14"/>
              </w:rPr>
              <w:t>2.10</w:t>
            </w:r>
          </w:p>
        </w:tc>
        <w:tc>
          <w:tcPr>
            <w:tcW w:w="320" w:type="pct"/>
            <w:tcBorders>
              <w:top w:val="nil"/>
              <w:left w:val="nil"/>
              <w:bottom w:val="nil"/>
              <w:right w:val="nil"/>
            </w:tcBorders>
            <w:shd w:val="clear" w:color="auto" w:fill="auto"/>
            <w:noWrap/>
            <w:vAlign w:val="bottom"/>
            <w:hideMark/>
          </w:tcPr>
          <w:p w14:paraId="09902BD8" w14:textId="77777777" w:rsidR="0035380D" w:rsidRPr="00D26C28" w:rsidRDefault="0035380D" w:rsidP="00B6548B">
            <w:pPr>
              <w:jc w:val="center"/>
              <w:rPr>
                <w:color w:val="000000" w:themeColor="text1"/>
                <w:sz w:val="14"/>
                <w:szCs w:val="14"/>
              </w:rPr>
            </w:pPr>
            <w:r w:rsidRPr="00D26C28">
              <w:rPr>
                <w:color w:val="000000" w:themeColor="text1"/>
                <w:sz w:val="14"/>
                <w:szCs w:val="14"/>
              </w:rPr>
              <w:t>1.71</w:t>
            </w:r>
          </w:p>
        </w:tc>
        <w:tc>
          <w:tcPr>
            <w:tcW w:w="320" w:type="pct"/>
            <w:tcBorders>
              <w:top w:val="nil"/>
              <w:left w:val="nil"/>
              <w:bottom w:val="nil"/>
              <w:right w:val="nil"/>
            </w:tcBorders>
            <w:shd w:val="clear" w:color="auto" w:fill="auto"/>
            <w:noWrap/>
            <w:vAlign w:val="bottom"/>
            <w:hideMark/>
          </w:tcPr>
          <w:p w14:paraId="7AEEB776" w14:textId="77777777" w:rsidR="0035380D" w:rsidRPr="00D26C28" w:rsidRDefault="0035380D" w:rsidP="00B6548B">
            <w:pPr>
              <w:jc w:val="center"/>
              <w:rPr>
                <w:color w:val="000000" w:themeColor="text1"/>
                <w:sz w:val="14"/>
                <w:szCs w:val="14"/>
              </w:rPr>
            </w:pPr>
            <w:r w:rsidRPr="00D26C28">
              <w:rPr>
                <w:color w:val="000000" w:themeColor="text1"/>
                <w:sz w:val="14"/>
                <w:szCs w:val="14"/>
              </w:rPr>
              <w:t>2.41</w:t>
            </w:r>
          </w:p>
        </w:tc>
        <w:tc>
          <w:tcPr>
            <w:tcW w:w="293" w:type="pct"/>
            <w:tcBorders>
              <w:top w:val="nil"/>
              <w:left w:val="nil"/>
              <w:bottom w:val="nil"/>
              <w:right w:val="nil"/>
            </w:tcBorders>
            <w:shd w:val="clear" w:color="auto" w:fill="auto"/>
            <w:noWrap/>
            <w:vAlign w:val="bottom"/>
            <w:hideMark/>
          </w:tcPr>
          <w:p w14:paraId="33011A56" w14:textId="77777777" w:rsidR="0035380D" w:rsidRPr="00D26C28" w:rsidRDefault="0035380D" w:rsidP="00B6548B">
            <w:pPr>
              <w:jc w:val="center"/>
              <w:rPr>
                <w:color w:val="000000" w:themeColor="text1"/>
                <w:sz w:val="14"/>
                <w:szCs w:val="14"/>
              </w:rPr>
            </w:pPr>
            <w:r w:rsidRPr="00D26C28">
              <w:rPr>
                <w:color w:val="000000" w:themeColor="text1"/>
                <w:sz w:val="14"/>
                <w:szCs w:val="14"/>
              </w:rPr>
              <w:t>2.75</w:t>
            </w:r>
          </w:p>
        </w:tc>
        <w:tc>
          <w:tcPr>
            <w:tcW w:w="184" w:type="pct"/>
            <w:tcBorders>
              <w:top w:val="nil"/>
              <w:left w:val="nil"/>
              <w:bottom w:val="nil"/>
              <w:right w:val="nil"/>
            </w:tcBorders>
          </w:tcPr>
          <w:p w14:paraId="4C5C2172"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057BE1D8" w14:textId="77777777" w:rsidR="0035380D" w:rsidRPr="00D26C28" w:rsidRDefault="0035380D" w:rsidP="00B6548B">
            <w:pPr>
              <w:jc w:val="center"/>
              <w:rPr>
                <w:color w:val="000000" w:themeColor="text1"/>
                <w:sz w:val="14"/>
                <w:szCs w:val="14"/>
              </w:rPr>
            </w:pPr>
            <w:r w:rsidRPr="00D26C28">
              <w:rPr>
                <w:color w:val="000000" w:themeColor="text1"/>
                <w:sz w:val="14"/>
                <w:szCs w:val="14"/>
              </w:rPr>
              <w:t>1.69</w:t>
            </w:r>
          </w:p>
        </w:tc>
        <w:tc>
          <w:tcPr>
            <w:tcW w:w="440" w:type="pct"/>
            <w:tcBorders>
              <w:top w:val="nil"/>
              <w:left w:val="nil"/>
              <w:bottom w:val="nil"/>
              <w:right w:val="nil"/>
            </w:tcBorders>
            <w:shd w:val="clear" w:color="auto" w:fill="auto"/>
            <w:noWrap/>
            <w:vAlign w:val="bottom"/>
            <w:hideMark/>
          </w:tcPr>
          <w:p w14:paraId="7C93BD42" w14:textId="77777777" w:rsidR="0035380D" w:rsidRPr="00D26C28" w:rsidRDefault="0035380D" w:rsidP="00B6548B">
            <w:pPr>
              <w:jc w:val="center"/>
              <w:rPr>
                <w:color w:val="000000" w:themeColor="text1"/>
                <w:sz w:val="14"/>
                <w:szCs w:val="14"/>
              </w:rPr>
            </w:pPr>
            <w:r w:rsidRPr="00D26C28">
              <w:rPr>
                <w:color w:val="000000" w:themeColor="text1"/>
                <w:sz w:val="14"/>
                <w:szCs w:val="14"/>
              </w:rPr>
              <w:t>1.57</w:t>
            </w:r>
          </w:p>
        </w:tc>
        <w:tc>
          <w:tcPr>
            <w:tcW w:w="320" w:type="pct"/>
            <w:tcBorders>
              <w:top w:val="nil"/>
              <w:left w:val="nil"/>
              <w:bottom w:val="nil"/>
              <w:right w:val="nil"/>
            </w:tcBorders>
            <w:shd w:val="clear" w:color="auto" w:fill="auto"/>
            <w:noWrap/>
            <w:vAlign w:val="bottom"/>
            <w:hideMark/>
          </w:tcPr>
          <w:p w14:paraId="4AD08A1B" w14:textId="77777777" w:rsidR="0035380D" w:rsidRPr="00D26C28" w:rsidRDefault="0035380D" w:rsidP="00B6548B">
            <w:pPr>
              <w:jc w:val="center"/>
              <w:rPr>
                <w:color w:val="000000" w:themeColor="text1"/>
                <w:sz w:val="14"/>
                <w:szCs w:val="14"/>
              </w:rPr>
            </w:pPr>
            <w:r w:rsidRPr="00D26C28">
              <w:rPr>
                <w:color w:val="000000" w:themeColor="text1"/>
                <w:sz w:val="14"/>
                <w:szCs w:val="14"/>
              </w:rPr>
              <w:t>1.64</w:t>
            </w:r>
          </w:p>
        </w:tc>
        <w:tc>
          <w:tcPr>
            <w:tcW w:w="346" w:type="pct"/>
            <w:tcBorders>
              <w:top w:val="nil"/>
              <w:left w:val="nil"/>
              <w:bottom w:val="nil"/>
              <w:right w:val="nil"/>
            </w:tcBorders>
            <w:shd w:val="clear" w:color="auto" w:fill="auto"/>
            <w:noWrap/>
            <w:vAlign w:val="bottom"/>
            <w:hideMark/>
          </w:tcPr>
          <w:p w14:paraId="3D4F14D6" w14:textId="77777777" w:rsidR="0035380D" w:rsidRPr="00D26C28" w:rsidRDefault="0035380D" w:rsidP="00B6548B">
            <w:pPr>
              <w:jc w:val="center"/>
              <w:rPr>
                <w:color w:val="000000" w:themeColor="text1"/>
                <w:sz w:val="14"/>
                <w:szCs w:val="14"/>
              </w:rPr>
            </w:pPr>
            <w:r w:rsidRPr="00D26C28">
              <w:rPr>
                <w:color w:val="000000" w:themeColor="text1"/>
                <w:sz w:val="14"/>
                <w:szCs w:val="14"/>
              </w:rPr>
              <w:t>2.01</w:t>
            </w:r>
          </w:p>
        </w:tc>
        <w:tc>
          <w:tcPr>
            <w:tcW w:w="123" w:type="pct"/>
            <w:tcBorders>
              <w:top w:val="nil"/>
              <w:left w:val="nil"/>
              <w:bottom w:val="nil"/>
              <w:right w:val="nil"/>
            </w:tcBorders>
          </w:tcPr>
          <w:p w14:paraId="1DDF2638"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14C9E8F8" w14:textId="77777777" w:rsidR="0035380D" w:rsidRPr="00D26C28" w:rsidRDefault="0035380D" w:rsidP="00B6548B">
            <w:pPr>
              <w:jc w:val="center"/>
              <w:rPr>
                <w:color w:val="000000" w:themeColor="text1"/>
                <w:sz w:val="14"/>
                <w:szCs w:val="14"/>
              </w:rPr>
            </w:pPr>
            <w:r w:rsidRPr="00D26C28">
              <w:rPr>
                <w:color w:val="000000" w:themeColor="text1"/>
                <w:sz w:val="14"/>
                <w:szCs w:val="14"/>
              </w:rPr>
              <w:t>2.59</w:t>
            </w:r>
          </w:p>
        </w:tc>
        <w:tc>
          <w:tcPr>
            <w:tcW w:w="320" w:type="pct"/>
            <w:tcBorders>
              <w:top w:val="nil"/>
              <w:left w:val="nil"/>
              <w:bottom w:val="nil"/>
              <w:right w:val="nil"/>
            </w:tcBorders>
            <w:shd w:val="clear" w:color="auto" w:fill="auto"/>
            <w:noWrap/>
            <w:vAlign w:val="bottom"/>
            <w:hideMark/>
          </w:tcPr>
          <w:p w14:paraId="20FB3588" w14:textId="77777777" w:rsidR="0035380D" w:rsidRPr="00D26C28" w:rsidRDefault="0035380D" w:rsidP="00B6548B">
            <w:pPr>
              <w:jc w:val="center"/>
              <w:rPr>
                <w:color w:val="000000" w:themeColor="text1"/>
                <w:sz w:val="14"/>
                <w:szCs w:val="14"/>
              </w:rPr>
            </w:pPr>
            <w:r w:rsidRPr="00D26C28">
              <w:rPr>
                <w:color w:val="000000" w:themeColor="text1"/>
                <w:sz w:val="14"/>
                <w:szCs w:val="14"/>
              </w:rPr>
              <w:t>2.85</w:t>
            </w:r>
          </w:p>
        </w:tc>
        <w:tc>
          <w:tcPr>
            <w:tcW w:w="320" w:type="pct"/>
            <w:tcBorders>
              <w:top w:val="nil"/>
              <w:left w:val="nil"/>
              <w:bottom w:val="nil"/>
            </w:tcBorders>
            <w:shd w:val="clear" w:color="auto" w:fill="auto"/>
            <w:noWrap/>
            <w:vAlign w:val="bottom"/>
            <w:hideMark/>
          </w:tcPr>
          <w:p w14:paraId="6041682A" w14:textId="77777777" w:rsidR="0035380D" w:rsidRPr="00D26C28" w:rsidRDefault="0035380D" w:rsidP="00B6548B">
            <w:pPr>
              <w:jc w:val="center"/>
              <w:rPr>
                <w:color w:val="000000" w:themeColor="text1"/>
                <w:sz w:val="14"/>
                <w:szCs w:val="14"/>
              </w:rPr>
            </w:pPr>
            <w:r w:rsidRPr="00D26C28">
              <w:rPr>
                <w:color w:val="000000" w:themeColor="text1"/>
                <w:sz w:val="14"/>
                <w:szCs w:val="14"/>
              </w:rPr>
              <w:t>0.88</w:t>
            </w:r>
          </w:p>
        </w:tc>
        <w:tc>
          <w:tcPr>
            <w:tcW w:w="346" w:type="pct"/>
            <w:tcBorders>
              <w:top w:val="nil"/>
              <w:left w:val="nil"/>
              <w:bottom w:val="nil"/>
              <w:right w:val="nil"/>
            </w:tcBorders>
            <w:vAlign w:val="bottom"/>
          </w:tcPr>
          <w:p w14:paraId="4845F138" w14:textId="77777777" w:rsidR="0035380D" w:rsidRPr="00D26C28" w:rsidRDefault="0035380D" w:rsidP="00B6548B">
            <w:pPr>
              <w:jc w:val="center"/>
              <w:rPr>
                <w:color w:val="000000" w:themeColor="text1"/>
                <w:sz w:val="14"/>
                <w:szCs w:val="14"/>
              </w:rPr>
            </w:pPr>
            <w:r w:rsidRPr="00D26C28">
              <w:rPr>
                <w:color w:val="000000" w:themeColor="text1"/>
                <w:sz w:val="14"/>
                <w:szCs w:val="14"/>
              </w:rPr>
              <w:t>1.27</w:t>
            </w:r>
          </w:p>
        </w:tc>
      </w:tr>
      <w:tr w:rsidR="0035380D" w:rsidRPr="00D26C28" w14:paraId="2CC61BE1" w14:textId="77777777" w:rsidTr="006132B7">
        <w:trPr>
          <w:cantSplit/>
          <w:trHeight w:hRule="exact" w:val="255"/>
        </w:trPr>
        <w:tc>
          <w:tcPr>
            <w:tcW w:w="275" w:type="pct"/>
            <w:tcBorders>
              <w:top w:val="nil"/>
              <w:bottom w:val="nil"/>
              <w:right w:val="nil"/>
            </w:tcBorders>
            <w:shd w:val="clear" w:color="auto" w:fill="auto"/>
            <w:noWrap/>
            <w:vAlign w:val="bottom"/>
            <w:hideMark/>
          </w:tcPr>
          <w:p w14:paraId="488EEA7D"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nil"/>
              <w:right w:val="nil"/>
            </w:tcBorders>
            <w:shd w:val="clear" w:color="auto" w:fill="auto"/>
            <w:noWrap/>
            <w:vAlign w:val="bottom"/>
            <w:hideMark/>
          </w:tcPr>
          <w:p w14:paraId="2DC6A03E" w14:textId="77777777" w:rsidR="0035380D" w:rsidRPr="00D26C28" w:rsidRDefault="0035380D" w:rsidP="00B6548B">
            <w:pPr>
              <w:rPr>
                <w:color w:val="000000" w:themeColor="text1"/>
                <w:sz w:val="14"/>
                <w:szCs w:val="14"/>
              </w:rPr>
            </w:pPr>
            <w:r w:rsidRPr="00D26C28">
              <w:rPr>
                <w:color w:val="000000" w:themeColor="text1"/>
                <w:sz w:val="14"/>
                <w:szCs w:val="14"/>
              </w:rPr>
              <w:t>Volatility</w:t>
            </w:r>
          </w:p>
        </w:tc>
        <w:tc>
          <w:tcPr>
            <w:tcW w:w="320" w:type="pct"/>
            <w:tcBorders>
              <w:top w:val="nil"/>
              <w:left w:val="nil"/>
              <w:bottom w:val="nil"/>
              <w:right w:val="nil"/>
            </w:tcBorders>
            <w:shd w:val="clear" w:color="auto" w:fill="auto"/>
            <w:noWrap/>
            <w:vAlign w:val="bottom"/>
            <w:hideMark/>
          </w:tcPr>
          <w:p w14:paraId="37FE3467" w14:textId="77777777" w:rsidR="0035380D" w:rsidRPr="00D26C28" w:rsidRDefault="0035380D" w:rsidP="00B6548B">
            <w:pPr>
              <w:jc w:val="center"/>
              <w:rPr>
                <w:color w:val="000000" w:themeColor="text1"/>
                <w:sz w:val="14"/>
                <w:szCs w:val="14"/>
              </w:rPr>
            </w:pPr>
            <w:r w:rsidRPr="00D26C28">
              <w:rPr>
                <w:color w:val="000000" w:themeColor="text1"/>
                <w:sz w:val="14"/>
                <w:szCs w:val="14"/>
              </w:rPr>
              <w:t>3.98%</w:t>
            </w:r>
          </w:p>
        </w:tc>
        <w:tc>
          <w:tcPr>
            <w:tcW w:w="320" w:type="pct"/>
            <w:tcBorders>
              <w:top w:val="nil"/>
              <w:left w:val="nil"/>
              <w:bottom w:val="nil"/>
              <w:right w:val="nil"/>
            </w:tcBorders>
            <w:shd w:val="clear" w:color="auto" w:fill="auto"/>
            <w:noWrap/>
            <w:vAlign w:val="bottom"/>
            <w:hideMark/>
          </w:tcPr>
          <w:p w14:paraId="2E2D3101" w14:textId="77777777" w:rsidR="0035380D" w:rsidRPr="00D26C28" w:rsidRDefault="0035380D" w:rsidP="00B6548B">
            <w:pPr>
              <w:jc w:val="center"/>
              <w:rPr>
                <w:color w:val="000000" w:themeColor="text1"/>
                <w:sz w:val="14"/>
                <w:szCs w:val="14"/>
              </w:rPr>
            </w:pPr>
            <w:r w:rsidRPr="00D26C28">
              <w:rPr>
                <w:color w:val="000000" w:themeColor="text1"/>
                <w:sz w:val="14"/>
                <w:szCs w:val="14"/>
              </w:rPr>
              <w:t>5.32%</w:t>
            </w:r>
          </w:p>
        </w:tc>
        <w:tc>
          <w:tcPr>
            <w:tcW w:w="320" w:type="pct"/>
            <w:tcBorders>
              <w:top w:val="nil"/>
              <w:left w:val="nil"/>
              <w:bottom w:val="nil"/>
              <w:right w:val="nil"/>
            </w:tcBorders>
            <w:shd w:val="clear" w:color="auto" w:fill="auto"/>
            <w:noWrap/>
            <w:vAlign w:val="bottom"/>
            <w:hideMark/>
          </w:tcPr>
          <w:p w14:paraId="16BDC82F" w14:textId="77777777" w:rsidR="0035380D" w:rsidRPr="00D26C28" w:rsidRDefault="0035380D" w:rsidP="00B6548B">
            <w:pPr>
              <w:jc w:val="center"/>
              <w:rPr>
                <w:color w:val="000000" w:themeColor="text1"/>
                <w:sz w:val="14"/>
                <w:szCs w:val="14"/>
              </w:rPr>
            </w:pPr>
            <w:r w:rsidRPr="00D26C28">
              <w:rPr>
                <w:color w:val="000000" w:themeColor="text1"/>
                <w:sz w:val="14"/>
                <w:szCs w:val="14"/>
              </w:rPr>
              <w:t>4.61%</w:t>
            </w:r>
          </w:p>
        </w:tc>
        <w:tc>
          <w:tcPr>
            <w:tcW w:w="293" w:type="pct"/>
            <w:tcBorders>
              <w:top w:val="nil"/>
              <w:left w:val="nil"/>
              <w:bottom w:val="nil"/>
              <w:right w:val="nil"/>
            </w:tcBorders>
            <w:shd w:val="clear" w:color="auto" w:fill="auto"/>
            <w:noWrap/>
            <w:vAlign w:val="bottom"/>
            <w:hideMark/>
          </w:tcPr>
          <w:p w14:paraId="09B57E3B" w14:textId="77777777" w:rsidR="0035380D" w:rsidRPr="00D26C28" w:rsidRDefault="0035380D" w:rsidP="00B6548B">
            <w:pPr>
              <w:jc w:val="center"/>
              <w:rPr>
                <w:color w:val="000000" w:themeColor="text1"/>
                <w:sz w:val="14"/>
                <w:szCs w:val="14"/>
              </w:rPr>
            </w:pPr>
            <w:r w:rsidRPr="00D26C28">
              <w:rPr>
                <w:color w:val="000000" w:themeColor="text1"/>
                <w:sz w:val="14"/>
                <w:szCs w:val="14"/>
              </w:rPr>
              <w:t>5.02%</w:t>
            </w:r>
          </w:p>
        </w:tc>
        <w:tc>
          <w:tcPr>
            <w:tcW w:w="184" w:type="pct"/>
            <w:tcBorders>
              <w:top w:val="nil"/>
              <w:left w:val="nil"/>
              <w:bottom w:val="nil"/>
              <w:right w:val="nil"/>
            </w:tcBorders>
          </w:tcPr>
          <w:p w14:paraId="12B85808"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4515E008" w14:textId="77777777" w:rsidR="0035380D" w:rsidRPr="00D26C28" w:rsidRDefault="0035380D" w:rsidP="00B6548B">
            <w:pPr>
              <w:jc w:val="center"/>
              <w:rPr>
                <w:color w:val="000000" w:themeColor="text1"/>
                <w:sz w:val="14"/>
                <w:szCs w:val="14"/>
              </w:rPr>
            </w:pPr>
            <w:r w:rsidRPr="00D26C28">
              <w:rPr>
                <w:color w:val="000000" w:themeColor="text1"/>
                <w:sz w:val="14"/>
                <w:szCs w:val="14"/>
              </w:rPr>
              <w:t>3.74%</w:t>
            </w:r>
          </w:p>
        </w:tc>
        <w:tc>
          <w:tcPr>
            <w:tcW w:w="440" w:type="pct"/>
            <w:tcBorders>
              <w:top w:val="nil"/>
              <w:left w:val="nil"/>
              <w:bottom w:val="nil"/>
              <w:right w:val="nil"/>
            </w:tcBorders>
            <w:shd w:val="clear" w:color="auto" w:fill="auto"/>
            <w:noWrap/>
            <w:vAlign w:val="bottom"/>
            <w:hideMark/>
          </w:tcPr>
          <w:p w14:paraId="7340646D" w14:textId="77777777" w:rsidR="0035380D" w:rsidRPr="00D26C28" w:rsidRDefault="0035380D" w:rsidP="00B6548B">
            <w:pPr>
              <w:jc w:val="center"/>
              <w:rPr>
                <w:color w:val="000000" w:themeColor="text1"/>
                <w:sz w:val="14"/>
                <w:szCs w:val="14"/>
              </w:rPr>
            </w:pPr>
            <w:r w:rsidRPr="00D26C28">
              <w:rPr>
                <w:color w:val="000000" w:themeColor="text1"/>
                <w:sz w:val="14"/>
                <w:szCs w:val="14"/>
              </w:rPr>
              <w:t>4.76%</w:t>
            </w:r>
          </w:p>
        </w:tc>
        <w:tc>
          <w:tcPr>
            <w:tcW w:w="320" w:type="pct"/>
            <w:tcBorders>
              <w:top w:val="nil"/>
              <w:left w:val="nil"/>
              <w:bottom w:val="nil"/>
              <w:right w:val="nil"/>
            </w:tcBorders>
            <w:shd w:val="clear" w:color="auto" w:fill="auto"/>
            <w:noWrap/>
            <w:vAlign w:val="bottom"/>
            <w:hideMark/>
          </w:tcPr>
          <w:p w14:paraId="08599B6B" w14:textId="77777777" w:rsidR="0035380D" w:rsidRPr="00D26C28" w:rsidRDefault="0035380D" w:rsidP="00B6548B">
            <w:pPr>
              <w:jc w:val="center"/>
              <w:rPr>
                <w:color w:val="000000" w:themeColor="text1"/>
                <w:sz w:val="14"/>
                <w:szCs w:val="14"/>
              </w:rPr>
            </w:pPr>
            <w:r w:rsidRPr="00D26C28">
              <w:rPr>
                <w:color w:val="000000" w:themeColor="text1"/>
                <w:sz w:val="14"/>
                <w:szCs w:val="14"/>
              </w:rPr>
              <w:t>5.02%</w:t>
            </w:r>
          </w:p>
        </w:tc>
        <w:tc>
          <w:tcPr>
            <w:tcW w:w="346" w:type="pct"/>
            <w:tcBorders>
              <w:top w:val="nil"/>
              <w:left w:val="nil"/>
              <w:bottom w:val="nil"/>
              <w:right w:val="nil"/>
            </w:tcBorders>
            <w:shd w:val="clear" w:color="auto" w:fill="auto"/>
            <w:noWrap/>
            <w:vAlign w:val="bottom"/>
            <w:hideMark/>
          </w:tcPr>
          <w:p w14:paraId="70AC080C" w14:textId="77777777" w:rsidR="0035380D" w:rsidRPr="00D26C28" w:rsidRDefault="0035380D" w:rsidP="00B6548B">
            <w:pPr>
              <w:jc w:val="center"/>
              <w:rPr>
                <w:color w:val="000000" w:themeColor="text1"/>
                <w:sz w:val="14"/>
                <w:szCs w:val="14"/>
              </w:rPr>
            </w:pPr>
            <w:r w:rsidRPr="00D26C28">
              <w:rPr>
                <w:color w:val="000000" w:themeColor="text1"/>
                <w:sz w:val="14"/>
                <w:szCs w:val="14"/>
              </w:rPr>
              <w:t>4.53%</w:t>
            </w:r>
          </w:p>
        </w:tc>
        <w:tc>
          <w:tcPr>
            <w:tcW w:w="123" w:type="pct"/>
            <w:tcBorders>
              <w:top w:val="nil"/>
              <w:left w:val="nil"/>
              <w:bottom w:val="nil"/>
              <w:right w:val="nil"/>
            </w:tcBorders>
          </w:tcPr>
          <w:p w14:paraId="12BDACB3" w14:textId="77777777" w:rsidR="0035380D" w:rsidRPr="00D26C28" w:rsidRDefault="0035380D" w:rsidP="00B6548B">
            <w:pPr>
              <w:jc w:val="center"/>
              <w:rPr>
                <w:color w:val="000000" w:themeColor="text1"/>
                <w:sz w:val="14"/>
                <w:szCs w:val="14"/>
              </w:rPr>
            </w:pPr>
          </w:p>
        </w:tc>
        <w:tc>
          <w:tcPr>
            <w:tcW w:w="320" w:type="pct"/>
            <w:tcBorders>
              <w:top w:val="nil"/>
              <w:left w:val="nil"/>
              <w:bottom w:val="nil"/>
              <w:right w:val="nil"/>
            </w:tcBorders>
            <w:shd w:val="clear" w:color="auto" w:fill="auto"/>
            <w:noWrap/>
            <w:vAlign w:val="bottom"/>
            <w:hideMark/>
          </w:tcPr>
          <w:p w14:paraId="1196F7B7" w14:textId="77777777" w:rsidR="0035380D" w:rsidRPr="00D26C28" w:rsidRDefault="0035380D" w:rsidP="00B6548B">
            <w:pPr>
              <w:jc w:val="center"/>
              <w:rPr>
                <w:color w:val="000000" w:themeColor="text1"/>
                <w:sz w:val="14"/>
                <w:szCs w:val="14"/>
              </w:rPr>
            </w:pPr>
            <w:r w:rsidRPr="00D26C28">
              <w:rPr>
                <w:color w:val="000000" w:themeColor="text1"/>
                <w:sz w:val="14"/>
                <w:szCs w:val="14"/>
              </w:rPr>
              <w:t>2.57%</w:t>
            </w:r>
          </w:p>
        </w:tc>
        <w:tc>
          <w:tcPr>
            <w:tcW w:w="320" w:type="pct"/>
            <w:tcBorders>
              <w:top w:val="nil"/>
              <w:left w:val="nil"/>
              <w:bottom w:val="nil"/>
              <w:right w:val="nil"/>
            </w:tcBorders>
            <w:shd w:val="clear" w:color="auto" w:fill="auto"/>
            <w:noWrap/>
            <w:vAlign w:val="bottom"/>
            <w:hideMark/>
          </w:tcPr>
          <w:p w14:paraId="67A9F328" w14:textId="77777777" w:rsidR="0035380D" w:rsidRPr="00D26C28" w:rsidRDefault="0035380D" w:rsidP="00B6548B">
            <w:pPr>
              <w:jc w:val="center"/>
              <w:rPr>
                <w:color w:val="000000" w:themeColor="text1"/>
                <w:sz w:val="14"/>
                <w:szCs w:val="14"/>
              </w:rPr>
            </w:pPr>
            <w:r w:rsidRPr="00D26C28">
              <w:rPr>
                <w:color w:val="000000" w:themeColor="text1"/>
                <w:sz w:val="14"/>
                <w:szCs w:val="14"/>
              </w:rPr>
              <w:t>2.72%</w:t>
            </w:r>
          </w:p>
        </w:tc>
        <w:tc>
          <w:tcPr>
            <w:tcW w:w="320" w:type="pct"/>
            <w:tcBorders>
              <w:top w:val="nil"/>
              <w:left w:val="nil"/>
              <w:bottom w:val="nil"/>
            </w:tcBorders>
            <w:shd w:val="clear" w:color="auto" w:fill="auto"/>
            <w:noWrap/>
            <w:vAlign w:val="bottom"/>
            <w:hideMark/>
          </w:tcPr>
          <w:p w14:paraId="7DE230E6" w14:textId="77777777" w:rsidR="0035380D" w:rsidRPr="00D26C28" w:rsidRDefault="0035380D" w:rsidP="00B6548B">
            <w:pPr>
              <w:jc w:val="center"/>
              <w:rPr>
                <w:color w:val="000000" w:themeColor="text1"/>
                <w:sz w:val="14"/>
                <w:szCs w:val="14"/>
              </w:rPr>
            </w:pPr>
            <w:r w:rsidRPr="00D26C28">
              <w:rPr>
                <w:color w:val="000000" w:themeColor="text1"/>
                <w:sz w:val="14"/>
                <w:szCs w:val="14"/>
              </w:rPr>
              <w:t>4.84%</w:t>
            </w:r>
          </w:p>
        </w:tc>
        <w:tc>
          <w:tcPr>
            <w:tcW w:w="346" w:type="pct"/>
            <w:tcBorders>
              <w:top w:val="nil"/>
              <w:left w:val="nil"/>
              <w:bottom w:val="nil"/>
              <w:right w:val="nil"/>
            </w:tcBorders>
            <w:vAlign w:val="bottom"/>
          </w:tcPr>
          <w:p w14:paraId="697AF2EB" w14:textId="77777777" w:rsidR="0035380D" w:rsidRPr="00D26C28" w:rsidRDefault="0035380D" w:rsidP="00B6548B">
            <w:pPr>
              <w:jc w:val="center"/>
              <w:rPr>
                <w:color w:val="000000" w:themeColor="text1"/>
                <w:sz w:val="14"/>
                <w:szCs w:val="14"/>
              </w:rPr>
            </w:pPr>
            <w:r w:rsidRPr="00D26C28">
              <w:rPr>
                <w:color w:val="000000" w:themeColor="text1"/>
                <w:sz w:val="14"/>
                <w:szCs w:val="14"/>
              </w:rPr>
              <w:t>5.12%</w:t>
            </w:r>
          </w:p>
        </w:tc>
      </w:tr>
      <w:tr w:rsidR="0035380D" w:rsidRPr="00D26C28" w14:paraId="7FF7F3CB" w14:textId="77777777" w:rsidTr="0018673B">
        <w:trPr>
          <w:cantSplit/>
          <w:trHeight w:hRule="exact" w:val="255"/>
        </w:trPr>
        <w:tc>
          <w:tcPr>
            <w:tcW w:w="275" w:type="pct"/>
            <w:tcBorders>
              <w:top w:val="nil"/>
              <w:bottom w:val="single" w:sz="4" w:space="0" w:color="auto"/>
              <w:right w:val="nil"/>
            </w:tcBorders>
            <w:shd w:val="clear" w:color="auto" w:fill="auto"/>
            <w:noWrap/>
            <w:vAlign w:val="bottom"/>
            <w:hideMark/>
          </w:tcPr>
          <w:p w14:paraId="47285FE7" w14:textId="77777777" w:rsidR="0035380D" w:rsidRPr="00D26C28" w:rsidRDefault="0035380D" w:rsidP="00B6548B">
            <w:pPr>
              <w:rPr>
                <w:color w:val="000000" w:themeColor="text1"/>
                <w:sz w:val="14"/>
                <w:szCs w:val="14"/>
              </w:rPr>
            </w:pPr>
            <w:r w:rsidRPr="00D26C28">
              <w:rPr>
                <w:color w:val="000000" w:themeColor="text1"/>
                <w:sz w:val="14"/>
                <w:szCs w:val="14"/>
              </w:rPr>
              <w:t> </w:t>
            </w:r>
          </w:p>
        </w:tc>
        <w:tc>
          <w:tcPr>
            <w:tcW w:w="434" w:type="pct"/>
            <w:tcBorders>
              <w:top w:val="nil"/>
              <w:left w:val="nil"/>
              <w:bottom w:val="single" w:sz="4" w:space="0" w:color="auto"/>
              <w:right w:val="nil"/>
            </w:tcBorders>
            <w:shd w:val="clear" w:color="auto" w:fill="auto"/>
            <w:noWrap/>
            <w:vAlign w:val="bottom"/>
            <w:hideMark/>
          </w:tcPr>
          <w:p w14:paraId="72F40099" w14:textId="77777777" w:rsidR="0035380D" w:rsidRPr="00D26C28" w:rsidRDefault="0035380D" w:rsidP="00B6548B">
            <w:pPr>
              <w:rPr>
                <w:color w:val="000000" w:themeColor="text1"/>
                <w:sz w:val="14"/>
                <w:szCs w:val="14"/>
              </w:rPr>
            </w:pPr>
            <w:r w:rsidRPr="00D26C28">
              <w:rPr>
                <w:color w:val="000000" w:themeColor="text1"/>
                <w:sz w:val="14"/>
                <w:szCs w:val="14"/>
              </w:rPr>
              <w:t>Sharpe</w:t>
            </w:r>
          </w:p>
        </w:tc>
        <w:tc>
          <w:tcPr>
            <w:tcW w:w="320" w:type="pct"/>
            <w:tcBorders>
              <w:top w:val="nil"/>
              <w:left w:val="nil"/>
              <w:bottom w:val="single" w:sz="4" w:space="0" w:color="auto"/>
              <w:right w:val="nil"/>
            </w:tcBorders>
            <w:shd w:val="clear" w:color="auto" w:fill="auto"/>
            <w:noWrap/>
            <w:vAlign w:val="bottom"/>
            <w:hideMark/>
          </w:tcPr>
          <w:p w14:paraId="15C7EC10" w14:textId="77777777" w:rsidR="0035380D" w:rsidRPr="00D26C28" w:rsidRDefault="0035380D" w:rsidP="00B6548B">
            <w:pPr>
              <w:jc w:val="center"/>
              <w:rPr>
                <w:color w:val="000000" w:themeColor="text1"/>
                <w:sz w:val="14"/>
                <w:szCs w:val="14"/>
              </w:rPr>
            </w:pPr>
            <w:r w:rsidRPr="00D26C28">
              <w:rPr>
                <w:color w:val="000000" w:themeColor="text1"/>
                <w:sz w:val="14"/>
                <w:szCs w:val="14"/>
              </w:rPr>
              <w:t>1.39</w:t>
            </w:r>
          </w:p>
        </w:tc>
        <w:tc>
          <w:tcPr>
            <w:tcW w:w="320" w:type="pct"/>
            <w:tcBorders>
              <w:top w:val="nil"/>
              <w:left w:val="nil"/>
              <w:bottom w:val="single" w:sz="4" w:space="0" w:color="auto"/>
              <w:right w:val="nil"/>
            </w:tcBorders>
            <w:shd w:val="clear" w:color="auto" w:fill="auto"/>
            <w:noWrap/>
            <w:vAlign w:val="bottom"/>
            <w:hideMark/>
          </w:tcPr>
          <w:p w14:paraId="31B7ECAB" w14:textId="77777777" w:rsidR="0035380D" w:rsidRPr="00D26C28" w:rsidRDefault="0035380D" w:rsidP="00B6548B">
            <w:pPr>
              <w:jc w:val="center"/>
              <w:rPr>
                <w:color w:val="000000" w:themeColor="text1"/>
                <w:sz w:val="14"/>
                <w:szCs w:val="14"/>
              </w:rPr>
            </w:pPr>
            <w:r w:rsidRPr="00D26C28">
              <w:rPr>
                <w:color w:val="000000" w:themeColor="text1"/>
                <w:sz w:val="14"/>
                <w:szCs w:val="14"/>
              </w:rPr>
              <w:t>1.25</w:t>
            </w:r>
          </w:p>
        </w:tc>
        <w:tc>
          <w:tcPr>
            <w:tcW w:w="320" w:type="pct"/>
            <w:tcBorders>
              <w:top w:val="nil"/>
              <w:left w:val="nil"/>
              <w:bottom w:val="single" w:sz="4" w:space="0" w:color="auto"/>
              <w:right w:val="nil"/>
            </w:tcBorders>
            <w:shd w:val="clear" w:color="auto" w:fill="auto"/>
            <w:noWrap/>
            <w:vAlign w:val="bottom"/>
            <w:hideMark/>
          </w:tcPr>
          <w:p w14:paraId="77FF2134" w14:textId="77777777" w:rsidR="0035380D" w:rsidRPr="00D26C28" w:rsidRDefault="0035380D" w:rsidP="00B6548B">
            <w:pPr>
              <w:jc w:val="center"/>
              <w:rPr>
                <w:color w:val="000000" w:themeColor="text1"/>
                <w:sz w:val="14"/>
                <w:szCs w:val="14"/>
              </w:rPr>
            </w:pPr>
            <w:r w:rsidRPr="00D26C28">
              <w:rPr>
                <w:color w:val="000000" w:themeColor="text1"/>
                <w:sz w:val="14"/>
                <w:szCs w:val="14"/>
              </w:rPr>
              <w:t>1.53</w:t>
            </w:r>
          </w:p>
        </w:tc>
        <w:tc>
          <w:tcPr>
            <w:tcW w:w="293" w:type="pct"/>
            <w:tcBorders>
              <w:top w:val="nil"/>
              <w:left w:val="nil"/>
              <w:bottom w:val="single" w:sz="4" w:space="0" w:color="auto"/>
              <w:right w:val="nil"/>
            </w:tcBorders>
            <w:shd w:val="clear" w:color="auto" w:fill="auto"/>
            <w:noWrap/>
            <w:vAlign w:val="bottom"/>
            <w:hideMark/>
          </w:tcPr>
          <w:p w14:paraId="11A9B3DE" w14:textId="77777777" w:rsidR="0035380D" w:rsidRPr="00D26C28" w:rsidRDefault="0035380D" w:rsidP="00B6548B">
            <w:pPr>
              <w:jc w:val="center"/>
              <w:rPr>
                <w:color w:val="000000" w:themeColor="text1"/>
                <w:sz w:val="14"/>
                <w:szCs w:val="14"/>
              </w:rPr>
            </w:pPr>
            <w:r w:rsidRPr="00D26C28">
              <w:rPr>
                <w:color w:val="000000" w:themeColor="text1"/>
                <w:sz w:val="14"/>
                <w:szCs w:val="14"/>
              </w:rPr>
              <w:t>1.85</w:t>
            </w:r>
          </w:p>
        </w:tc>
        <w:tc>
          <w:tcPr>
            <w:tcW w:w="184" w:type="pct"/>
            <w:tcBorders>
              <w:top w:val="nil"/>
              <w:left w:val="nil"/>
              <w:bottom w:val="single" w:sz="4" w:space="0" w:color="auto"/>
              <w:right w:val="nil"/>
            </w:tcBorders>
          </w:tcPr>
          <w:p w14:paraId="3665F562" w14:textId="77777777" w:rsidR="0035380D" w:rsidRPr="00D26C28" w:rsidRDefault="0035380D" w:rsidP="00B6548B">
            <w:pPr>
              <w:jc w:val="center"/>
              <w:rPr>
                <w:color w:val="000000" w:themeColor="text1"/>
                <w:sz w:val="14"/>
                <w:szCs w:val="14"/>
              </w:rPr>
            </w:pPr>
          </w:p>
        </w:tc>
        <w:tc>
          <w:tcPr>
            <w:tcW w:w="320" w:type="pct"/>
            <w:tcBorders>
              <w:top w:val="nil"/>
              <w:left w:val="nil"/>
              <w:bottom w:val="single" w:sz="4" w:space="0" w:color="auto"/>
              <w:right w:val="nil"/>
            </w:tcBorders>
            <w:shd w:val="clear" w:color="auto" w:fill="auto"/>
            <w:noWrap/>
            <w:vAlign w:val="bottom"/>
            <w:hideMark/>
          </w:tcPr>
          <w:p w14:paraId="0083911D" w14:textId="77777777" w:rsidR="0035380D" w:rsidRPr="00D26C28" w:rsidRDefault="0035380D" w:rsidP="00B6548B">
            <w:pPr>
              <w:jc w:val="center"/>
              <w:rPr>
                <w:color w:val="000000" w:themeColor="text1"/>
                <w:sz w:val="14"/>
                <w:szCs w:val="14"/>
              </w:rPr>
            </w:pPr>
            <w:r w:rsidRPr="00D26C28">
              <w:rPr>
                <w:color w:val="000000" w:themeColor="text1"/>
                <w:sz w:val="14"/>
                <w:szCs w:val="14"/>
              </w:rPr>
              <w:t>1.23</w:t>
            </w:r>
          </w:p>
        </w:tc>
        <w:tc>
          <w:tcPr>
            <w:tcW w:w="440" w:type="pct"/>
            <w:tcBorders>
              <w:top w:val="nil"/>
              <w:left w:val="nil"/>
              <w:bottom w:val="single" w:sz="4" w:space="0" w:color="auto"/>
              <w:right w:val="nil"/>
            </w:tcBorders>
            <w:shd w:val="clear" w:color="auto" w:fill="auto"/>
            <w:noWrap/>
            <w:vAlign w:val="bottom"/>
            <w:hideMark/>
          </w:tcPr>
          <w:p w14:paraId="5262B736" w14:textId="77777777" w:rsidR="0035380D" w:rsidRPr="00D26C28" w:rsidRDefault="0035380D" w:rsidP="00B6548B">
            <w:pPr>
              <w:jc w:val="center"/>
              <w:rPr>
                <w:color w:val="000000" w:themeColor="text1"/>
                <w:sz w:val="14"/>
                <w:szCs w:val="14"/>
              </w:rPr>
            </w:pPr>
            <w:r w:rsidRPr="00D26C28">
              <w:rPr>
                <w:color w:val="000000" w:themeColor="text1"/>
                <w:sz w:val="14"/>
                <w:szCs w:val="14"/>
              </w:rPr>
              <w:t>1.20</w:t>
            </w:r>
          </w:p>
        </w:tc>
        <w:tc>
          <w:tcPr>
            <w:tcW w:w="320" w:type="pct"/>
            <w:tcBorders>
              <w:top w:val="nil"/>
              <w:left w:val="nil"/>
              <w:bottom w:val="single" w:sz="4" w:space="0" w:color="auto"/>
              <w:right w:val="nil"/>
            </w:tcBorders>
            <w:shd w:val="clear" w:color="auto" w:fill="auto"/>
            <w:noWrap/>
            <w:vAlign w:val="bottom"/>
            <w:hideMark/>
          </w:tcPr>
          <w:p w14:paraId="301B7CDE" w14:textId="77777777" w:rsidR="0035380D" w:rsidRPr="00D26C28" w:rsidRDefault="0035380D" w:rsidP="00B6548B">
            <w:pPr>
              <w:jc w:val="center"/>
              <w:rPr>
                <w:color w:val="000000" w:themeColor="text1"/>
                <w:sz w:val="14"/>
                <w:szCs w:val="14"/>
              </w:rPr>
            </w:pPr>
            <w:r w:rsidRPr="00D26C28">
              <w:rPr>
                <w:color w:val="000000" w:themeColor="text1"/>
                <w:sz w:val="14"/>
                <w:szCs w:val="14"/>
              </w:rPr>
              <w:t>1.19</w:t>
            </w:r>
          </w:p>
        </w:tc>
        <w:tc>
          <w:tcPr>
            <w:tcW w:w="346" w:type="pct"/>
            <w:tcBorders>
              <w:top w:val="nil"/>
              <w:left w:val="nil"/>
              <w:bottom w:val="single" w:sz="4" w:space="0" w:color="auto"/>
              <w:right w:val="nil"/>
            </w:tcBorders>
            <w:shd w:val="clear" w:color="auto" w:fill="auto"/>
            <w:noWrap/>
            <w:vAlign w:val="bottom"/>
            <w:hideMark/>
          </w:tcPr>
          <w:p w14:paraId="29922552" w14:textId="77777777" w:rsidR="0035380D" w:rsidRPr="00D26C28" w:rsidRDefault="0035380D" w:rsidP="00B6548B">
            <w:pPr>
              <w:jc w:val="center"/>
              <w:rPr>
                <w:color w:val="000000" w:themeColor="text1"/>
                <w:sz w:val="14"/>
                <w:szCs w:val="14"/>
              </w:rPr>
            </w:pPr>
            <w:r w:rsidRPr="00D26C28">
              <w:rPr>
                <w:color w:val="000000" w:themeColor="text1"/>
                <w:sz w:val="14"/>
                <w:szCs w:val="14"/>
              </w:rPr>
              <w:t>1.18</w:t>
            </w:r>
          </w:p>
        </w:tc>
        <w:tc>
          <w:tcPr>
            <w:tcW w:w="123" w:type="pct"/>
            <w:tcBorders>
              <w:top w:val="nil"/>
              <w:left w:val="nil"/>
              <w:bottom w:val="single" w:sz="4" w:space="0" w:color="auto"/>
              <w:right w:val="nil"/>
            </w:tcBorders>
          </w:tcPr>
          <w:p w14:paraId="66AE7801" w14:textId="77777777" w:rsidR="0035380D" w:rsidRPr="00D26C28" w:rsidRDefault="0035380D" w:rsidP="00B6548B">
            <w:pPr>
              <w:jc w:val="center"/>
              <w:rPr>
                <w:color w:val="000000" w:themeColor="text1"/>
                <w:sz w:val="14"/>
                <w:szCs w:val="14"/>
              </w:rPr>
            </w:pPr>
          </w:p>
        </w:tc>
        <w:tc>
          <w:tcPr>
            <w:tcW w:w="320" w:type="pct"/>
            <w:tcBorders>
              <w:top w:val="nil"/>
              <w:left w:val="nil"/>
              <w:bottom w:val="single" w:sz="4" w:space="0" w:color="auto"/>
              <w:right w:val="nil"/>
            </w:tcBorders>
            <w:shd w:val="clear" w:color="auto" w:fill="auto"/>
            <w:noWrap/>
            <w:vAlign w:val="bottom"/>
            <w:hideMark/>
          </w:tcPr>
          <w:p w14:paraId="4E3EA790" w14:textId="77777777" w:rsidR="0035380D" w:rsidRPr="00D26C28" w:rsidRDefault="0035380D" w:rsidP="00B6548B">
            <w:pPr>
              <w:jc w:val="center"/>
              <w:rPr>
                <w:color w:val="000000" w:themeColor="text1"/>
                <w:sz w:val="14"/>
                <w:szCs w:val="14"/>
              </w:rPr>
            </w:pPr>
            <w:r w:rsidRPr="00D26C28">
              <w:rPr>
                <w:color w:val="000000" w:themeColor="text1"/>
                <w:sz w:val="14"/>
                <w:szCs w:val="14"/>
              </w:rPr>
              <w:t>1.60</w:t>
            </w:r>
          </w:p>
        </w:tc>
        <w:tc>
          <w:tcPr>
            <w:tcW w:w="320" w:type="pct"/>
            <w:tcBorders>
              <w:top w:val="nil"/>
              <w:left w:val="nil"/>
              <w:bottom w:val="single" w:sz="4" w:space="0" w:color="auto"/>
              <w:right w:val="nil"/>
            </w:tcBorders>
            <w:shd w:val="clear" w:color="auto" w:fill="auto"/>
            <w:noWrap/>
            <w:vAlign w:val="bottom"/>
            <w:hideMark/>
          </w:tcPr>
          <w:p w14:paraId="54AF1A0D" w14:textId="77777777" w:rsidR="0035380D" w:rsidRPr="00D26C28" w:rsidRDefault="0035380D" w:rsidP="00B6548B">
            <w:pPr>
              <w:jc w:val="center"/>
              <w:rPr>
                <w:color w:val="000000" w:themeColor="text1"/>
                <w:sz w:val="14"/>
                <w:szCs w:val="14"/>
              </w:rPr>
            </w:pPr>
            <w:r w:rsidRPr="00D26C28">
              <w:rPr>
                <w:color w:val="000000" w:themeColor="text1"/>
                <w:sz w:val="14"/>
                <w:szCs w:val="14"/>
              </w:rPr>
              <w:t>1.76</w:t>
            </w:r>
          </w:p>
        </w:tc>
        <w:tc>
          <w:tcPr>
            <w:tcW w:w="320" w:type="pct"/>
            <w:tcBorders>
              <w:top w:val="nil"/>
              <w:left w:val="nil"/>
              <w:bottom w:val="single" w:sz="4" w:space="0" w:color="auto"/>
            </w:tcBorders>
            <w:shd w:val="clear" w:color="auto" w:fill="auto"/>
            <w:noWrap/>
            <w:vAlign w:val="bottom"/>
            <w:hideMark/>
          </w:tcPr>
          <w:p w14:paraId="5C873D49" w14:textId="77777777" w:rsidR="0035380D" w:rsidRPr="00D26C28" w:rsidRDefault="0035380D" w:rsidP="00B6548B">
            <w:pPr>
              <w:jc w:val="center"/>
              <w:rPr>
                <w:color w:val="000000" w:themeColor="text1"/>
                <w:sz w:val="14"/>
                <w:szCs w:val="14"/>
              </w:rPr>
            </w:pPr>
            <w:r w:rsidRPr="00D26C28">
              <w:rPr>
                <w:color w:val="000000" w:themeColor="text1"/>
                <w:sz w:val="14"/>
                <w:szCs w:val="14"/>
              </w:rPr>
              <w:t>0.47</w:t>
            </w:r>
          </w:p>
        </w:tc>
        <w:tc>
          <w:tcPr>
            <w:tcW w:w="346" w:type="pct"/>
            <w:tcBorders>
              <w:top w:val="nil"/>
              <w:left w:val="nil"/>
              <w:bottom w:val="single" w:sz="4" w:space="0" w:color="auto"/>
              <w:right w:val="nil"/>
            </w:tcBorders>
            <w:vAlign w:val="bottom"/>
          </w:tcPr>
          <w:p w14:paraId="4B470E2F" w14:textId="77777777" w:rsidR="0035380D" w:rsidRPr="00D26C28" w:rsidRDefault="0035380D" w:rsidP="00B6548B">
            <w:pPr>
              <w:jc w:val="center"/>
              <w:rPr>
                <w:color w:val="000000" w:themeColor="text1"/>
                <w:sz w:val="14"/>
                <w:szCs w:val="14"/>
              </w:rPr>
            </w:pPr>
            <w:r w:rsidRPr="00D26C28">
              <w:rPr>
                <w:color w:val="000000" w:themeColor="text1"/>
                <w:sz w:val="14"/>
                <w:szCs w:val="14"/>
              </w:rPr>
              <w:t>0.65</w:t>
            </w:r>
          </w:p>
        </w:tc>
      </w:tr>
    </w:tbl>
    <w:p w14:paraId="6650A0F7" w14:textId="656EAE01" w:rsidR="0035380D" w:rsidRPr="00D26C28" w:rsidRDefault="0035380D" w:rsidP="0035380D">
      <w:pPr>
        <w:rPr>
          <w:color w:val="000000" w:themeColor="text1"/>
        </w:rPr>
      </w:pPr>
    </w:p>
    <w:p w14:paraId="6216597E" w14:textId="0E741DA7" w:rsidR="0018673B" w:rsidRPr="00D26C28" w:rsidRDefault="0018673B" w:rsidP="0035380D">
      <w:pPr>
        <w:rPr>
          <w:color w:val="000000" w:themeColor="text1"/>
        </w:rPr>
      </w:pPr>
    </w:p>
    <w:p w14:paraId="17A25235" w14:textId="77777777" w:rsidR="0018673B" w:rsidRPr="00D26C28" w:rsidRDefault="0018673B" w:rsidP="0035380D">
      <w:pPr>
        <w:rPr>
          <w:color w:val="000000" w:themeColor="text1"/>
        </w:rPr>
      </w:pPr>
    </w:p>
    <w:p w14:paraId="58CE060F" w14:textId="77777777" w:rsidR="008F4D46" w:rsidRPr="00D26C28" w:rsidRDefault="008F4D46">
      <w:pPr>
        <w:rPr>
          <w:b/>
          <w:color w:val="000000" w:themeColor="text1"/>
          <w:sz w:val="22"/>
          <w:szCs w:val="22"/>
        </w:rPr>
      </w:pPr>
      <w:r w:rsidRPr="00D26C28">
        <w:rPr>
          <w:b/>
          <w:color w:val="000000" w:themeColor="text1"/>
          <w:sz w:val="22"/>
          <w:szCs w:val="22"/>
        </w:rPr>
        <w:br w:type="page"/>
      </w:r>
    </w:p>
    <w:p w14:paraId="70212B60" w14:textId="71A16C8B" w:rsidR="004F641A" w:rsidRPr="00D26C28" w:rsidRDefault="004F641A" w:rsidP="0018673B">
      <w:pPr>
        <w:shd w:val="clear" w:color="auto" w:fill="FFFFFF"/>
        <w:jc w:val="both"/>
        <w:rPr>
          <w:b/>
          <w:color w:val="000000" w:themeColor="text1"/>
        </w:rPr>
      </w:pPr>
      <w:r w:rsidRPr="00D26C28">
        <w:rPr>
          <w:b/>
          <w:color w:val="000000" w:themeColor="text1"/>
        </w:rPr>
        <w:lastRenderedPageBreak/>
        <w:t>Comment 5:</w:t>
      </w:r>
    </w:p>
    <w:p w14:paraId="6B411C6D" w14:textId="77777777" w:rsidR="009731D7" w:rsidRPr="00D26C28" w:rsidRDefault="009731D7" w:rsidP="009731D7">
      <w:pPr>
        <w:shd w:val="clear" w:color="auto" w:fill="FFFFFF"/>
        <w:jc w:val="both"/>
        <w:rPr>
          <w:i/>
          <w:color w:val="000000" w:themeColor="text1"/>
        </w:rPr>
      </w:pPr>
    </w:p>
    <w:p w14:paraId="4389F710" w14:textId="6839E261" w:rsidR="00A17D4F" w:rsidRPr="00D26C28" w:rsidRDefault="00A17D4F" w:rsidP="009731D7">
      <w:pPr>
        <w:shd w:val="clear" w:color="auto" w:fill="FFFFFF"/>
        <w:jc w:val="both"/>
        <w:rPr>
          <w:i/>
          <w:color w:val="000000" w:themeColor="text1"/>
        </w:rPr>
      </w:pPr>
      <w:r w:rsidRPr="00D26C28">
        <w:rPr>
          <w:i/>
          <w:color w:val="000000" w:themeColor="text1"/>
        </w:rPr>
        <w:t>The analysis of the impact of business cycles and market conditions are also difficult to justify in Australia, a country without a recession in almost 30 years.  The average inflation in Australia (used in Table 3 to assess market conditions) has been 2.51%, during the 2006-2016 period, with only 2008 being above 4% (4.35%).  Thus Australia did not experience drastic changes in market conditions similar to that analyzed in prior work cited by the authors (e.g. Nofsinger and Varma (2014); see also Lins et al., 2017).  Thus, I wonder about the need for this analysis and the about the interpretation of the findings in Table 3. </w:t>
      </w:r>
    </w:p>
    <w:p w14:paraId="0FAE9B94" w14:textId="77777777" w:rsidR="00675644" w:rsidRPr="00D26C28" w:rsidRDefault="00675644" w:rsidP="009731D7">
      <w:pPr>
        <w:shd w:val="clear" w:color="auto" w:fill="FFFFFF"/>
        <w:jc w:val="both"/>
        <w:rPr>
          <w:i/>
          <w:color w:val="000000" w:themeColor="text1"/>
        </w:rPr>
      </w:pPr>
    </w:p>
    <w:p w14:paraId="58FA8704" w14:textId="3893254D" w:rsidR="00AE0A08" w:rsidRPr="00D26C28" w:rsidRDefault="00AE0A08" w:rsidP="00675644">
      <w:pPr>
        <w:shd w:val="clear" w:color="auto" w:fill="FFFFFF"/>
        <w:contextualSpacing/>
        <w:jc w:val="both"/>
        <w:rPr>
          <w:iCs/>
          <w:color w:val="000000" w:themeColor="text1"/>
        </w:rPr>
      </w:pPr>
      <w:r w:rsidRPr="00D26C28">
        <w:rPr>
          <w:iCs/>
          <w:color w:val="000000" w:themeColor="text1"/>
        </w:rPr>
        <w:t>This comment is well-taken. We understand the concerns of the referee on business cycles.</w:t>
      </w:r>
    </w:p>
    <w:p w14:paraId="000ADF15" w14:textId="77777777" w:rsidR="00675644" w:rsidRPr="00D26C28" w:rsidRDefault="00675644" w:rsidP="00675644">
      <w:pPr>
        <w:shd w:val="clear" w:color="auto" w:fill="FFFFFF"/>
        <w:contextualSpacing/>
        <w:jc w:val="both"/>
        <w:rPr>
          <w:iCs/>
          <w:color w:val="000000" w:themeColor="text1"/>
        </w:rPr>
      </w:pPr>
    </w:p>
    <w:p w14:paraId="58609CD5" w14:textId="63E8033F" w:rsidR="00A611E0" w:rsidRPr="00D26C28" w:rsidRDefault="00AE0A08" w:rsidP="00675644">
      <w:pPr>
        <w:shd w:val="clear" w:color="auto" w:fill="FFFFFF"/>
        <w:contextualSpacing/>
        <w:jc w:val="both"/>
        <w:rPr>
          <w:iCs/>
          <w:color w:val="000000" w:themeColor="text1"/>
        </w:rPr>
      </w:pPr>
      <w:r w:rsidRPr="00D26C28">
        <w:rPr>
          <w:iCs/>
          <w:color w:val="000000" w:themeColor="text1"/>
        </w:rPr>
        <w:t>Unfortunately, our sample period is dictated by the availab</w:t>
      </w:r>
      <w:r w:rsidR="00B8188A" w:rsidRPr="00D26C28">
        <w:rPr>
          <w:iCs/>
          <w:color w:val="000000" w:themeColor="text1"/>
        </w:rPr>
        <w:t>ility</w:t>
      </w:r>
      <w:r w:rsidRPr="00D26C28">
        <w:rPr>
          <w:iCs/>
          <w:color w:val="000000" w:themeColor="text1"/>
        </w:rPr>
        <w:t xml:space="preserve"> of Bloomberg ESG ratings data, thus we are unable to include a longer time-series</w:t>
      </w:r>
      <w:r w:rsidR="00F40FCD" w:rsidRPr="00D26C28">
        <w:rPr>
          <w:iCs/>
          <w:color w:val="000000" w:themeColor="text1"/>
        </w:rPr>
        <w:t xml:space="preserve"> that</w:t>
      </w:r>
      <w:r w:rsidRPr="00D26C28">
        <w:rPr>
          <w:iCs/>
          <w:color w:val="000000" w:themeColor="text1"/>
        </w:rPr>
        <w:t xml:space="preserve"> incorporate</w:t>
      </w:r>
      <w:r w:rsidR="00F40FCD" w:rsidRPr="00D26C28">
        <w:rPr>
          <w:iCs/>
          <w:color w:val="000000" w:themeColor="text1"/>
        </w:rPr>
        <w:t>s</w:t>
      </w:r>
      <w:r w:rsidRPr="00D26C28">
        <w:rPr>
          <w:iCs/>
          <w:color w:val="000000" w:themeColor="text1"/>
        </w:rPr>
        <w:t xml:space="preserve"> additional variations in the business cycle. Thus, instead of focusing on “recessions”, we have used the</w:t>
      </w:r>
      <w:r w:rsidR="00636AAE" w:rsidRPr="00D26C28">
        <w:rPr>
          <w:iCs/>
          <w:color w:val="000000" w:themeColor="text1"/>
        </w:rPr>
        <w:t xml:space="preserve"> business cycle conditions provided by OECD.</w:t>
      </w:r>
      <w:r w:rsidRPr="00D26C28">
        <w:rPr>
          <w:iCs/>
          <w:color w:val="000000" w:themeColor="text1"/>
        </w:rPr>
        <w:t xml:space="preserve"> </w:t>
      </w:r>
      <w:r w:rsidR="00F41D46" w:rsidRPr="00D26C28">
        <w:rPr>
          <w:iCs/>
          <w:color w:val="000000" w:themeColor="text1"/>
        </w:rPr>
        <w:t xml:space="preserve">In footnote 14, </w:t>
      </w:r>
      <w:r w:rsidR="00675644" w:rsidRPr="00D26C28">
        <w:rPr>
          <w:iCs/>
          <w:color w:val="000000" w:themeColor="text1"/>
        </w:rPr>
        <w:t>w</w:t>
      </w:r>
      <w:r w:rsidRPr="00D26C28">
        <w:rPr>
          <w:iCs/>
          <w:color w:val="000000" w:themeColor="text1"/>
        </w:rPr>
        <w:t>e</w:t>
      </w:r>
      <w:r w:rsidR="0035380D" w:rsidRPr="00D26C28">
        <w:rPr>
          <w:iCs/>
          <w:color w:val="000000" w:themeColor="text1"/>
        </w:rPr>
        <w:t xml:space="preserve"> acknowledge</w:t>
      </w:r>
      <w:r w:rsidR="00F41D46" w:rsidRPr="00D26C28">
        <w:rPr>
          <w:iCs/>
          <w:color w:val="000000" w:themeColor="text1"/>
        </w:rPr>
        <w:t>d</w:t>
      </w:r>
      <w:r w:rsidR="0035380D" w:rsidRPr="00D26C28">
        <w:rPr>
          <w:iCs/>
          <w:color w:val="000000" w:themeColor="text1"/>
        </w:rPr>
        <w:t xml:space="preserve"> </w:t>
      </w:r>
      <w:r w:rsidRPr="00D26C28">
        <w:rPr>
          <w:iCs/>
          <w:color w:val="000000" w:themeColor="text1"/>
        </w:rPr>
        <w:t xml:space="preserve">the </w:t>
      </w:r>
      <w:r w:rsidR="0035380D" w:rsidRPr="00D26C28">
        <w:rPr>
          <w:iCs/>
          <w:color w:val="000000" w:themeColor="text1"/>
        </w:rPr>
        <w:t>term “Recession” within Table 3</w:t>
      </w:r>
      <w:r w:rsidR="00F41D46" w:rsidRPr="00D26C28">
        <w:rPr>
          <w:iCs/>
          <w:color w:val="000000" w:themeColor="text1"/>
        </w:rPr>
        <w:t xml:space="preserve"> may be</w:t>
      </w:r>
      <w:r w:rsidR="0035380D" w:rsidRPr="00D26C28">
        <w:rPr>
          <w:iCs/>
          <w:color w:val="000000" w:themeColor="text1"/>
        </w:rPr>
        <w:t xml:space="preserve"> inappropriate considering</w:t>
      </w:r>
      <w:r w:rsidR="00636AAE" w:rsidRPr="00D26C28">
        <w:rPr>
          <w:iCs/>
          <w:color w:val="000000" w:themeColor="text1"/>
        </w:rPr>
        <w:t xml:space="preserve"> that </w:t>
      </w:r>
      <w:r w:rsidR="0035380D" w:rsidRPr="00D26C28">
        <w:rPr>
          <w:iCs/>
          <w:color w:val="000000" w:themeColor="text1"/>
        </w:rPr>
        <w:t>Australia did not experience a technical recession</w:t>
      </w:r>
      <w:r w:rsidR="00F41D46" w:rsidRPr="00D26C28">
        <w:rPr>
          <w:iCs/>
          <w:color w:val="000000" w:themeColor="text1"/>
        </w:rPr>
        <w:t xml:space="preserve"> in the last 25 years</w:t>
      </w:r>
      <w:r w:rsidR="0035380D" w:rsidRPr="00D26C28">
        <w:rPr>
          <w:iCs/>
          <w:color w:val="000000" w:themeColor="text1"/>
        </w:rPr>
        <w:t>.</w:t>
      </w:r>
      <w:r w:rsidRPr="00D26C28">
        <w:rPr>
          <w:iCs/>
          <w:color w:val="000000" w:themeColor="text1"/>
        </w:rPr>
        <w:t xml:space="preserve"> Therefore, to be more precise, the </w:t>
      </w:r>
      <w:r w:rsidR="0035380D" w:rsidRPr="00D26C28">
        <w:rPr>
          <w:iCs/>
          <w:color w:val="000000" w:themeColor="text1"/>
        </w:rPr>
        <w:t>terminology of “Low growth”</w:t>
      </w:r>
      <w:r w:rsidRPr="00D26C28">
        <w:rPr>
          <w:iCs/>
          <w:color w:val="000000" w:themeColor="text1"/>
        </w:rPr>
        <w:t xml:space="preserve"> (“High growth”) is </w:t>
      </w:r>
      <w:r w:rsidR="0035380D" w:rsidRPr="00D26C28">
        <w:rPr>
          <w:iCs/>
          <w:color w:val="000000" w:themeColor="text1"/>
        </w:rPr>
        <w:t>utilised instead of “Recession”</w:t>
      </w:r>
      <w:r w:rsidRPr="00D26C28">
        <w:rPr>
          <w:iCs/>
          <w:color w:val="000000" w:themeColor="text1"/>
        </w:rPr>
        <w:t xml:space="preserve"> (</w:t>
      </w:r>
      <w:r w:rsidR="0035380D" w:rsidRPr="00D26C28">
        <w:rPr>
          <w:iCs/>
          <w:color w:val="000000" w:themeColor="text1"/>
        </w:rPr>
        <w:t>“Expansion”</w:t>
      </w:r>
      <w:r w:rsidRPr="00D26C28">
        <w:rPr>
          <w:iCs/>
          <w:color w:val="000000" w:themeColor="text1"/>
        </w:rPr>
        <w:t xml:space="preserve">) </w:t>
      </w:r>
      <w:r w:rsidR="00636AAE" w:rsidRPr="00D26C28">
        <w:rPr>
          <w:iCs/>
          <w:color w:val="000000" w:themeColor="text1"/>
        </w:rPr>
        <w:t xml:space="preserve">throughout the </w:t>
      </w:r>
      <w:r w:rsidRPr="00D26C28">
        <w:rPr>
          <w:iCs/>
          <w:color w:val="000000" w:themeColor="text1"/>
        </w:rPr>
        <w:t>revised manuscript</w:t>
      </w:r>
      <w:r w:rsidR="00F41D46" w:rsidRPr="00D26C28">
        <w:rPr>
          <w:iCs/>
          <w:color w:val="000000" w:themeColor="text1"/>
        </w:rPr>
        <w:t xml:space="preserve"> except for when the OECD data is described</w:t>
      </w:r>
      <w:r w:rsidR="00675644" w:rsidRPr="00D26C28">
        <w:rPr>
          <w:iCs/>
          <w:color w:val="000000" w:themeColor="text1"/>
        </w:rPr>
        <w:t xml:space="preserve"> on page 16 and in Table 3</w:t>
      </w:r>
      <w:r w:rsidR="0035380D" w:rsidRPr="00D26C28">
        <w:rPr>
          <w:iCs/>
          <w:color w:val="000000" w:themeColor="text1"/>
        </w:rPr>
        <w:t>.</w:t>
      </w:r>
    </w:p>
    <w:p w14:paraId="56D167B8" w14:textId="3A84E3E6" w:rsidR="00CA7D6E" w:rsidRPr="00D26C28" w:rsidRDefault="00CA7D6E" w:rsidP="00675644">
      <w:pPr>
        <w:shd w:val="clear" w:color="auto" w:fill="FFFFFF"/>
        <w:contextualSpacing/>
        <w:jc w:val="both"/>
        <w:rPr>
          <w:iCs/>
          <w:color w:val="000000" w:themeColor="text1"/>
        </w:rPr>
      </w:pPr>
    </w:p>
    <w:p w14:paraId="1727B12B" w14:textId="51CEE1E8" w:rsidR="00CA7D6E" w:rsidRPr="00D26C28" w:rsidRDefault="00CA7D6E" w:rsidP="00675644">
      <w:pPr>
        <w:shd w:val="clear" w:color="auto" w:fill="FFFFFF"/>
        <w:contextualSpacing/>
        <w:jc w:val="both"/>
        <w:rPr>
          <w:iCs/>
          <w:color w:val="000000" w:themeColor="text1"/>
        </w:rPr>
      </w:pPr>
      <w:r w:rsidRPr="00D26C28">
        <w:rPr>
          <w:iCs/>
          <w:color w:val="000000" w:themeColor="text1"/>
        </w:rPr>
        <w:t xml:space="preserve">Furthermore, we also plotted the OECD </w:t>
      </w:r>
      <w:r w:rsidR="0061133E" w:rsidRPr="00D26C28">
        <w:rPr>
          <w:iCs/>
          <w:color w:val="000000" w:themeColor="text1"/>
        </w:rPr>
        <w:t>business cycles</w:t>
      </w:r>
      <w:r w:rsidRPr="00D26C28">
        <w:rPr>
          <w:iCs/>
          <w:color w:val="000000" w:themeColor="text1"/>
        </w:rPr>
        <w:t xml:space="preserve"> for both</w:t>
      </w:r>
      <w:r w:rsidR="0061133E" w:rsidRPr="00D26C28">
        <w:rPr>
          <w:iCs/>
          <w:color w:val="000000" w:themeColor="text1"/>
        </w:rPr>
        <w:t xml:space="preserve"> the</w:t>
      </w:r>
      <w:r w:rsidRPr="00D26C28">
        <w:rPr>
          <w:iCs/>
          <w:color w:val="000000" w:themeColor="text1"/>
        </w:rPr>
        <w:t xml:space="preserve"> Australia</w:t>
      </w:r>
      <w:r w:rsidR="0061133E" w:rsidRPr="00D26C28">
        <w:rPr>
          <w:iCs/>
          <w:color w:val="000000" w:themeColor="text1"/>
        </w:rPr>
        <w:t>n</w:t>
      </w:r>
      <w:r w:rsidRPr="00D26C28">
        <w:rPr>
          <w:iCs/>
          <w:color w:val="000000" w:themeColor="text1"/>
        </w:rPr>
        <w:t xml:space="preserve"> (in red) and </w:t>
      </w:r>
      <w:r w:rsidR="0061133E" w:rsidRPr="00D26C28">
        <w:rPr>
          <w:iCs/>
          <w:color w:val="000000" w:themeColor="text1"/>
        </w:rPr>
        <w:t xml:space="preserve">the </w:t>
      </w:r>
      <w:r w:rsidRPr="00D26C28">
        <w:rPr>
          <w:iCs/>
          <w:color w:val="000000" w:themeColor="text1"/>
        </w:rPr>
        <w:t>US (in black)</w:t>
      </w:r>
      <w:r w:rsidR="0061133E" w:rsidRPr="00D26C28">
        <w:rPr>
          <w:iCs/>
          <w:color w:val="000000" w:themeColor="text1"/>
        </w:rPr>
        <w:t xml:space="preserve"> economy</w:t>
      </w:r>
      <w:r w:rsidRPr="00D26C28">
        <w:rPr>
          <w:iCs/>
          <w:color w:val="000000" w:themeColor="text1"/>
        </w:rPr>
        <w:t xml:space="preserve"> in the figure</w:t>
      </w:r>
      <w:r w:rsidR="0061133E" w:rsidRPr="00D26C28">
        <w:rPr>
          <w:iCs/>
          <w:color w:val="000000" w:themeColor="text1"/>
        </w:rPr>
        <w:t xml:space="preserve"> below</w:t>
      </w:r>
      <w:r w:rsidRPr="00D26C28">
        <w:rPr>
          <w:iCs/>
          <w:color w:val="000000" w:themeColor="text1"/>
        </w:rPr>
        <w:t>. From 1990 to 2017, although Australia has not experienced a technical recession, the OECD business cycle counts exhibit considerable variations. Even in our sample period from 2006, there are noticeable non-overlapping high versus low growth periods</w:t>
      </w:r>
      <w:r w:rsidR="0061133E" w:rsidRPr="00D26C28">
        <w:rPr>
          <w:iCs/>
          <w:color w:val="000000" w:themeColor="text1"/>
        </w:rPr>
        <w:t xml:space="preserve"> with the US</w:t>
      </w:r>
      <w:r w:rsidRPr="00D26C28">
        <w:rPr>
          <w:iCs/>
          <w:color w:val="000000" w:themeColor="text1"/>
        </w:rPr>
        <w:t xml:space="preserve">. Noticeably, the US recession counts </w:t>
      </w:r>
      <w:r w:rsidR="0061133E" w:rsidRPr="00D26C28">
        <w:rPr>
          <w:iCs/>
          <w:color w:val="000000" w:themeColor="text1"/>
        </w:rPr>
        <w:t>do reflect</w:t>
      </w:r>
      <w:r w:rsidRPr="00D26C28">
        <w:rPr>
          <w:iCs/>
          <w:color w:val="000000" w:themeColor="text1"/>
        </w:rPr>
        <w:t xml:space="preserve"> the NBER business cycle </w:t>
      </w:r>
      <w:r w:rsidR="0061133E" w:rsidRPr="00D26C28">
        <w:rPr>
          <w:iCs/>
          <w:color w:val="000000" w:themeColor="text1"/>
        </w:rPr>
        <w:t>variations</w:t>
      </w:r>
      <w:r w:rsidRPr="00D26C28">
        <w:rPr>
          <w:iCs/>
          <w:color w:val="000000" w:themeColor="text1"/>
        </w:rPr>
        <w:t>.</w:t>
      </w:r>
    </w:p>
    <w:p w14:paraId="531EEBA4" w14:textId="77777777" w:rsidR="00CA7D6E" w:rsidRPr="00D26C28" w:rsidRDefault="00CA7D6E" w:rsidP="00675644">
      <w:pPr>
        <w:shd w:val="clear" w:color="auto" w:fill="FFFFFF"/>
        <w:jc w:val="center"/>
        <w:rPr>
          <w:iCs/>
          <w:color w:val="000000" w:themeColor="text1"/>
        </w:rPr>
      </w:pPr>
    </w:p>
    <w:p w14:paraId="1C9F2A05" w14:textId="60F69882" w:rsidR="00675644" w:rsidRPr="00D26C28" w:rsidRDefault="00675644" w:rsidP="00675644">
      <w:pPr>
        <w:shd w:val="clear" w:color="auto" w:fill="FFFFFF"/>
        <w:jc w:val="center"/>
        <w:rPr>
          <w:iCs/>
          <w:color w:val="000000" w:themeColor="text1"/>
        </w:rPr>
      </w:pPr>
      <w:r w:rsidRPr="00D26C28">
        <w:rPr>
          <w:noProof/>
        </w:rPr>
        <w:drawing>
          <wp:inline distT="0" distB="0" distL="0" distR="0" wp14:anchorId="3E9C74B4" wp14:editId="1B7A4315">
            <wp:extent cx="5551170" cy="2409825"/>
            <wp:effectExtent l="0" t="0" r="0" b="0"/>
            <wp:docPr id="5" name="Chart 5">
              <a:extLst xmlns:a="http://schemas.openxmlformats.org/drawingml/2006/main">
                <a:ext uri="{FF2B5EF4-FFF2-40B4-BE49-F238E27FC236}">
                  <a16:creationId xmlns:a16="http://schemas.microsoft.com/office/drawing/2014/main" id="{437BA0D7-A221-9E41-8EBE-104754022F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D58AFF" w14:textId="02D93677" w:rsidR="00675644" w:rsidRPr="00D26C28" w:rsidRDefault="00675644" w:rsidP="00675644">
      <w:pPr>
        <w:jc w:val="center"/>
        <w:rPr>
          <w:sz w:val="16"/>
          <w:szCs w:val="16"/>
        </w:rPr>
      </w:pPr>
      <w:r w:rsidRPr="00D26C28">
        <w:rPr>
          <w:sz w:val="16"/>
          <w:szCs w:val="16"/>
        </w:rPr>
        <w:t xml:space="preserve">Source: </w:t>
      </w:r>
      <w:r w:rsidR="00D8264A" w:rsidRPr="00D26C28">
        <w:rPr>
          <w:sz w:val="16"/>
          <w:szCs w:val="16"/>
        </w:rPr>
        <w:t>Australia</w:t>
      </w:r>
      <w:r w:rsidRPr="00D26C28">
        <w:rPr>
          <w:sz w:val="16"/>
          <w:szCs w:val="16"/>
        </w:rPr>
        <w:t xml:space="preserve">: </w:t>
      </w:r>
      <w:hyperlink r:id="rId13" w:history="1">
        <w:r w:rsidRPr="00D26C28">
          <w:rPr>
            <w:rStyle w:val="Hyperlink"/>
            <w:sz w:val="16"/>
            <w:szCs w:val="16"/>
          </w:rPr>
          <w:t>https://fred.stlouisfed.org/series/AUSRECM</w:t>
        </w:r>
      </w:hyperlink>
      <w:r w:rsidRPr="00D26C28">
        <w:rPr>
          <w:sz w:val="16"/>
          <w:szCs w:val="16"/>
        </w:rPr>
        <w:t xml:space="preserve">; </w:t>
      </w:r>
      <w:r w:rsidR="00D8264A" w:rsidRPr="00D26C28">
        <w:rPr>
          <w:sz w:val="16"/>
          <w:szCs w:val="16"/>
        </w:rPr>
        <w:t>USA</w:t>
      </w:r>
      <w:r w:rsidRPr="00D26C28">
        <w:rPr>
          <w:sz w:val="16"/>
          <w:szCs w:val="16"/>
        </w:rPr>
        <w:t xml:space="preserve">: </w:t>
      </w:r>
      <w:hyperlink r:id="rId14" w:anchor="0" w:history="1">
        <w:r w:rsidRPr="00D26C28">
          <w:rPr>
            <w:rStyle w:val="Hyperlink"/>
            <w:sz w:val="16"/>
            <w:szCs w:val="16"/>
          </w:rPr>
          <w:t>https://fred.stlouisfed.org/series/USARECDM#0</w:t>
        </w:r>
      </w:hyperlink>
    </w:p>
    <w:p w14:paraId="288B6DDE" w14:textId="77777777" w:rsidR="00675644" w:rsidRPr="00D26C28" w:rsidRDefault="00675644" w:rsidP="00675644">
      <w:pPr>
        <w:shd w:val="clear" w:color="auto" w:fill="FFFFFF"/>
        <w:tabs>
          <w:tab w:val="left" w:pos="851"/>
        </w:tabs>
        <w:contextualSpacing/>
        <w:jc w:val="both"/>
        <w:rPr>
          <w:iCs/>
          <w:color w:val="000000" w:themeColor="text1"/>
        </w:rPr>
      </w:pPr>
    </w:p>
    <w:p w14:paraId="6B672C8E" w14:textId="0C14E884" w:rsidR="00330B1E" w:rsidRPr="00D26C28" w:rsidRDefault="00CA7F9A" w:rsidP="00AD1168">
      <w:pPr>
        <w:shd w:val="clear" w:color="auto" w:fill="FFFFFF"/>
        <w:tabs>
          <w:tab w:val="left" w:pos="851"/>
        </w:tabs>
        <w:contextualSpacing/>
        <w:jc w:val="both"/>
        <w:rPr>
          <w:iCs/>
          <w:color w:val="000000" w:themeColor="text1"/>
        </w:rPr>
      </w:pPr>
      <w:r w:rsidRPr="00D26C28">
        <w:rPr>
          <w:iCs/>
          <w:color w:val="000000" w:themeColor="text1"/>
        </w:rPr>
        <w:t xml:space="preserve">As for the comment on inflation, although Australia has not experienced </w:t>
      </w:r>
      <w:r w:rsidR="00AD1168" w:rsidRPr="00D26C28">
        <w:rPr>
          <w:iCs/>
          <w:color w:val="000000" w:themeColor="text1"/>
        </w:rPr>
        <w:t>hyperinflation</w:t>
      </w:r>
      <w:r w:rsidRPr="00D26C28">
        <w:rPr>
          <w:iCs/>
          <w:color w:val="000000" w:themeColor="text1"/>
        </w:rPr>
        <w:t xml:space="preserve"> within </w:t>
      </w:r>
      <w:r w:rsidR="00B4232B" w:rsidRPr="00D26C28">
        <w:rPr>
          <w:iCs/>
          <w:color w:val="000000" w:themeColor="text1"/>
        </w:rPr>
        <w:t>our sample</w:t>
      </w:r>
      <w:r w:rsidRPr="00D26C28">
        <w:rPr>
          <w:iCs/>
          <w:color w:val="000000" w:themeColor="text1"/>
        </w:rPr>
        <w:t xml:space="preserve"> period,</w:t>
      </w:r>
      <w:r w:rsidR="00DC2655" w:rsidRPr="00D26C28">
        <w:rPr>
          <w:iCs/>
          <w:color w:val="000000" w:themeColor="text1"/>
        </w:rPr>
        <w:t xml:space="preserve"> </w:t>
      </w:r>
      <w:r w:rsidRPr="00D26C28">
        <w:rPr>
          <w:iCs/>
          <w:color w:val="000000" w:themeColor="text1"/>
        </w:rPr>
        <w:t xml:space="preserve">we would like to stress the </w:t>
      </w:r>
      <w:r w:rsidR="00716B38" w:rsidRPr="00D26C28">
        <w:rPr>
          <w:iCs/>
          <w:color w:val="000000" w:themeColor="text1"/>
        </w:rPr>
        <w:t>fact</w:t>
      </w:r>
      <w:r w:rsidRPr="00D26C28">
        <w:rPr>
          <w:iCs/>
          <w:color w:val="000000" w:themeColor="text1"/>
        </w:rPr>
        <w:t xml:space="preserve"> that our inflation analysis is a relative comparison</w:t>
      </w:r>
      <w:r w:rsidR="00270B0D" w:rsidRPr="00D26C28">
        <w:rPr>
          <w:iCs/>
          <w:color w:val="000000" w:themeColor="text1"/>
        </w:rPr>
        <w:t xml:space="preserve">. </w:t>
      </w:r>
      <w:r w:rsidR="0035380D" w:rsidRPr="00D26C28">
        <w:rPr>
          <w:iCs/>
          <w:color w:val="000000" w:themeColor="text1"/>
        </w:rPr>
        <w:t xml:space="preserve">The </w:t>
      </w:r>
      <w:r w:rsidR="00716B38" w:rsidRPr="00D26C28">
        <w:rPr>
          <w:iCs/>
          <w:color w:val="000000" w:themeColor="text1"/>
        </w:rPr>
        <w:t>Reserve Bank of Australia (</w:t>
      </w:r>
      <w:r w:rsidR="0035380D" w:rsidRPr="00D26C28">
        <w:rPr>
          <w:iCs/>
          <w:color w:val="000000" w:themeColor="text1"/>
        </w:rPr>
        <w:t>RBA</w:t>
      </w:r>
      <w:r w:rsidR="00716B38" w:rsidRPr="00D26C28">
        <w:rPr>
          <w:iCs/>
          <w:color w:val="000000" w:themeColor="text1"/>
        </w:rPr>
        <w:t>)</w:t>
      </w:r>
      <w:r w:rsidR="0035380D" w:rsidRPr="00D26C28">
        <w:rPr>
          <w:iCs/>
          <w:color w:val="000000" w:themeColor="text1"/>
        </w:rPr>
        <w:t xml:space="preserve"> targets an inflation rate of 2-3% over the medium-term. </w:t>
      </w:r>
      <w:r w:rsidR="00270B0D" w:rsidRPr="00D26C28">
        <w:rPr>
          <w:iCs/>
          <w:color w:val="000000" w:themeColor="text1"/>
        </w:rPr>
        <w:t>The following plot</w:t>
      </w:r>
      <w:r w:rsidR="00AD1168" w:rsidRPr="00D26C28">
        <w:rPr>
          <w:iCs/>
          <w:color w:val="000000" w:themeColor="text1"/>
        </w:rPr>
        <w:t xml:space="preserve"> illustrates</w:t>
      </w:r>
      <w:r w:rsidR="00270B0D" w:rsidRPr="00D26C28">
        <w:rPr>
          <w:iCs/>
          <w:color w:val="000000" w:themeColor="text1"/>
        </w:rPr>
        <w:t xml:space="preserve"> the Australian and US inflation rate</w:t>
      </w:r>
      <w:r w:rsidR="00B4232B" w:rsidRPr="00D26C28">
        <w:rPr>
          <w:iCs/>
          <w:color w:val="000000" w:themeColor="text1"/>
        </w:rPr>
        <w:t>s</w:t>
      </w:r>
      <w:r w:rsidR="00270B0D" w:rsidRPr="00D26C28">
        <w:rPr>
          <w:iCs/>
          <w:color w:val="000000" w:themeColor="text1"/>
        </w:rPr>
        <w:t xml:space="preserve"> from the 1990s. The median inflation rate in our sample </w:t>
      </w:r>
      <w:r w:rsidR="00B4232B" w:rsidRPr="00D26C28">
        <w:rPr>
          <w:iCs/>
          <w:color w:val="000000" w:themeColor="text1"/>
        </w:rPr>
        <w:t>(</w:t>
      </w:r>
      <w:r w:rsidR="00270B0D" w:rsidRPr="00D26C28">
        <w:rPr>
          <w:iCs/>
          <w:color w:val="000000" w:themeColor="text1"/>
        </w:rPr>
        <w:t>from 2006</w:t>
      </w:r>
      <w:r w:rsidR="00B4232B" w:rsidRPr="00D26C28">
        <w:rPr>
          <w:iCs/>
          <w:color w:val="000000" w:themeColor="text1"/>
        </w:rPr>
        <w:t>)</w:t>
      </w:r>
      <w:r w:rsidR="00270B0D" w:rsidRPr="00D26C28">
        <w:rPr>
          <w:iCs/>
          <w:color w:val="000000" w:themeColor="text1"/>
        </w:rPr>
        <w:t xml:space="preserve"> is almost identical to the median over the last 25 years</w:t>
      </w:r>
      <w:r w:rsidR="00AD1168" w:rsidRPr="00D26C28">
        <w:rPr>
          <w:iCs/>
          <w:color w:val="000000" w:themeColor="text1"/>
        </w:rPr>
        <w:t xml:space="preserve"> and is also consistent with the US median</w:t>
      </w:r>
      <w:r w:rsidR="00270B0D" w:rsidRPr="00D26C28">
        <w:rPr>
          <w:iCs/>
          <w:color w:val="000000" w:themeColor="text1"/>
        </w:rPr>
        <w:t>.</w:t>
      </w:r>
      <w:r w:rsidR="00B4232B" w:rsidRPr="00D26C28">
        <w:rPr>
          <w:iCs/>
          <w:color w:val="000000" w:themeColor="text1"/>
        </w:rPr>
        <w:t xml:space="preserve"> Thus, </w:t>
      </w:r>
      <w:r w:rsidR="00DC2655" w:rsidRPr="00D26C28">
        <w:rPr>
          <w:iCs/>
          <w:color w:val="000000" w:themeColor="text1"/>
        </w:rPr>
        <w:t>we believe our</w:t>
      </w:r>
      <w:r w:rsidR="00B4232B" w:rsidRPr="00D26C28">
        <w:rPr>
          <w:iCs/>
          <w:color w:val="000000" w:themeColor="text1"/>
        </w:rPr>
        <w:t xml:space="preserve"> inflation analysis does convey meaningful findings.</w:t>
      </w:r>
    </w:p>
    <w:p w14:paraId="6F7EDFD4" w14:textId="6376D396" w:rsidR="00330B1E" w:rsidRPr="00D26C28" w:rsidRDefault="00E90F41" w:rsidP="00E90F41">
      <w:pPr>
        <w:ind w:left="-142"/>
        <w:contextualSpacing/>
        <w:jc w:val="center"/>
      </w:pPr>
      <w:r w:rsidRPr="00D26C28">
        <w:rPr>
          <w:noProof/>
        </w:rPr>
        <w:lastRenderedPageBreak/>
        <w:drawing>
          <wp:inline distT="0" distB="0" distL="0" distR="0" wp14:anchorId="69DA660C" wp14:editId="1682300E">
            <wp:extent cx="5735782" cy="2846532"/>
            <wp:effectExtent l="0" t="0" r="0" b="0"/>
            <wp:docPr id="7" name="Chart 7">
              <a:extLst xmlns:a="http://schemas.openxmlformats.org/drawingml/2006/main">
                <a:ext uri="{FF2B5EF4-FFF2-40B4-BE49-F238E27FC236}">
                  <a16:creationId xmlns:a16="http://schemas.microsoft.com/office/drawing/2014/main" id="{D219EB47-AF7C-3E47-8C08-BAD2A6AF6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D09A6C" w14:textId="627F3685" w:rsidR="00E90F41" w:rsidRPr="00D26C28" w:rsidRDefault="00E90F41" w:rsidP="00E90F41">
      <w:pPr>
        <w:ind w:right="-194"/>
        <w:contextualSpacing/>
        <w:rPr>
          <w:sz w:val="16"/>
          <w:szCs w:val="16"/>
        </w:rPr>
      </w:pPr>
      <w:r w:rsidRPr="00D26C28">
        <w:rPr>
          <w:sz w:val="16"/>
          <w:szCs w:val="16"/>
        </w:rPr>
        <w:t xml:space="preserve">Source: </w:t>
      </w:r>
      <w:r w:rsidRPr="00D26C28">
        <w:rPr>
          <w:iCs/>
          <w:color w:val="000000" w:themeColor="text1"/>
          <w:sz w:val="16"/>
          <w:szCs w:val="16"/>
        </w:rPr>
        <w:t xml:space="preserve">Australia: </w:t>
      </w:r>
      <w:hyperlink r:id="rId16" w:history="1">
        <w:r w:rsidRPr="00D26C28">
          <w:rPr>
            <w:rStyle w:val="Hyperlink"/>
            <w:sz w:val="16"/>
            <w:szCs w:val="16"/>
          </w:rPr>
          <w:t>https://www.rba.gov.au/inflation/measures-cpi.html</w:t>
        </w:r>
      </w:hyperlink>
      <w:r w:rsidRPr="00D26C28">
        <w:rPr>
          <w:rStyle w:val="Hyperlink"/>
          <w:sz w:val="16"/>
          <w:szCs w:val="16"/>
        </w:rPr>
        <w:t xml:space="preserve"> </w:t>
      </w:r>
      <w:r w:rsidRPr="00D26C28">
        <w:rPr>
          <w:rStyle w:val="Hyperlink"/>
          <w:sz w:val="16"/>
          <w:szCs w:val="16"/>
        </w:rPr>
        <w:br/>
      </w:r>
      <w:r w:rsidRPr="00D26C28">
        <w:rPr>
          <w:sz w:val="16"/>
          <w:szCs w:val="16"/>
        </w:rPr>
        <w:t xml:space="preserve">              US</w:t>
      </w:r>
      <w:r w:rsidR="00D8264A" w:rsidRPr="00D26C28">
        <w:rPr>
          <w:sz w:val="16"/>
          <w:szCs w:val="16"/>
        </w:rPr>
        <w:t>A</w:t>
      </w:r>
      <w:r w:rsidRPr="00D26C28">
        <w:rPr>
          <w:sz w:val="16"/>
          <w:szCs w:val="16"/>
        </w:rPr>
        <w:t xml:space="preserve">: </w:t>
      </w:r>
      <w:hyperlink r:id="rId17" w:history="1">
        <w:r w:rsidRPr="00D26C28">
          <w:rPr>
            <w:rStyle w:val="Hyperlink"/>
            <w:sz w:val="16"/>
            <w:szCs w:val="16"/>
          </w:rPr>
          <w:t>https://www.usinflationcalculator.com/inflation/consumer-price-index-and-annual-percent-changes-from-1913-to-2008/</w:t>
        </w:r>
      </w:hyperlink>
    </w:p>
    <w:p w14:paraId="209F882C" w14:textId="77777777" w:rsidR="008811A8" w:rsidRPr="00D26C28" w:rsidRDefault="008811A8" w:rsidP="00D92F16">
      <w:pPr>
        <w:shd w:val="clear" w:color="auto" w:fill="FFFFFF"/>
        <w:contextualSpacing/>
        <w:jc w:val="both"/>
        <w:rPr>
          <w:iCs/>
          <w:color w:val="000000" w:themeColor="text1"/>
        </w:rPr>
      </w:pPr>
    </w:p>
    <w:p w14:paraId="20A3E639" w14:textId="26D29297" w:rsidR="00D92F16" w:rsidRPr="00D26C28" w:rsidRDefault="008046C0" w:rsidP="00D92F16">
      <w:pPr>
        <w:shd w:val="clear" w:color="auto" w:fill="FFFFFF"/>
        <w:contextualSpacing/>
        <w:jc w:val="both"/>
        <w:rPr>
          <w:b/>
          <w:color w:val="000000" w:themeColor="text1"/>
        </w:rPr>
      </w:pPr>
      <w:r w:rsidRPr="00D26C28">
        <w:rPr>
          <w:iCs/>
          <w:color w:val="000000" w:themeColor="text1"/>
        </w:rPr>
        <w:t>For these reasons</w:t>
      </w:r>
      <w:r w:rsidR="00270B0D" w:rsidRPr="00D26C28">
        <w:rPr>
          <w:iCs/>
          <w:color w:val="000000" w:themeColor="text1"/>
        </w:rPr>
        <w:t xml:space="preserve">, we would like to keep the business cycle and inflation analysis in the revised manuscript. </w:t>
      </w:r>
      <w:r w:rsidR="0036434F" w:rsidRPr="00D26C28">
        <w:rPr>
          <w:iCs/>
          <w:color w:val="000000" w:themeColor="text1"/>
        </w:rPr>
        <w:t xml:space="preserve">In our opinion, Table 3 is particularly informative because it clearly highlights the benefit of ESG integration in factor strategies over non-integrated factors in different economic and market conditions. </w:t>
      </w:r>
      <w:r w:rsidR="00D92F16" w:rsidRPr="00D26C28">
        <w:rPr>
          <w:iCs/>
          <w:color w:val="000000" w:themeColor="text1"/>
        </w:rPr>
        <w:t>However, we are happy to reconsider should the referee insist.</w:t>
      </w:r>
    </w:p>
    <w:p w14:paraId="6227CF6F" w14:textId="77777777" w:rsidR="00AA09D6" w:rsidRPr="00D26C28" w:rsidRDefault="00AA09D6" w:rsidP="0018673B">
      <w:pPr>
        <w:shd w:val="clear" w:color="auto" w:fill="FFFFFF"/>
        <w:jc w:val="both"/>
        <w:rPr>
          <w:b/>
          <w:color w:val="000000" w:themeColor="text1"/>
        </w:rPr>
      </w:pPr>
    </w:p>
    <w:p w14:paraId="3F5EE0BA" w14:textId="77777777" w:rsidR="00AA09D6" w:rsidRPr="00D26C28" w:rsidRDefault="00AA09D6" w:rsidP="0018673B">
      <w:pPr>
        <w:shd w:val="clear" w:color="auto" w:fill="FFFFFF"/>
        <w:jc w:val="both"/>
        <w:rPr>
          <w:b/>
          <w:color w:val="000000" w:themeColor="text1"/>
        </w:rPr>
      </w:pPr>
    </w:p>
    <w:p w14:paraId="1ED7FDF3" w14:textId="2C4DCA83" w:rsidR="004F641A" w:rsidRPr="00D26C28" w:rsidRDefault="004F641A" w:rsidP="0018673B">
      <w:pPr>
        <w:shd w:val="clear" w:color="auto" w:fill="FFFFFF"/>
        <w:jc w:val="both"/>
        <w:rPr>
          <w:b/>
          <w:color w:val="000000" w:themeColor="text1"/>
        </w:rPr>
      </w:pPr>
      <w:r w:rsidRPr="00D26C28">
        <w:rPr>
          <w:b/>
          <w:color w:val="000000" w:themeColor="text1"/>
        </w:rPr>
        <w:t>Comment 6:</w:t>
      </w:r>
    </w:p>
    <w:p w14:paraId="74D5A0F4" w14:textId="77777777" w:rsidR="0018673B" w:rsidRPr="00D26C28" w:rsidRDefault="0018673B" w:rsidP="0018673B">
      <w:pPr>
        <w:shd w:val="clear" w:color="auto" w:fill="FFFFFF"/>
        <w:jc w:val="both"/>
        <w:rPr>
          <w:i/>
          <w:color w:val="000000" w:themeColor="text1"/>
        </w:rPr>
      </w:pPr>
    </w:p>
    <w:p w14:paraId="5F3624A6" w14:textId="34BA943C" w:rsidR="00A17D4F" w:rsidRPr="00D26C28" w:rsidRDefault="00A17D4F" w:rsidP="0018673B">
      <w:pPr>
        <w:shd w:val="clear" w:color="auto" w:fill="FFFFFF"/>
        <w:jc w:val="both"/>
        <w:rPr>
          <w:i/>
          <w:color w:val="000000" w:themeColor="text1"/>
        </w:rPr>
      </w:pPr>
      <w:r w:rsidRPr="00D26C28">
        <w:rPr>
          <w:i/>
          <w:color w:val="000000" w:themeColor="text1"/>
        </w:rPr>
        <w:t>Finally the authors mention the following as a contribution from this study: “</w:t>
      </w:r>
      <w:r w:rsidRPr="00D26C28">
        <w:rPr>
          <w:i/>
          <w:iCs/>
          <w:color w:val="000000" w:themeColor="text1"/>
        </w:rPr>
        <w:t>Moreover, since forcing allocations across industries leads to inferior factor performance while ESG integration no longer delivers improvements, managers should clearly communicate the opportunity costs arising from mandated sector diversification”</w:t>
      </w:r>
      <w:r w:rsidR="004F641A" w:rsidRPr="00D26C28">
        <w:rPr>
          <w:i/>
          <w:color w:val="000000" w:themeColor="text1"/>
        </w:rPr>
        <w:t>.</w:t>
      </w:r>
      <w:r w:rsidRPr="00D26C28">
        <w:rPr>
          <w:i/>
          <w:color w:val="000000" w:themeColor="text1"/>
        </w:rPr>
        <w:t>  However, I do not think that the empirical analysis conducted in this study (consisting on selecting the best and worst firm in each sector based on each factor signal and ESG scores) is sufficient to justify this statement, and it is not enough to make any normative statement.</w:t>
      </w:r>
    </w:p>
    <w:p w14:paraId="586EFBB1" w14:textId="77777777" w:rsidR="0018673B" w:rsidRPr="00D26C28" w:rsidRDefault="0018673B" w:rsidP="0018673B">
      <w:pPr>
        <w:shd w:val="clear" w:color="auto" w:fill="FFFFFF"/>
        <w:jc w:val="both"/>
        <w:rPr>
          <w:iCs/>
          <w:color w:val="000000" w:themeColor="text1"/>
        </w:rPr>
      </w:pPr>
    </w:p>
    <w:p w14:paraId="0F71D217" w14:textId="7C2C7B95" w:rsidR="00AF6A69" w:rsidRPr="00D26C28" w:rsidRDefault="006C54B8" w:rsidP="000343E3">
      <w:pPr>
        <w:jc w:val="both"/>
        <w:rPr>
          <w:color w:val="000000" w:themeColor="text1"/>
        </w:rPr>
      </w:pPr>
      <w:r w:rsidRPr="00D26C28">
        <w:rPr>
          <w:color w:val="000000" w:themeColor="text1"/>
        </w:rPr>
        <w:t>We thank the referee for pointing out this confusion</w:t>
      </w:r>
      <w:r w:rsidR="00DD72A4" w:rsidRPr="00D26C28">
        <w:rPr>
          <w:color w:val="000000" w:themeColor="text1"/>
        </w:rPr>
        <w:t>.</w:t>
      </w:r>
      <w:r w:rsidR="000343E3" w:rsidRPr="00D26C28">
        <w:rPr>
          <w:color w:val="000000" w:themeColor="text1"/>
        </w:rPr>
        <w:t xml:space="preserve"> </w:t>
      </w:r>
      <w:r w:rsidR="00922212" w:rsidRPr="00D26C28">
        <w:rPr>
          <w:color w:val="000000" w:themeColor="text1"/>
        </w:rPr>
        <w:t>The referee’s concern is well-taken.</w:t>
      </w:r>
    </w:p>
    <w:p w14:paraId="2A27049D" w14:textId="77777777" w:rsidR="00AF6A69" w:rsidRPr="00D26C28" w:rsidRDefault="00AF6A69" w:rsidP="000343E3">
      <w:pPr>
        <w:jc w:val="both"/>
        <w:rPr>
          <w:color w:val="000000" w:themeColor="text1"/>
        </w:rPr>
      </w:pPr>
    </w:p>
    <w:p w14:paraId="2961EF73" w14:textId="5921AE67" w:rsidR="000343E3" w:rsidRPr="00D26C28" w:rsidRDefault="000343E3" w:rsidP="000343E3">
      <w:pPr>
        <w:jc w:val="both"/>
        <w:rPr>
          <w:color w:val="000000" w:themeColor="text1"/>
        </w:rPr>
      </w:pPr>
      <w:r w:rsidRPr="00D26C28">
        <w:rPr>
          <w:color w:val="000000" w:themeColor="text1"/>
        </w:rPr>
        <w:t>The statement stems from the fact that ESG integrated Best-of-</w:t>
      </w:r>
      <w:r w:rsidR="009A686C" w:rsidRPr="00D26C28">
        <w:rPr>
          <w:color w:val="000000" w:themeColor="text1"/>
        </w:rPr>
        <w:t>S</w:t>
      </w:r>
      <w:r w:rsidRPr="00D26C28">
        <w:rPr>
          <w:color w:val="000000" w:themeColor="text1"/>
        </w:rPr>
        <w:t>ector (BOS</w:t>
      </w:r>
      <w:r w:rsidR="00AF6A69" w:rsidRPr="00D26C28">
        <w:rPr>
          <w:color w:val="000000" w:themeColor="text1"/>
        </w:rPr>
        <w:t>) strategy</w:t>
      </w:r>
      <w:r w:rsidRPr="00D26C28">
        <w:rPr>
          <w:color w:val="000000" w:themeColor="text1"/>
        </w:rPr>
        <w:t xml:space="preserve"> will </w:t>
      </w:r>
      <w:r w:rsidR="00AF6A69" w:rsidRPr="00D26C28">
        <w:rPr>
          <w:color w:val="000000" w:themeColor="text1"/>
        </w:rPr>
        <w:t xml:space="preserve">likely </w:t>
      </w:r>
      <w:r w:rsidRPr="00D26C28">
        <w:rPr>
          <w:color w:val="000000" w:themeColor="text1"/>
        </w:rPr>
        <w:t>underperform a non-restricted BOS</w:t>
      </w:r>
      <w:r w:rsidR="009A686C" w:rsidRPr="00D26C28">
        <w:rPr>
          <w:color w:val="000000" w:themeColor="text1"/>
        </w:rPr>
        <w:t xml:space="preserve"> strategy</w:t>
      </w:r>
      <w:r w:rsidRPr="00D26C28">
        <w:rPr>
          <w:color w:val="000000" w:themeColor="text1"/>
        </w:rPr>
        <w:t>.</w:t>
      </w:r>
      <w:r w:rsidR="00922212" w:rsidRPr="00D26C28">
        <w:rPr>
          <w:color w:val="000000" w:themeColor="text1"/>
        </w:rPr>
        <w:t xml:space="preserve"> </w:t>
      </w:r>
    </w:p>
    <w:p w14:paraId="74AFAD36" w14:textId="1EC579F0" w:rsidR="00156BAA" w:rsidRPr="00D26C28" w:rsidRDefault="00156BAA" w:rsidP="0018673B">
      <w:pPr>
        <w:jc w:val="both"/>
        <w:rPr>
          <w:color w:val="000000" w:themeColor="text1"/>
        </w:rPr>
      </w:pPr>
    </w:p>
    <w:p w14:paraId="5D8BFAC2" w14:textId="581A8586" w:rsidR="00EA1D66" w:rsidRPr="00D26C28" w:rsidRDefault="000343E3" w:rsidP="0018673B">
      <w:pPr>
        <w:jc w:val="both"/>
        <w:rPr>
          <w:color w:val="000000" w:themeColor="text1"/>
        </w:rPr>
      </w:pPr>
      <w:r w:rsidRPr="00D26C28">
        <w:rPr>
          <w:color w:val="000000" w:themeColor="text1"/>
        </w:rPr>
        <w:t xml:space="preserve">To address this </w:t>
      </w:r>
      <w:r w:rsidR="00A27F95" w:rsidRPr="00D26C28">
        <w:rPr>
          <w:color w:val="000000" w:themeColor="text1"/>
        </w:rPr>
        <w:t>ambiguity</w:t>
      </w:r>
      <w:r w:rsidR="009A686C" w:rsidRPr="00D26C28">
        <w:rPr>
          <w:color w:val="000000" w:themeColor="text1"/>
        </w:rPr>
        <w:t xml:space="preserve"> however</w:t>
      </w:r>
      <w:r w:rsidR="006C54B8" w:rsidRPr="00D26C28">
        <w:rPr>
          <w:color w:val="000000" w:themeColor="text1"/>
        </w:rPr>
        <w:t xml:space="preserve">, </w:t>
      </w:r>
      <w:r w:rsidRPr="00D26C28">
        <w:rPr>
          <w:color w:val="000000" w:themeColor="text1"/>
        </w:rPr>
        <w:t>w</w:t>
      </w:r>
      <w:r w:rsidR="00EA1D66" w:rsidRPr="00D26C28">
        <w:rPr>
          <w:color w:val="000000" w:themeColor="text1"/>
        </w:rPr>
        <w:t>e have removed the following from</w:t>
      </w:r>
      <w:r w:rsidR="009A686C" w:rsidRPr="00D26C28">
        <w:rPr>
          <w:color w:val="000000" w:themeColor="text1"/>
        </w:rPr>
        <w:t xml:space="preserve"> the</w:t>
      </w:r>
      <w:r w:rsidR="00EA1D66" w:rsidRPr="00D26C28">
        <w:rPr>
          <w:color w:val="000000" w:themeColor="text1"/>
        </w:rPr>
        <w:t xml:space="preserve"> abstract:</w:t>
      </w:r>
    </w:p>
    <w:p w14:paraId="37338422" w14:textId="7CCD4F82" w:rsidR="00EA1D66" w:rsidRPr="00D26C28" w:rsidRDefault="00EA1D66" w:rsidP="00C97C6C">
      <w:pPr>
        <w:spacing w:before="60" w:after="140"/>
        <w:ind w:left="538" w:right="-51" w:hanging="113"/>
        <w:jc w:val="both"/>
        <w:rPr>
          <w:color w:val="000000" w:themeColor="text1"/>
          <w:sz w:val="22"/>
          <w:szCs w:val="22"/>
        </w:rPr>
      </w:pPr>
      <w:r w:rsidRPr="00D26C28">
        <w:rPr>
          <w:color w:val="000000" w:themeColor="text1"/>
          <w:sz w:val="22"/>
          <w:szCs w:val="22"/>
        </w:rPr>
        <w:t>“Moreover, since forcing allocations across industries leads to inferior factor performance while ESG integration no longer delivers improvements, managers should clearly communicate the opportunity costs arising from mandated sector diversification.”</w:t>
      </w:r>
    </w:p>
    <w:p w14:paraId="1F9D16D8" w14:textId="07FBA382" w:rsidR="009A686C" w:rsidRPr="00D26C28" w:rsidRDefault="009A686C" w:rsidP="009A686C">
      <w:pPr>
        <w:jc w:val="both"/>
        <w:rPr>
          <w:color w:val="000000" w:themeColor="text1"/>
          <w:sz w:val="22"/>
          <w:szCs w:val="22"/>
        </w:rPr>
      </w:pPr>
      <w:r w:rsidRPr="00D26C28">
        <w:rPr>
          <w:color w:val="000000" w:themeColor="text1"/>
        </w:rPr>
        <w:t>T</w:t>
      </w:r>
      <w:r w:rsidR="000343E3" w:rsidRPr="00D26C28">
        <w:rPr>
          <w:color w:val="000000" w:themeColor="text1"/>
        </w:rPr>
        <w:t>he</w:t>
      </w:r>
      <w:r w:rsidRPr="00D26C28">
        <w:rPr>
          <w:color w:val="000000" w:themeColor="text1"/>
        </w:rPr>
        <w:t xml:space="preserve"> following </w:t>
      </w:r>
      <w:r w:rsidR="000343E3" w:rsidRPr="00D26C28">
        <w:rPr>
          <w:color w:val="000000" w:themeColor="text1"/>
        </w:rPr>
        <w:t>statement</w:t>
      </w:r>
      <w:r w:rsidRPr="00D26C28">
        <w:rPr>
          <w:color w:val="000000" w:themeColor="text1"/>
        </w:rPr>
        <w:t xml:space="preserve"> on page 5</w:t>
      </w:r>
      <w:r w:rsidR="002B21B9" w:rsidRPr="00D26C28">
        <w:rPr>
          <w:color w:val="000000" w:themeColor="text1"/>
        </w:rPr>
        <w:t>:</w:t>
      </w:r>
      <w:r w:rsidRPr="00D26C28">
        <w:rPr>
          <w:color w:val="000000" w:themeColor="text1"/>
        </w:rPr>
        <w:t xml:space="preserve"> </w:t>
      </w:r>
      <w:r w:rsidR="005E27A1" w:rsidRPr="00D26C28">
        <w:rPr>
          <w:color w:val="000000" w:themeColor="text1"/>
        </w:rPr>
        <w:t xml:space="preserve">paragraph 2 </w:t>
      </w:r>
      <w:r w:rsidRPr="00D26C28">
        <w:rPr>
          <w:color w:val="000000" w:themeColor="text1"/>
        </w:rPr>
        <w:t>has been toned down from:</w:t>
      </w:r>
    </w:p>
    <w:p w14:paraId="0360309E" w14:textId="60FF269B" w:rsidR="000343E3" w:rsidRPr="00D26C28" w:rsidRDefault="00EA1D66" w:rsidP="00273086">
      <w:pPr>
        <w:spacing w:before="60" w:after="60"/>
        <w:ind w:left="538" w:right="-51" w:hanging="113"/>
        <w:jc w:val="both"/>
        <w:rPr>
          <w:color w:val="000000" w:themeColor="text1"/>
          <w:sz w:val="22"/>
          <w:szCs w:val="22"/>
        </w:rPr>
      </w:pPr>
      <w:r w:rsidRPr="00D26C28">
        <w:rPr>
          <w:color w:val="000000" w:themeColor="text1"/>
          <w:sz w:val="22"/>
          <w:szCs w:val="22"/>
        </w:rPr>
        <w:t>“Since ESG integration increases portfolio tilts to higher scoring industries, managers should clearly communicate the opportunity costs arising from mandated sector diversification.”</w:t>
      </w:r>
      <w:r w:rsidR="006C54B8" w:rsidRPr="00D26C28">
        <w:rPr>
          <w:color w:val="000000" w:themeColor="text1"/>
          <w:sz w:val="22"/>
          <w:szCs w:val="22"/>
        </w:rPr>
        <w:t xml:space="preserve"> </w:t>
      </w:r>
    </w:p>
    <w:p w14:paraId="127976E1" w14:textId="74391A28" w:rsidR="000343E3" w:rsidRPr="00D26C28" w:rsidRDefault="009A686C" w:rsidP="000343E3">
      <w:pPr>
        <w:ind w:right="373"/>
        <w:jc w:val="both"/>
        <w:rPr>
          <w:color w:val="000000" w:themeColor="text1"/>
        </w:rPr>
      </w:pPr>
      <w:r w:rsidRPr="00D26C28">
        <w:rPr>
          <w:color w:val="000000" w:themeColor="text1"/>
        </w:rPr>
        <w:t>To:</w:t>
      </w:r>
    </w:p>
    <w:p w14:paraId="769774B2" w14:textId="785CA46A" w:rsidR="00156BAA" w:rsidRPr="00D26C28" w:rsidRDefault="000343E3" w:rsidP="00273086">
      <w:pPr>
        <w:spacing w:before="60" w:after="60"/>
        <w:ind w:left="538" w:right="-51" w:hanging="113"/>
        <w:jc w:val="both"/>
        <w:rPr>
          <w:color w:val="000000" w:themeColor="text1"/>
        </w:rPr>
      </w:pPr>
      <w:r w:rsidRPr="00D26C28">
        <w:rPr>
          <w:color w:val="000000" w:themeColor="text1"/>
          <w:sz w:val="22"/>
          <w:szCs w:val="22"/>
        </w:rPr>
        <w:t>“</w:t>
      </w:r>
      <w:bookmarkStart w:id="5" w:name="_Hlk32072401"/>
      <w:r w:rsidRPr="00D26C28">
        <w:rPr>
          <w:rFonts w:asciiTheme="majorBidi" w:hAnsiTheme="majorBidi" w:cstheme="majorBidi"/>
          <w:color w:val="000000" w:themeColor="text1"/>
          <w:sz w:val="22"/>
          <w:szCs w:val="22"/>
        </w:rPr>
        <w:t>Since ESG integration increases portfolio tilts to higher scoring industries, managers may wish to communicate the potential opportunity cost arising from mandated sector diversification.”</w:t>
      </w:r>
      <w:r w:rsidRPr="00D26C28">
        <w:rPr>
          <w:color w:val="000000" w:themeColor="text1"/>
        </w:rPr>
        <w:t xml:space="preserve"> </w:t>
      </w:r>
      <w:bookmarkEnd w:id="5"/>
    </w:p>
    <w:p w14:paraId="28862646" w14:textId="77777777" w:rsidR="001B48A3" w:rsidRPr="00D26C28" w:rsidRDefault="001B48A3" w:rsidP="00156BAA">
      <w:pPr>
        <w:pStyle w:val="Heading1"/>
        <w:spacing w:before="0" w:after="0"/>
        <w:rPr>
          <w:color w:val="000000" w:themeColor="text1"/>
        </w:rPr>
      </w:pPr>
      <w:r w:rsidRPr="00D26C28">
        <w:rPr>
          <w:color w:val="000000" w:themeColor="text1"/>
        </w:rPr>
        <w:lastRenderedPageBreak/>
        <w:t>FINAL COMMENT</w:t>
      </w:r>
    </w:p>
    <w:p w14:paraId="3D77257E" w14:textId="77777777" w:rsidR="001B48A3" w:rsidRPr="00D26C28" w:rsidRDefault="001B48A3" w:rsidP="00156BAA">
      <w:pPr>
        <w:rPr>
          <w:color w:val="000000" w:themeColor="text1"/>
          <w:lang w:val="en-US"/>
        </w:rPr>
      </w:pPr>
    </w:p>
    <w:p w14:paraId="5C394710" w14:textId="77777777" w:rsidR="00A27F95" w:rsidRPr="00D26C28" w:rsidRDefault="00A27F95" w:rsidP="00A27F95">
      <w:pPr>
        <w:contextualSpacing/>
        <w:jc w:val="both"/>
        <w:rPr>
          <w:color w:val="000000" w:themeColor="text1"/>
        </w:rPr>
      </w:pPr>
      <w:r w:rsidRPr="00D26C28">
        <w:rPr>
          <w:color w:val="000000" w:themeColor="text1"/>
        </w:rPr>
        <w:t xml:space="preserve">We are indebted to the referee for helping us improve the quality of the paper. We would like to sincerely thank the anonymous referee again for her/his constructive feedback. We have made our best efforts to address these comments, we hope that our revisions meet your expectations. We have no doubts that the paper has benefited significantly from this exercise. </w:t>
      </w:r>
    </w:p>
    <w:p w14:paraId="1EBE791A" w14:textId="0C38ABF9" w:rsidR="00D96E49" w:rsidRPr="00D26C28" w:rsidRDefault="00D96E49" w:rsidP="00D96E49">
      <w:pPr>
        <w:rPr>
          <w:rFonts w:ascii="Arial" w:hAnsi="Arial" w:cs="Arial"/>
          <w:color w:val="222222"/>
          <w:sz w:val="20"/>
          <w:szCs w:val="20"/>
          <w:shd w:val="clear" w:color="auto" w:fill="FFFFFF"/>
        </w:rPr>
      </w:pPr>
    </w:p>
    <w:p w14:paraId="2A7C3B10" w14:textId="37A23E87" w:rsidR="006B6CB5" w:rsidRPr="00D26C28" w:rsidRDefault="006B6CB5" w:rsidP="00156BAA">
      <w:pPr>
        <w:rPr>
          <w:color w:val="000000" w:themeColor="text1"/>
        </w:rPr>
      </w:pPr>
    </w:p>
    <w:p w14:paraId="664589A5" w14:textId="77777777" w:rsidR="00CA42C1" w:rsidRPr="00D26C28" w:rsidRDefault="00CA42C1" w:rsidP="001B48A3">
      <w:pPr>
        <w:rPr>
          <w:color w:val="000000" w:themeColor="text1"/>
        </w:rPr>
      </w:pPr>
    </w:p>
    <w:p w14:paraId="15FA3C9E" w14:textId="29FCBF83" w:rsidR="00945C02" w:rsidRPr="00D26C28" w:rsidRDefault="00FD2F27">
      <w:pPr>
        <w:rPr>
          <w:b/>
          <w:bCs/>
          <w:color w:val="000000" w:themeColor="text1"/>
        </w:rPr>
      </w:pPr>
      <w:r w:rsidRPr="00D26C28">
        <w:rPr>
          <w:b/>
          <w:bCs/>
          <w:color w:val="000000" w:themeColor="text1"/>
        </w:rPr>
        <w:t xml:space="preserve">REFERENCE </w:t>
      </w:r>
    </w:p>
    <w:p w14:paraId="4E6F96E5" w14:textId="604BC2C7" w:rsidR="00FD2F27" w:rsidRPr="00D26C28" w:rsidRDefault="00FD2F27">
      <w:pPr>
        <w:rPr>
          <w:color w:val="000000" w:themeColor="text1"/>
        </w:rPr>
      </w:pPr>
    </w:p>
    <w:p w14:paraId="17810BC5" w14:textId="75A933ED" w:rsidR="001363C4" w:rsidRPr="00D26C28" w:rsidRDefault="001363C4" w:rsidP="005945E9">
      <w:pPr>
        <w:spacing w:after="120"/>
        <w:ind w:left="720" w:hanging="720"/>
        <w:jc w:val="both"/>
        <w:rPr>
          <w:color w:val="000000" w:themeColor="text1"/>
          <w:shd w:val="clear" w:color="auto" w:fill="FFFFFF"/>
        </w:rPr>
      </w:pPr>
      <w:bookmarkStart w:id="6" w:name="_Hlk31966896"/>
      <w:r w:rsidRPr="00D26C28">
        <w:rPr>
          <w:color w:val="000000" w:themeColor="text1"/>
          <w:shd w:val="clear" w:color="auto" w:fill="FFFFFF"/>
        </w:rPr>
        <w:t xml:space="preserve">ASX. (2015). The Australian share ownership study. Retrieved on January 27, 2020 from </w:t>
      </w:r>
      <w:hyperlink r:id="rId18" w:history="1">
        <w:r w:rsidRPr="00D26C28">
          <w:rPr>
            <w:rStyle w:val="Hyperlink"/>
          </w:rPr>
          <w:t>https://www.asx.com.au/documents/resources/australian-share-ownership-study-2014.pdf</w:t>
        </w:r>
      </w:hyperlink>
    </w:p>
    <w:bookmarkEnd w:id="6"/>
    <w:p w14:paraId="1B30C597" w14:textId="009CB965" w:rsidR="00FD2F27" w:rsidRPr="00D26C28" w:rsidRDefault="00FD2F27" w:rsidP="005945E9">
      <w:pPr>
        <w:spacing w:after="120"/>
        <w:ind w:left="720" w:hanging="720"/>
        <w:jc w:val="both"/>
        <w:rPr>
          <w:color w:val="000000" w:themeColor="text1"/>
          <w:shd w:val="clear" w:color="auto" w:fill="FFFFFF"/>
        </w:rPr>
      </w:pPr>
      <w:r w:rsidRPr="00D26C28">
        <w:rPr>
          <w:color w:val="000000" w:themeColor="text1"/>
          <w:shd w:val="clear" w:color="auto" w:fill="FFFFFF"/>
        </w:rPr>
        <w:t>Asness, C. S., Moskowitz, T. J., &amp; Pedersen, L. H. (2013). Value and momentum everywhere. </w:t>
      </w:r>
      <w:r w:rsidRPr="00D26C28">
        <w:rPr>
          <w:i/>
          <w:iCs/>
          <w:color w:val="000000" w:themeColor="text1"/>
          <w:shd w:val="clear" w:color="auto" w:fill="FFFFFF"/>
        </w:rPr>
        <w:t>The Journal of Finance</w:t>
      </w:r>
      <w:r w:rsidRPr="00D26C28">
        <w:rPr>
          <w:color w:val="000000" w:themeColor="text1"/>
          <w:shd w:val="clear" w:color="auto" w:fill="FFFFFF"/>
        </w:rPr>
        <w:t>, </w:t>
      </w:r>
      <w:r w:rsidRPr="00D26C28">
        <w:rPr>
          <w:i/>
          <w:iCs/>
          <w:color w:val="000000" w:themeColor="text1"/>
          <w:shd w:val="clear" w:color="auto" w:fill="FFFFFF"/>
        </w:rPr>
        <w:t>68</w:t>
      </w:r>
      <w:r w:rsidRPr="00D26C28">
        <w:rPr>
          <w:color w:val="000000" w:themeColor="text1"/>
          <w:shd w:val="clear" w:color="auto" w:fill="FFFFFF"/>
        </w:rPr>
        <w:t>(3), 929-985.</w:t>
      </w:r>
    </w:p>
    <w:p w14:paraId="404FEF94" w14:textId="76314421" w:rsidR="00561FA2" w:rsidRPr="00D26C28" w:rsidRDefault="00FD2F27" w:rsidP="00561FA2">
      <w:pPr>
        <w:pStyle w:val="EndNoteBibliography"/>
        <w:spacing w:before="0"/>
        <w:ind w:left="720" w:hanging="720"/>
        <w:rPr>
          <w:noProof/>
          <w:szCs w:val="24"/>
        </w:rPr>
      </w:pPr>
      <w:r w:rsidRPr="00D26C28">
        <w:rPr>
          <w:noProof/>
          <w:szCs w:val="24"/>
        </w:rPr>
        <w:t xml:space="preserve">Bender, J., Sun, X., &amp; Wang, T. (2017). </w:t>
      </w:r>
      <w:r w:rsidRPr="00D26C28">
        <w:rPr>
          <w:i/>
          <w:noProof/>
          <w:szCs w:val="24"/>
        </w:rPr>
        <w:t>Thematic indexing, meet smart beta! merging ESG into factor portfolios</w:t>
      </w:r>
      <w:r w:rsidRPr="00D26C28">
        <w:rPr>
          <w:noProof/>
          <w:szCs w:val="24"/>
        </w:rPr>
        <w:t xml:space="preserve">. Working Paper. State Street Global Advisors. </w:t>
      </w:r>
    </w:p>
    <w:p w14:paraId="5B0F9867" w14:textId="3D3B886B" w:rsidR="004A2E33" w:rsidRPr="00D26C28" w:rsidRDefault="004A2E33" w:rsidP="00561FA2">
      <w:pPr>
        <w:pStyle w:val="EndNoteBibliography"/>
        <w:spacing w:before="0"/>
        <w:ind w:left="720" w:hanging="720"/>
        <w:rPr>
          <w:noProof/>
          <w:szCs w:val="24"/>
        </w:rPr>
      </w:pPr>
      <w:r w:rsidRPr="00D26C28">
        <w:rPr>
          <w:noProof/>
          <w:szCs w:val="24"/>
        </w:rPr>
        <w:t xml:space="preserve">Cannavan, D., Finn, F., &amp; Gray, S. (2004). The value of dividend imputation tax credits in Australia. </w:t>
      </w:r>
      <w:r w:rsidRPr="00D26C28">
        <w:rPr>
          <w:i/>
          <w:iCs/>
          <w:noProof/>
          <w:szCs w:val="24"/>
        </w:rPr>
        <w:t>Journal of Financial Economics</w:t>
      </w:r>
      <w:r w:rsidRPr="00D26C28">
        <w:rPr>
          <w:noProof/>
          <w:szCs w:val="24"/>
        </w:rPr>
        <w:t xml:space="preserve">, </w:t>
      </w:r>
      <w:r w:rsidRPr="00D26C28">
        <w:rPr>
          <w:i/>
          <w:iCs/>
          <w:noProof/>
          <w:szCs w:val="24"/>
        </w:rPr>
        <w:t>73</w:t>
      </w:r>
      <w:r w:rsidRPr="00D26C28">
        <w:rPr>
          <w:noProof/>
          <w:szCs w:val="24"/>
        </w:rPr>
        <w:t>(1), 167-197</w:t>
      </w:r>
    </w:p>
    <w:p w14:paraId="0CC5AF1C" w14:textId="532B1C68" w:rsidR="00561FA2" w:rsidRPr="00D26C28" w:rsidRDefault="003C0BB8" w:rsidP="00561FA2">
      <w:pPr>
        <w:pStyle w:val="EndNoteBibliography"/>
        <w:spacing w:before="0"/>
        <w:ind w:left="720" w:hanging="720"/>
        <w:rPr>
          <w:noProof/>
          <w:szCs w:val="24"/>
        </w:rPr>
      </w:pPr>
      <w:r w:rsidRPr="00D26C28">
        <w:rPr>
          <w:noProof/>
          <w:szCs w:val="24"/>
          <w:lang w:val="en-AU"/>
        </w:rPr>
        <w:t>Clarke, R., De Silva, H., &amp; Thorley, S. (2016). Fundamentals of Efficient Factor Investing (corrected May 2017). </w:t>
      </w:r>
      <w:r w:rsidRPr="00D26C28">
        <w:rPr>
          <w:i/>
          <w:iCs/>
          <w:noProof/>
          <w:szCs w:val="24"/>
          <w:lang w:val="en-AU"/>
        </w:rPr>
        <w:t>Financial Analysts Journal</w:t>
      </w:r>
      <w:r w:rsidRPr="00D26C28">
        <w:rPr>
          <w:noProof/>
          <w:szCs w:val="24"/>
          <w:lang w:val="en-AU"/>
        </w:rPr>
        <w:t>, </w:t>
      </w:r>
      <w:r w:rsidRPr="00D26C28">
        <w:rPr>
          <w:i/>
          <w:iCs/>
          <w:noProof/>
          <w:szCs w:val="24"/>
          <w:lang w:val="en-AU"/>
        </w:rPr>
        <w:t>72</w:t>
      </w:r>
      <w:r w:rsidRPr="00D26C28">
        <w:rPr>
          <w:noProof/>
          <w:szCs w:val="24"/>
          <w:lang w:val="en-AU"/>
        </w:rPr>
        <w:t>(6), 9-26</w:t>
      </w:r>
      <w:r w:rsidR="00FD2F27" w:rsidRPr="00D26C28">
        <w:rPr>
          <w:noProof/>
          <w:szCs w:val="24"/>
        </w:rPr>
        <w:t xml:space="preserve"> </w:t>
      </w:r>
    </w:p>
    <w:p w14:paraId="5900BFA9" w14:textId="28977A4D" w:rsidR="00561FA2" w:rsidRPr="00D26C28" w:rsidRDefault="00561FA2" w:rsidP="008F4D34">
      <w:pPr>
        <w:pStyle w:val="EndNoteBibliography"/>
        <w:spacing w:before="0"/>
        <w:ind w:left="720" w:hanging="720"/>
        <w:rPr>
          <w:noProof/>
          <w:szCs w:val="24"/>
        </w:rPr>
      </w:pPr>
      <w:r w:rsidRPr="00D26C28">
        <w:rPr>
          <w:noProof/>
          <w:szCs w:val="24"/>
        </w:rPr>
        <w:t>Cummings, J. R., &amp; Frino, A. (2008). Tax effects on the pricing of Australian stock index futures. </w:t>
      </w:r>
      <w:r w:rsidRPr="00D26C28">
        <w:rPr>
          <w:i/>
          <w:iCs/>
          <w:noProof/>
          <w:szCs w:val="24"/>
        </w:rPr>
        <w:t>Australian Journal of Management</w:t>
      </w:r>
      <w:r w:rsidRPr="00D26C28">
        <w:rPr>
          <w:noProof/>
          <w:szCs w:val="24"/>
        </w:rPr>
        <w:t>, </w:t>
      </w:r>
      <w:r w:rsidRPr="00D26C28">
        <w:rPr>
          <w:i/>
          <w:iCs/>
          <w:noProof/>
          <w:szCs w:val="24"/>
        </w:rPr>
        <w:t>33</w:t>
      </w:r>
      <w:r w:rsidRPr="00D26C28">
        <w:rPr>
          <w:noProof/>
          <w:szCs w:val="24"/>
        </w:rPr>
        <w:t>(2), 391-406.</w:t>
      </w:r>
    </w:p>
    <w:p w14:paraId="63FFAF88" w14:textId="2AF0CD7A" w:rsidR="00FD2F27" w:rsidRPr="00D26C28" w:rsidRDefault="00FD2F27" w:rsidP="005945E9">
      <w:pPr>
        <w:spacing w:after="120"/>
        <w:ind w:left="720" w:hanging="720"/>
        <w:jc w:val="both"/>
        <w:rPr>
          <w:color w:val="222222"/>
          <w:shd w:val="clear" w:color="auto" w:fill="FFFFFF"/>
        </w:rPr>
      </w:pPr>
      <w:r w:rsidRPr="00D26C28">
        <w:rPr>
          <w:color w:val="222222"/>
          <w:shd w:val="clear" w:color="auto" w:fill="FFFFFF"/>
        </w:rPr>
        <w:t>DeMiguel, V., Garlappi, L., &amp; Uppal, R. (2007). Optimal versus naive diversification: How inefficient is the 1/N portfolio strategy?. </w:t>
      </w:r>
      <w:r w:rsidRPr="00D26C28">
        <w:rPr>
          <w:i/>
          <w:iCs/>
          <w:color w:val="222222"/>
          <w:shd w:val="clear" w:color="auto" w:fill="FFFFFF"/>
        </w:rPr>
        <w:t xml:space="preserve">The </w:t>
      </w:r>
      <w:r w:rsidR="00156BAA" w:rsidRPr="00D26C28">
        <w:rPr>
          <w:i/>
          <w:iCs/>
          <w:color w:val="222222"/>
          <w:shd w:val="clear" w:color="auto" w:fill="FFFFFF"/>
        </w:rPr>
        <w:t>R</w:t>
      </w:r>
      <w:r w:rsidRPr="00D26C28">
        <w:rPr>
          <w:i/>
          <w:iCs/>
          <w:color w:val="222222"/>
          <w:shd w:val="clear" w:color="auto" w:fill="FFFFFF"/>
        </w:rPr>
        <w:t>eview of Financial studies</w:t>
      </w:r>
      <w:r w:rsidRPr="00D26C28">
        <w:rPr>
          <w:color w:val="222222"/>
          <w:shd w:val="clear" w:color="auto" w:fill="FFFFFF"/>
        </w:rPr>
        <w:t>, </w:t>
      </w:r>
      <w:r w:rsidRPr="00D26C28">
        <w:rPr>
          <w:i/>
          <w:iCs/>
          <w:color w:val="222222"/>
          <w:shd w:val="clear" w:color="auto" w:fill="FFFFFF"/>
        </w:rPr>
        <w:t>22</w:t>
      </w:r>
      <w:r w:rsidRPr="00D26C28">
        <w:rPr>
          <w:color w:val="222222"/>
          <w:shd w:val="clear" w:color="auto" w:fill="FFFFFF"/>
        </w:rPr>
        <w:t>(5), 1915-1953.</w:t>
      </w:r>
    </w:p>
    <w:p w14:paraId="054407B2" w14:textId="52D400C5" w:rsidR="003C0BB8" w:rsidRPr="00D26C28" w:rsidRDefault="003C0BB8" w:rsidP="005945E9">
      <w:pPr>
        <w:spacing w:after="120"/>
        <w:ind w:left="720" w:hanging="720"/>
        <w:jc w:val="both"/>
      </w:pPr>
      <w:r w:rsidRPr="00D26C28">
        <w:t>Ghayur, K., Heaney, R., &amp; Platt, S. (2018). Constructing Long-Only Multifactor Strategies: Portfolio Blending vs. Signal Blending. </w:t>
      </w:r>
      <w:r w:rsidRPr="00D26C28">
        <w:rPr>
          <w:i/>
          <w:iCs/>
        </w:rPr>
        <w:t>Financial Analysts Journal</w:t>
      </w:r>
      <w:r w:rsidRPr="00D26C28">
        <w:t>, </w:t>
      </w:r>
      <w:r w:rsidRPr="00D26C28">
        <w:rPr>
          <w:i/>
          <w:iCs/>
        </w:rPr>
        <w:t>74</w:t>
      </w:r>
      <w:r w:rsidRPr="00D26C28">
        <w:t>(3), 70-85.</w:t>
      </w:r>
    </w:p>
    <w:p w14:paraId="2A2E572A" w14:textId="301BCBBB" w:rsidR="00911033" w:rsidRPr="00D26C28" w:rsidRDefault="00911033" w:rsidP="005945E9">
      <w:pPr>
        <w:spacing w:after="120"/>
        <w:ind w:left="720" w:hanging="720"/>
        <w:jc w:val="both"/>
      </w:pPr>
      <w:r w:rsidRPr="00D26C28">
        <w:t xml:space="preserve">Greis, M. (2018). </w:t>
      </w:r>
      <w:r w:rsidRPr="00D26C28">
        <w:rPr>
          <w:i/>
          <w:iCs/>
        </w:rPr>
        <w:t>Mainstreaming Sustainable Investing</w:t>
      </w:r>
      <w:r w:rsidRPr="00D26C28">
        <w:t>. CFA Institute Research Foundation.</w:t>
      </w:r>
    </w:p>
    <w:p w14:paraId="69D2A65B" w14:textId="7A9A36FC" w:rsidR="001B365B" w:rsidRPr="00D26C28" w:rsidRDefault="00FD2F27" w:rsidP="005945E9">
      <w:pPr>
        <w:pStyle w:val="EndNoteBibliography"/>
        <w:spacing w:before="0"/>
        <w:ind w:left="720" w:hanging="720"/>
        <w:rPr>
          <w:noProof/>
          <w:szCs w:val="24"/>
        </w:rPr>
      </w:pPr>
      <w:r w:rsidRPr="00D26C28">
        <w:rPr>
          <w:noProof/>
          <w:szCs w:val="24"/>
        </w:rPr>
        <w:t xml:space="preserve">Halbritter, G., &amp; Dorfleitner, G. (2015). The wages of social responsibility—where are they? A critical review of ESG investing. </w:t>
      </w:r>
      <w:r w:rsidRPr="00D26C28">
        <w:rPr>
          <w:i/>
          <w:iCs/>
          <w:noProof/>
          <w:szCs w:val="24"/>
        </w:rPr>
        <w:t>Review of Financial Economics</w:t>
      </w:r>
      <w:r w:rsidRPr="00D26C28">
        <w:rPr>
          <w:noProof/>
          <w:szCs w:val="24"/>
        </w:rPr>
        <w:t xml:space="preserve">, </w:t>
      </w:r>
      <w:r w:rsidRPr="00D26C28">
        <w:rPr>
          <w:i/>
          <w:iCs/>
          <w:noProof/>
          <w:szCs w:val="24"/>
        </w:rPr>
        <w:t>26</w:t>
      </w:r>
      <w:r w:rsidRPr="00D26C28">
        <w:rPr>
          <w:noProof/>
          <w:szCs w:val="24"/>
        </w:rPr>
        <w:t>(1), 25-35.</w:t>
      </w:r>
    </w:p>
    <w:p w14:paraId="093C5790" w14:textId="73FFF0F8" w:rsidR="009576AC" w:rsidRPr="00D26C28" w:rsidRDefault="009576AC" w:rsidP="005945E9">
      <w:pPr>
        <w:pStyle w:val="EndNoteBibliography"/>
        <w:spacing w:before="0"/>
        <w:ind w:left="720" w:hanging="720"/>
        <w:rPr>
          <w:noProof/>
          <w:szCs w:val="24"/>
        </w:rPr>
      </w:pPr>
      <w:r w:rsidRPr="00D26C28">
        <w:rPr>
          <w:noProof/>
          <w:szCs w:val="24"/>
          <w:lang w:val="en-AU"/>
        </w:rPr>
        <w:t>Henker, J., &amp; Henker, T. (2010). Are retail investors the culprits? Evidence from Australian individual stock price bubbles. </w:t>
      </w:r>
      <w:r w:rsidRPr="00D26C28">
        <w:rPr>
          <w:i/>
          <w:iCs/>
          <w:noProof/>
          <w:szCs w:val="24"/>
          <w:lang w:val="en-AU"/>
        </w:rPr>
        <w:t>The European Journal of Finance</w:t>
      </w:r>
      <w:r w:rsidRPr="00D26C28">
        <w:rPr>
          <w:noProof/>
          <w:szCs w:val="24"/>
          <w:lang w:val="en-AU"/>
        </w:rPr>
        <w:t>, </w:t>
      </w:r>
      <w:r w:rsidRPr="00D26C28">
        <w:rPr>
          <w:i/>
          <w:iCs/>
          <w:noProof/>
          <w:szCs w:val="24"/>
          <w:lang w:val="en-AU"/>
        </w:rPr>
        <w:t>16</w:t>
      </w:r>
      <w:r w:rsidRPr="00D26C28">
        <w:rPr>
          <w:noProof/>
          <w:szCs w:val="24"/>
          <w:lang w:val="en-AU"/>
        </w:rPr>
        <w:t>(4), 281-304</w:t>
      </w:r>
    </w:p>
    <w:p w14:paraId="06F777FF" w14:textId="1738C93F" w:rsidR="00FD2F27" w:rsidRPr="00D26C28" w:rsidRDefault="001B365B" w:rsidP="005945E9">
      <w:pPr>
        <w:pStyle w:val="EndNoteBibliography"/>
        <w:spacing w:before="0"/>
        <w:ind w:left="720" w:hanging="720"/>
        <w:rPr>
          <w:noProof/>
          <w:szCs w:val="24"/>
        </w:rPr>
      </w:pPr>
      <w:r w:rsidRPr="00D26C28">
        <w:rPr>
          <w:noProof/>
          <w:szCs w:val="24"/>
          <w:lang w:val="en-AU"/>
        </w:rPr>
        <w:t>Huynh, W., Mallik, G., &amp; Hettihewa, S. (2006). The impact of macroeconomic variables, demographic structure and compulsory superannuation on share prices: the case of Australia. </w:t>
      </w:r>
      <w:r w:rsidRPr="00D26C28">
        <w:rPr>
          <w:i/>
          <w:iCs/>
          <w:noProof/>
          <w:szCs w:val="24"/>
          <w:lang w:val="en-AU"/>
        </w:rPr>
        <w:t>Journal of International Business Studies</w:t>
      </w:r>
      <w:r w:rsidRPr="00D26C28">
        <w:rPr>
          <w:noProof/>
          <w:szCs w:val="24"/>
          <w:lang w:val="en-AU"/>
        </w:rPr>
        <w:t>, </w:t>
      </w:r>
      <w:r w:rsidRPr="00D26C28">
        <w:rPr>
          <w:i/>
          <w:iCs/>
          <w:noProof/>
          <w:szCs w:val="24"/>
          <w:lang w:val="en-AU"/>
        </w:rPr>
        <w:t>37</w:t>
      </w:r>
      <w:r w:rsidRPr="00D26C28">
        <w:rPr>
          <w:noProof/>
          <w:szCs w:val="24"/>
          <w:lang w:val="en-AU"/>
        </w:rPr>
        <w:t>(5), 687-698.</w:t>
      </w:r>
      <w:r w:rsidR="00FD2F27" w:rsidRPr="00D26C28">
        <w:rPr>
          <w:noProof/>
          <w:szCs w:val="24"/>
        </w:rPr>
        <w:t xml:space="preserve"> </w:t>
      </w:r>
    </w:p>
    <w:p w14:paraId="4C0768A7" w14:textId="77777777" w:rsidR="00FD2F27" w:rsidRPr="00D26C28" w:rsidRDefault="00FD2F27" w:rsidP="005945E9">
      <w:pPr>
        <w:pStyle w:val="EndNoteBibliography"/>
        <w:spacing w:before="0"/>
        <w:ind w:left="720" w:hanging="720"/>
        <w:rPr>
          <w:noProof/>
          <w:szCs w:val="24"/>
        </w:rPr>
      </w:pPr>
      <w:r w:rsidRPr="00D26C28">
        <w:rPr>
          <w:noProof/>
          <w:szCs w:val="24"/>
        </w:rPr>
        <w:t xml:space="preserve">Kaiser, L. (2018). </w:t>
      </w:r>
      <w:r w:rsidRPr="00D26C28">
        <w:rPr>
          <w:i/>
          <w:noProof/>
          <w:szCs w:val="24"/>
        </w:rPr>
        <w:t>ESG integration: Value, growth and momentum</w:t>
      </w:r>
      <w:r w:rsidRPr="00D26C28">
        <w:rPr>
          <w:noProof/>
          <w:szCs w:val="24"/>
        </w:rPr>
        <w:t xml:space="preserve">. Working Paper. University of Liechtenstein.  </w:t>
      </w:r>
    </w:p>
    <w:p w14:paraId="6F2ACD2D" w14:textId="174018E7" w:rsidR="00FD2F27" w:rsidRPr="00D26C28" w:rsidRDefault="00FD2F27" w:rsidP="005945E9">
      <w:pPr>
        <w:pStyle w:val="EndNoteBibliography"/>
        <w:spacing w:before="0"/>
        <w:ind w:left="720" w:hanging="720"/>
        <w:rPr>
          <w:noProof/>
          <w:szCs w:val="24"/>
        </w:rPr>
      </w:pPr>
      <w:r w:rsidRPr="00D26C28">
        <w:rPr>
          <w:noProof/>
          <w:szCs w:val="24"/>
        </w:rPr>
        <w:t xml:space="preserve">Lee, D. D., Fan, J. H., &amp; Wong, V. (2018). </w:t>
      </w:r>
      <w:r w:rsidRPr="00D26C28">
        <w:rPr>
          <w:i/>
          <w:noProof/>
          <w:szCs w:val="24"/>
        </w:rPr>
        <w:t>No more excuses! Performance of ESG integrated portfolios in Australia</w:t>
      </w:r>
      <w:r w:rsidRPr="00D26C28">
        <w:rPr>
          <w:noProof/>
          <w:szCs w:val="24"/>
        </w:rPr>
        <w:t xml:space="preserve">. Working Paper. Griffith University.  </w:t>
      </w:r>
    </w:p>
    <w:p w14:paraId="11081190" w14:textId="49C3AC9C" w:rsidR="003C0BB8" w:rsidRPr="00D26C28" w:rsidRDefault="003C0BB8" w:rsidP="005945E9">
      <w:pPr>
        <w:pStyle w:val="EndNoteBibliography"/>
        <w:spacing w:before="0"/>
        <w:ind w:left="720" w:hanging="720"/>
        <w:rPr>
          <w:noProof/>
          <w:szCs w:val="24"/>
        </w:rPr>
      </w:pPr>
      <w:r w:rsidRPr="00D26C28">
        <w:rPr>
          <w:noProof/>
          <w:szCs w:val="24"/>
          <w:lang w:val="en-AU"/>
        </w:rPr>
        <w:t>Lester, A. (2019). On the Theory and Practice of Multifactor Portfolios. </w:t>
      </w:r>
      <w:r w:rsidRPr="00D26C28">
        <w:rPr>
          <w:i/>
          <w:iCs/>
          <w:noProof/>
          <w:szCs w:val="24"/>
          <w:lang w:val="en-AU"/>
        </w:rPr>
        <w:t>The Journal of Portfolio Management</w:t>
      </w:r>
      <w:r w:rsidRPr="00D26C28">
        <w:rPr>
          <w:noProof/>
          <w:szCs w:val="24"/>
          <w:lang w:val="en-AU"/>
        </w:rPr>
        <w:t>, </w:t>
      </w:r>
      <w:r w:rsidRPr="00D26C28">
        <w:rPr>
          <w:i/>
          <w:iCs/>
          <w:noProof/>
          <w:szCs w:val="24"/>
          <w:lang w:val="en-AU"/>
        </w:rPr>
        <w:t>45</w:t>
      </w:r>
      <w:r w:rsidRPr="00D26C28">
        <w:rPr>
          <w:noProof/>
          <w:szCs w:val="24"/>
          <w:lang w:val="en-AU"/>
        </w:rPr>
        <w:t>(3), 87-100.</w:t>
      </w:r>
    </w:p>
    <w:p w14:paraId="0BACB959" w14:textId="0539CB16" w:rsidR="00FD2F27" w:rsidRPr="00D26C28" w:rsidRDefault="00FD2F27" w:rsidP="005945E9">
      <w:pPr>
        <w:pStyle w:val="EndNoteBibliography"/>
        <w:spacing w:before="0"/>
        <w:ind w:left="720" w:hanging="720"/>
        <w:rPr>
          <w:noProof/>
          <w:szCs w:val="24"/>
        </w:rPr>
      </w:pPr>
      <w:r w:rsidRPr="00D26C28">
        <w:rPr>
          <w:noProof/>
          <w:szCs w:val="24"/>
        </w:rPr>
        <w:lastRenderedPageBreak/>
        <w:t xml:space="preserve">Limkriangkrai, M., Koh, S., &amp; Durand, R. B. (2017). Environmental, social, and governance (ESG) profiles, stock returns, and financial policy: Australian evidence. </w:t>
      </w:r>
      <w:r w:rsidRPr="00D26C28">
        <w:rPr>
          <w:i/>
          <w:noProof/>
          <w:szCs w:val="24"/>
        </w:rPr>
        <w:t>International Review of Finance, 17</w:t>
      </w:r>
      <w:r w:rsidRPr="00D26C28">
        <w:rPr>
          <w:noProof/>
          <w:szCs w:val="24"/>
        </w:rPr>
        <w:t xml:space="preserve">(3), 461-471. </w:t>
      </w:r>
    </w:p>
    <w:p w14:paraId="6D28E3F4" w14:textId="54BE04FF" w:rsidR="00B8188A" w:rsidRPr="00D26C28" w:rsidRDefault="006B6CB5" w:rsidP="00B8188A">
      <w:pPr>
        <w:pStyle w:val="EndNoteBibliography"/>
        <w:spacing w:after="0"/>
        <w:ind w:left="720" w:hanging="720"/>
        <w:rPr>
          <w:i/>
          <w:iCs/>
          <w:noProof/>
          <w:szCs w:val="24"/>
        </w:rPr>
      </w:pPr>
      <w:bookmarkStart w:id="7" w:name="_Hlk31971619"/>
      <w:r w:rsidRPr="00D26C28">
        <w:rPr>
          <w:noProof/>
          <w:szCs w:val="24"/>
        </w:rPr>
        <w:t>Lins, K. V., Servaes, H., &amp; Tamayo, A. (2017). Social capital, trust, and firm performance: The value of corporate social responsibility during the financial crisis. </w:t>
      </w:r>
      <w:r w:rsidRPr="00D26C28">
        <w:rPr>
          <w:i/>
          <w:iCs/>
          <w:noProof/>
          <w:szCs w:val="24"/>
        </w:rPr>
        <w:t>The Journal of Finance, 72(4), 1785-1824.</w:t>
      </w:r>
    </w:p>
    <w:bookmarkEnd w:id="7"/>
    <w:p w14:paraId="17E5B32F" w14:textId="77F15DC5" w:rsidR="00B8188A" w:rsidRPr="00B8188A" w:rsidRDefault="00B8188A" w:rsidP="00B8188A">
      <w:pPr>
        <w:pStyle w:val="EndNoteBibliography"/>
        <w:spacing w:after="0"/>
        <w:ind w:left="720" w:hanging="720"/>
        <w:rPr>
          <w:noProof/>
          <w:szCs w:val="24"/>
        </w:rPr>
      </w:pPr>
      <w:r w:rsidRPr="00D26C28">
        <w:rPr>
          <w:noProof/>
          <w:szCs w:val="24"/>
        </w:rPr>
        <w:t xml:space="preserve">Pedersen, L. H., Fitzgibbons, S., &amp; Pomorski, L. (2019). </w:t>
      </w:r>
      <w:r w:rsidRPr="00D26C28">
        <w:rPr>
          <w:i/>
          <w:iCs/>
          <w:noProof/>
          <w:szCs w:val="24"/>
        </w:rPr>
        <w:t>Responsible investing: The ESG-efficient frontier</w:t>
      </w:r>
      <w:r w:rsidRPr="00D26C28">
        <w:rPr>
          <w:noProof/>
          <w:szCs w:val="24"/>
        </w:rPr>
        <w:t>. </w:t>
      </w:r>
      <w:r w:rsidR="004A2E33" w:rsidRPr="00D26C28">
        <w:rPr>
          <w:noProof/>
          <w:szCs w:val="24"/>
        </w:rPr>
        <w:t>Working paper. AQR capital management.</w:t>
      </w:r>
    </w:p>
    <w:p w14:paraId="4F4AB1D0" w14:textId="77777777" w:rsidR="00B8188A" w:rsidRPr="00B8188A" w:rsidRDefault="00B8188A" w:rsidP="00B8188A">
      <w:pPr>
        <w:pStyle w:val="EndNoteBibliography"/>
        <w:spacing w:after="0"/>
        <w:rPr>
          <w:noProof/>
          <w:szCs w:val="24"/>
        </w:rPr>
      </w:pPr>
    </w:p>
    <w:p w14:paraId="51DCDE88" w14:textId="77777777" w:rsidR="006B6CB5" w:rsidRPr="005457AC" w:rsidRDefault="006B6CB5" w:rsidP="00FD2F27">
      <w:pPr>
        <w:pStyle w:val="EndNoteBibliography"/>
        <w:spacing w:after="0"/>
        <w:ind w:left="720" w:hanging="720"/>
        <w:rPr>
          <w:i/>
          <w:iCs/>
          <w:noProof/>
          <w:szCs w:val="24"/>
        </w:rPr>
      </w:pPr>
    </w:p>
    <w:p w14:paraId="557C435A" w14:textId="5F3B6B0D" w:rsidR="00FD2F27" w:rsidRDefault="00FD2F27">
      <w:pPr>
        <w:rPr>
          <w:color w:val="000000" w:themeColor="text1"/>
          <w:sz w:val="22"/>
          <w:szCs w:val="22"/>
        </w:rPr>
      </w:pPr>
    </w:p>
    <w:p w14:paraId="0586B6CE" w14:textId="77777777" w:rsidR="00FD2F27" w:rsidRPr="0035380D" w:rsidRDefault="00FD2F27">
      <w:pPr>
        <w:rPr>
          <w:color w:val="000000" w:themeColor="text1"/>
          <w:sz w:val="22"/>
          <w:szCs w:val="22"/>
        </w:rPr>
      </w:pPr>
    </w:p>
    <w:sectPr w:rsidR="00FD2F27" w:rsidRPr="0035380D" w:rsidSect="003538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8D694" w14:textId="77777777" w:rsidR="00860EF7" w:rsidRDefault="00860EF7" w:rsidP="005457AC">
      <w:r>
        <w:separator/>
      </w:r>
    </w:p>
  </w:endnote>
  <w:endnote w:type="continuationSeparator" w:id="0">
    <w:p w14:paraId="24BF2F47" w14:textId="77777777" w:rsidR="00860EF7" w:rsidRDefault="00860EF7" w:rsidP="00545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5348157"/>
      <w:docPartObj>
        <w:docPartGallery w:val="Page Numbers (Bottom of Page)"/>
        <w:docPartUnique/>
      </w:docPartObj>
    </w:sdtPr>
    <w:sdtEndPr>
      <w:rPr>
        <w:noProof/>
      </w:rPr>
    </w:sdtEndPr>
    <w:sdtContent>
      <w:p w14:paraId="015151DF" w14:textId="5A28E438" w:rsidR="008811A8" w:rsidRDefault="008811A8" w:rsidP="005945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0310A" w14:textId="77777777" w:rsidR="00860EF7" w:rsidRDefault="00860EF7" w:rsidP="005457AC">
      <w:r>
        <w:separator/>
      </w:r>
    </w:p>
  </w:footnote>
  <w:footnote w:type="continuationSeparator" w:id="0">
    <w:p w14:paraId="39D10A2A" w14:textId="77777777" w:rsidR="00860EF7" w:rsidRDefault="00860EF7" w:rsidP="00545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87A29"/>
    <w:multiLevelType w:val="multilevel"/>
    <w:tmpl w:val="A66E77BE"/>
    <w:lvl w:ilvl="0">
      <w:start w:val="1"/>
      <w:numFmt w:val="decimal"/>
      <w:lvlText w:val="%1."/>
      <w:lvlJc w:val="left"/>
      <w:pPr>
        <w:tabs>
          <w:tab w:val="num" w:pos="720"/>
        </w:tabs>
        <w:ind w:left="720" w:hanging="720"/>
      </w:pPr>
    </w:lvl>
    <w:lvl w:ilvl="1">
      <w:start w:val="1"/>
      <w:numFmt w:val="decimal"/>
      <w:pStyle w:val="Heading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8A3"/>
    <w:rsid w:val="000134D2"/>
    <w:rsid w:val="000165C6"/>
    <w:rsid w:val="000343E3"/>
    <w:rsid w:val="00043A3A"/>
    <w:rsid w:val="00046137"/>
    <w:rsid w:val="0004679B"/>
    <w:rsid w:val="00046E27"/>
    <w:rsid w:val="000553F9"/>
    <w:rsid w:val="00080B2C"/>
    <w:rsid w:val="00095CCD"/>
    <w:rsid w:val="000D66D0"/>
    <w:rsid w:val="001143C5"/>
    <w:rsid w:val="0012644C"/>
    <w:rsid w:val="00126EC2"/>
    <w:rsid w:val="001363C4"/>
    <w:rsid w:val="00156BAA"/>
    <w:rsid w:val="00165D72"/>
    <w:rsid w:val="00175A72"/>
    <w:rsid w:val="00180B9F"/>
    <w:rsid w:val="00182AA1"/>
    <w:rsid w:val="0018673B"/>
    <w:rsid w:val="00195F6A"/>
    <w:rsid w:val="001B365B"/>
    <w:rsid w:val="001B48A3"/>
    <w:rsid w:val="001D13AB"/>
    <w:rsid w:val="001E469E"/>
    <w:rsid w:val="001F71B3"/>
    <w:rsid w:val="00200F6C"/>
    <w:rsid w:val="00253CAF"/>
    <w:rsid w:val="00255C84"/>
    <w:rsid w:val="00264F6D"/>
    <w:rsid w:val="00266AAC"/>
    <w:rsid w:val="00270B0D"/>
    <w:rsid w:val="00273086"/>
    <w:rsid w:val="00274C84"/>
    <w:rsid w:val="00287D16"/>
    <w:rsid w:val="00291178"/>
    <w:rsid w:val="002945B5"/>
    <w:rsid w:val="00294D63"/>
    <w:rsid w:val="0029626D"/>
    <w:rsid w:val="002A3A46"/>
    <w:rsid w:val="002A78A8"/>
    <w:rsid w:val="002B064A"/>
    <w:rsid w:val="002B21B9"/>
    <w:rsid w:val="002B4F03"/>
    <w:rsid w:val="002C1D66"/>
    <w:rsid w:val="00302280"/>
    <w:rsid w:val="00303924"/>
    <w:rsid w:val="00313157"/>
    <w:rsid w:val="003206CD"/>
    <w:rsid w:val="00322BF9"/>
    <w:rsid w:val="00330B1E"/>
    <w:rsid w:val="003313A0"/>
    <w:rsid w:val="003355D5"/>
    <w:rsid w:val="0035380D"/>
    <w:rsid w:val="0036434F"/>
    <w:rsid w:val="00367149"/>
    <w:rsid w:val="00375B30"/>
    <w:rsid w:val="003C0BB8"/>
    <w:rsid w:val="003C14AC"/>
    <w:rsid w:val="003E60A3"/>
    <w:rsid w:val="00430670"/>
    <w:rsid w:val="004359BA"/>
    <w:rsid w:val="00441260"/>
    <w:rsid w:val="004444B2"/>
    <w:rsid w:val="00446DA5"/>
    <w:rsid w:val="004772AB"/>
    <w:rsid w:val="0048435D"/>
    <w:rsid w:val="004A2E33"/>
    <w:rsid w:val="004C4BE7"/>
    <w:rsid w:val="004F2B83"/>
    <w:rsid w:val="004F641A"/>
    <w:rsid w:val="0050365D"/>
    <w:rsid w:val="005457AC"/>
    <w:rsid w:val="00546E8D"/>
    <w:rsid w:val="00561FA2"/>
    <w:rsid w:val="00573666"/>
    <w:rsid w:val="00586174"/>
    <w:rsid w:val="005945E9"/>
    <w:rsid w:val="005D20F4"/>
    <w:rsid w:val="005D5F22"/>
    <w:rsid w:val="005E27A1"/>
    <w:rsid w:val="005E7683"/>
    <w:rsid w:val="005F0FF1"/>
    <w:rsid w:val="005F1F0E"/>
    <w:rsid w:val="006103AE"/>
    <w:rsid w:val="0061133E"/>
    <w:rsid w:val="006132B7"/>
    <w:rsid w:val="00615F76"/>
    <w:rsid w:val="006166A2"/>
    <w:rsid w:val="00623632"/>
    <w:rsid w:val="00635053"/>
    <w:rsid w:val="00636AAE"/>
    <w:rsid w:val="00637280"/>
    <w:rsid w:val="00655F4C"/>
    <w:rsid w:val="00657E7E"/>
    <w:rsid w:val="00660845"/>
    <w:rsid w:val="0066659A"/>
    <w:rsid w:val="00671AB0"/>
    <w:rsid w:val="00675644"/>
    <w:rsid w:val="006762D2"/>
    <w:rsid w:val="00684468"/>
    <w:rsid w:val="00692033"/>
    <w:rsid w:val="006B6CB5"/>
    <w:rsid w:val="006C54B8"/>
    <w:rsid w:val="007003E4"/>
    <w:rsid w:val="00706AD8"/>
    <w:rsid w:val="00716B38"/>
    <w:rsid w:val="00721843"/>
    <w:rsid w:val="00741E35"/>
    <w:rsid w:val="0076055A"/>
    <w:rsid w:val="00767770"/>
    <w:rsid w:val="007716D0"/>
    <w:rsid w:val="00771882"/>
    <w:rsid w:val="00773A90"/>
    <w:rsid w:val="00780D5A"/>
    <w:rsid w:val="007B641A"/>
    <w:rsid w:val="007D3769"/>
    <w:rsid w:val="007E651E"/>
    <w:rsid w:val="008046C0"/>
    <w:rsid w:val="00804941"/>
    <w:rsid w:val="00807701"/>
    <w:rsid w:val="008533F0"/>
    <w:rsid w:val="00860EF7"/>
    <w:rsid w:val="008614B7"/>
    <w:rsid w:val="00870BE4"/>
    <w:rsid w:val="00880CF8"/>
    <w:rsid w:val="008811A8"/>
    <w:rsid w:val="00887815"/>
    <w:rsid w:val="008A3259"/>
    <w:rsid w:val="008C1951"/>
    <w:rsid w:val="008D5469"/>
    <w:rsid w:val="008F0EA4"/>
    <w:rsid w:val="008F4D34"/>
    <w:rsid w:val="008F4D46"/>
    <w:rsid w:val="009050A1"/>
    <w:rsid w:val="00907D7A"/>
    <w:rsid w:val="00911033"/>
    <w:rsid w:val="00913D23"/>
    <w:rsid w:val="00922212"/>
    <w:rsid w:val="00922B27"/>
    <w:rsid w:val="00924B8D"/>
    <w:rsid w:val="00925B34"/>
    <w:rsid w:val="009337A5"/>
    <w:rsid w:val="00943781"/>
    <w:rsid w:val="00945C02"/>
    <w:rsid w:val="0095135A"/>
    <w:rsid w:val="00951A16"/>
    <w:rsid w:val="00954FB4"/>
    <w:rsid w:val="00955732"/>
    <w:rsid w:val="009576AC"/>
    <w:rsid w:val="00960084"/>
    <w:rsid w:val="009721B8"/>
    <w:rsid w:val="009731D7"/>
    <w:rsid w:val="00995AA8"/>
    <w:rsid w:val="009A686C"/>
    <w:rsid w:val="009B334C"/>
    <w:rsid w:val="009B5BF4"/>
    <w:rsid w:val="009C7219"/>
    <w:rsid w:val="009D000A"/>
    <w:rsid w:val="009D30E0"/>
    <w:rsid w:val="009D4587"/>
    <w:rsid w:val="00A121CA"/>
    <w:rsid w:val="00A151EC"/>
    <w:rsid w:val="00A17D4F"/>
    <w:rsid w:val="00A27F95"/>
    <w:rsid w:val="00A611E0"/>
    <w:rsid w:val="00A67B2D"/>
    <w:rsid w:val="00A82793"/>
    <w:rsid w:val="00A9548A"/>
    <w:rsid w:val="00AA09D6"/>
    <w:rsid w:val="00AB500C"/>
    <w:rsid w:val="00AB6CD0"/>
    <w:rsid w:val="00AD1168"/>
    <w:rsid w:val="00AE0A08"/>
    <w:rsid w:val="00AE594D"/>
    <w:rsid w:val="00AF3075"/>
    <w:rsid w:val="00AF6A69"/>
    <w:rsid w:val="00B16A41"/>
    <w:rsid w:val="00B4232B"/>
    <w:rsid w:val="00B539A6"/>
    <w:rsid w:val="00B561D8"/>
    <w:rsid w:val="00B6548B"/>
    <w:rsid w:val="00B76E0E"/>
    <w:rsid w:val="00B80102"/>
    <w:rsid w:val="00B8188A"/>
    <w:rsid w:val="00BA0CE5"/>
    <w:rsid w:val="00BA496D"/>
    <w:rsid w:val="00BD466E"/>
    <w:rsid w:val="00BE0EBF"/>
    <w:rsid w:val="00BE1FDE"/>
    <w:rsid w:val="00C1643F"/>
    <w:rsid w:val="00C23457"/>
    <w:rsid w:val="00C238AC"/>
    <w:rsid w:val="00C37E5C"/>
    <w:rsid w:val="00C47707"/>
    <w:rsid w:val="00C47D60"/>
    <w:rsid w:val="00C57BE3"/>
    <w:rsid w:val="00C97C6C"/>
    <w:rsid w:val="00CA42C1"/>
    <w:rsid w:val="00CA7D6E"/>
    <w:rsid w:val="00CA7F9A"/>
    <w:rsid w:val="00D00A68"/>
    <w:rsid w:val="00D23F71"/>
    <w:rsid w:val="00D26C28"/>
    <w:rsid w:val="00D31571"/>
    <w:rsid w:val="00D42689"/>
    <w:rsid w:val="00D8264A"/>
    <w:rsid w:val="00D91365"/>
    <w:rsid w:val="00D92F16"/>
    <w:rsid w:val="00D96E49"/>
    <w:rsid w:val="00DC04D6"/>
    <w:rsid w:val="00DC2655"/>
    <w:rsid w:val="00DD72A4"/>
    <w:rsid w:val="00DE0E4A"/>
    <w:rsid w:val="00DF52C0"/>
    <w:rsid w:val="00E1420E"/>
    <w:rsid w:val="00E40598"/>
    <w:rsid w:val="00E56164"/>
    <w:rsid w:val="00E709D7"/>
    <w:rsid w:val="00E76955"/>
    <w:rsid w:val="00E76B70"/>
    <w:rsid w:val="00E90F41"/>
    <w:rsid w:val="00EA1D66"/>
    <w:rsid w:val="00EB4D4D"/>
    <w:rsid w:val="00EC0549"/>
    <w:rsid w:val="00EC4234"/>
    <w:rsid w:val="00EE2782"/>
    <w:rsid w:val="00F00DCB"/>
    <w:rsid w:val="00F0503A"/>
    <w:rsid w:val="00F16224"/>
    <w:rsid w:val="00F17488"/>
    <w:rsid w:val="00F175FD"/>
    <w:rsid w:val="00F24A35"/>
    <w:rsid w:val="00F40FCD"/>
    <w:rsid w:val="00F41D46"/>
    <w:rsid w:val="00F46208"/>
    <w:rsid w:val="00F5299A"/>
    <w:rsid w:val="00F70589"/>
    <w:rsid w:val="00F76167"/>
    <w:rsid w:val="00F95706"/>
    <w:rsid w:val="00FA444A"/>
    <w:rsid w:val="00FB2306"/>
    <w:rsid w:val="00FC2D69"/>
    <w:rsid w:val="00FD2F27"/>
    <w:rsid w:val="00FD727D"/>
    <w:rsid w:val="00FE5B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24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188A"/>
    <w:rPr>
      <w:rFonts w:ascii="Times New Roman" w:eastAsia="Times New Roman" w:hAnsi="Times New Roman" w:cs="Times New Roman"/>
      <w:lang w:val="en-AU" w:eastAsia="en-GB"/>
    </w:rPr>
  </w:style>
  <w:style w:type="paragraph" w:styleId="Heading1">
    <w:name w:val="heading 1"/>
    <w:basedOn w:val="Normal"/>
    <w:next w:val="Normal"/>
    <w:link w:val="Heading1Char"/>
    <w:autoRedefine/>
    <w:uiPriority w:val="9"/>
    <w:qFormat/>
    <w:rsid w:val="001B48A3"/>
    <w:pPr>
      <w:keepNext/>
      <w:keepLines/>
      <w:numPr>
        <w:ilvl w:val="1"/>
        <w:numId w:val="1"/>
      </w:numPr>
      <w:spacing w:before="120" w:after="120"/>
      <w:ind w:left="357" w:hanging="357"/>
      <w:jc w:val="both"/>
      <w:outlineLvl w:val="0"/>
    </w:pPr>
    <w:rPr>
      <w:rFonts w:eastAsiaTheme="majorEastAsia"/>
      <w:b/>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8A3"/>
    <w:rPr>
      <w:rFonts w:ascii="Times New Roman" w:eastAsiaTheme="majorEastAsia" w:hAnsi="Times New Roman" w:cs="Times New Roman"/>
      <w:b/>
      <w:lang w:val="en-US" w:eastAsia="zh-CN"/>
    </w:rPr>
  </w:style>
  <w:style w:type="paragraph" w:styleId="ListParagraph">
    <w:name w:val="List Paragraph"/>
    <w:basedOn w:val="Normal"/>
    <w:uiPriority w:val="34"/>
    <w:qFormat/>
    <w:rsid w:val="001B48A3"/>
    <w:pPr>
      <w:ind w:left="720"/>
      <w:contextualSpacing/>
    </w:pPr>
    <w:rPr>
      <w:rFonts w:asciiTheme="minorHAnsi" w:eastAsiaTheme="minorHAnsi" w:hAnsiTheme="minorHAnsi" w:cstheme="minorBidi"/>
      <w:lang w:val="en-GB" w:eastAsia="en-US"/>
    </w:rPr>
  </w:style>
  <w:style w:type="paragraph" w:customStyle="1" w:styleId="m2893546895986280586msofootnotetext">
    <w:name w:val="m_2893546895986280586msofootnotetext"/>
    <w:basedOn w:val="Normal"/>
    <w:rsid w:val="00A17D4F"/>
    <w:pPr>
      <w:spacing w:before="100" w:beforeAutospacing="1" w:after="100" w:afterAutospacing="1"/>
    </w:pPr>
    <w:rPr>
      <w:rFonts w:eastAsiaTheme="minorHAnsi"/>
      <w:lang w:val="en-GB"/>
    </w:rPr>
  </w:style>
  <w:style w:type="paragraph" w:customStyle="1" w:styleId="m2893546895986280586msolistparagraph">
    <w:name w:val="m_2893546895986280586msolistparagraph"/>
    <w:basedOn w:val="Normal"/>
    <w:rsid w:val="00A17D4F"/>
    <w:pPr>
      <w:spacing w:before="100" w:beforeAutospacing="1" w:after="100" w:afterAutospacing="1"/>
    </w:pPr>
    <w:rPr>
      <w:rFonts w:eastAsiaTheme="minorHAnsi"/>
      <w:lang w:val="en-GB"/>
    </w:rPr>
  </w:style>
  <w:style w:type="paragraph" w:customStyle="1" w:styleId="EndNoteBibliography">
    <w:name w:val="EndNote Bibliography"/>
    <w:basedOn w:val="Normal"/>
    <w:link w:val="EndNoteBibliographyChar"/>
    <w:rsid w:val="00FD2F27"/>
    <w:pPr>
      <w:spacing w:before="120" w:after="120"/>
      <w:jc w:val="both"/>
    </w:pPr>
    <w:rPr>
      <w:szCs w:val="22"/>
      <w:lang w:val="en-US" w:eastAsia="en-US"/>
    </w:rPr>
  </w:style>
  <w:style w:type="character" w:customStyle="1" w:styleId="EndNoteBibliographyChar">
    <w:name w:val="EndNote Bibliography Char"/>
    <w:basedOn w:val="DefaultParagraphFont"/>
    <w:link w:val="EndNoteBibliography"/>
    <w:rsid w:val="00FD2F27"/>
    <w:rPr>
      <w:rFonts w:ascii="Times New Roman" w:eastAsia="Times New Roman" w:hAnsi="Times New Roman" w:cs="Times New Roman"/>
      <w:szCs w:val="22"/>
      <w:lang w:val="en-US"/>
    </w:rPr>
  </w:style>
  <w:style w:type="paragraph" w:styleId="Header">
    <w:name w:val="header"/>
    <w:basedOn w:val="Normal"/>
    <w:link w:val="HeaderChar"/>
    <w:uiPriority w:val="99"/>
    <w:unhideWhenUsed/>
    <w:rsid w:val="005457AC"/>
    <w:pPr>
      <w:tabs>
        <w:tab w:val="center" w:pos="4513"/>
        <w:tab w:val="right" w:pos="9026"/>
      </w:tabs>
    </w:pPr>
  </w:style>
  <w:style w:type="character" w:customStyle="1" w:styleId="HeaderChar">
    <w:name w:val="Header Char"/>
    <w:basedOn w:val="DefaultParagraphFont"/>
    <w:link w:val="Header"/>
    <w:uiPriority w:val="99"/>
    <w:rsid w:val="005457AC"/>
    <w:rPr>
      <w:rFonts w:ascii="Times New Roman" w:eastAsia="Times New Roman" w:hAnsi="Times New Roman" w:cs="Times New Roman"/>
      <w:lang w:val="en-AU" w:eastAsia="en-GB"/>
    </w:rPr>
  </w:style>
  <w:style w:type="paragraph" w:styleId="Footer">
    <w:name w:val="footer"/>
    <w:basedOn w:val="Normal"/>
    <w:link w:val="FooterChar"/>
    <w:uiPriority w:val="99"/>
    <w:unhideWhenUsed/>
    <w:rsid w:val="005457AC"/>
    <w:pPr>
      <w:tabs>
        <w:tab w:val="center" w:pos="4513"/>
        <w:tab w:val="right" w:pos="9026"/>
      </w:tabs>
    </w:pPr>
  </w:style>
  <w:style w:type="character" w:customStyle="1" w:styleId="FooterChar">
    <w:name w:val="Footer Char"/>
    <w:basedOn w:val="DefaultParagraphFont"/>
    <w:link w:val="Footer"/>
    <w:uiPriority w:val="99"/>
    <w:rsid w:val="005457AC"/>
    <w:rPr>
      <w:rFonts w:ascii="Times New Roman" w:eastAsia="Times New Roman" w:hAnsi="Times New Roman" w:cs="Times New Roman"/>
      <w:lang w:val="en-AU" w:eastAsia="en-GB"/>
    </w:rPr>
  </w:style>
  <w:style w:type="character" w:styleId="Hyperlink">
    <w:name w:val="Hyperlink"/>
    <w:basedOn w:val="DefaultParagraphFont"/>
    <w:uiPriority w:val="99"/>
    <w:unhideWhenUsed/>
    <w:rsid w:val="008F4D34"/>
    <w:rPr>
      <w:color w:val="0000FF"/>
      <w:u w:val="single"/>
    </w:rPr>
  </w:style>
  <w:style w:type="character" w:styleId="FollowedHyperlink">
    <w:name w:val="FollowedHyperlink"/>
    <w:basedOn w:val="DefaultParagraphFont"/>
    <w:uiPriority w:val="99"/>
    <w:semiHidden/>
    <w:unhideWhenUsed/>
    <w:rsid w:val="008F4D34"/>
    <w:rPr>
      <w:color w:val="954F72" w:themeColor="followedHyperlink"/>
      <w:u w:val="single"/>
    </w:rPr>
  </w:style>
  <w:style w:type="character" w:styleId="UnresolvedMention">
    <w:name w:val="Unresolved Mention"/>
    <w:basedOn w:val="DefaultParagraphFont"/>
    <w:uiPriority w:val="99"/>
    <w:rsid w:val="008F4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4956">
      <w:bodyDiv w:val="1"/>
      <w:marLeft w:val="0"/>
      <w:marRight w:val="0"/>
      <w:marTop w:val="0"/>
      <w:marBottom w:val="0"/>
      <w:divBdr>
        <w:top w:val="none" w:sz="0" w:space="0" w:color="auto"/>
        <w:left w:val="none" w:sz="0" w:space="0" w:color="auto"/>
        <w:bottom w:val="none" w:sz="0" w:space="0" w:color="auto"/>
        <w:right w:val="none" w:sz="0" w:space="0" w:color="auto"/>
      </w:divBdr>
    </w:div>
    <w:div w:id="129439152">
      <w:bodyDiv w:val="1"/>
      <w:marLeft w:val="0"/>
      <w:marRight w:val="0"/>
      <w:marTop w:val="0"/>
      <w:marBottom w:val="0"/>
      <w:divBdr>
        <w:top w:val="none" w:sz="0" w:space="0" w:color="auto"/>
        <w:left w:val="none" w:sz="0" w:space="0" w:color="auto"/>
        <w:bottom w:val="none" w:sz="0" w:space="0" w:color="auto"/>
        <w:right w:val="none" w:sz="0" w:space="0" w:color="auto"/>
      </w:divBdr>
    </w:div>
    <w:div w:id="206529221">
      <w:bodyDiv w:val="1"/>
      <w:marLeft w:val="0"/>
      <w:marRight w:val="0"/>
      <w:marTop w:val="0"/>
      <w:marBottom w:val="0"/>
      <w:divBdr>
        <w:top w:val="none" w:sz="0" w:space="0" w:color="auto"/>
        <w:left w:val="none" w:sz="0" w:space="0" w:color="auto"/>
        <w:bottom w:val="none" w:sz="0" w:space="0" w:color="auto"/>
        <w:right w:val="none" w:sz="0" w:space="0" w:color="auto"/>
      </w:divBdr>
    </w:div>
    <w:div w:id="286350612">
      <w:bodyDiv w:val="1"/>
      <w:marLeft w:val="0"/>
      <w:marRight w:val="0"/>
      <w:marTop w:val="0"/>
      <w:marBottom w:val="0"/>
      <w:divBdr>
        <w:top w:val="none" w:sz="0" w:space="0" w:color="auto"/>
        <w:left w:val="none" w:sz="0" w:space="0" w:color="auto"/>
        <w:bottom w:val="none" w:sz="0" w:space="0" w:color="auto"/>
        <w:right w:val="none" w:sz="0" w:space="0" w:color="auto"/>
      </w:divBdr>
    </w:div>
    <w:div w:id="327832487">
      <w:bodyDiv w:val="1"/>
      <w:marLeft w:val="0"/>
      <w:marRight w:val="0"/>
      <w:marTop w:val="0"/>
      <w:marBottom w:val="0"/>
      <w:divBdr>
        <w:top w:val="none" w:sz="0" w:space="0" w:color="auto"/>
        <w:left w:val="none" w:sz="0" w:space="0" w:color="auto"/>
        <w:bottom w:val="none" w:sz="0" w:space="0" w:color="auto"/>
        <w:right w:val="none" w:sz="0" w:space="0" w:color="auto"/>
      </w:divBdr>
    </w:div>
    <w:div w:id="711078842">
      <w:bodyDiv w:val="1"/>
      <w:marLeft w:val="0"/>
      <w:marRight w:val="0"/>
      <w:marTop w:val="0"/>
      <w:marBottom w:val="0"/>
      <w:divBdr>
        <w:top w:val="none" w:sz="0" w:space="0" w:color="auto"/>
        <w:left w:val="none" w:sz="0" w:space="0" w:color="auto"/>
        <w:bottom w:val="none" w:sz="0" w:space="0" w:color="auto"/>
        <w:right w:val="none" w:sz="0" w:space="0" w:color="auto"/>
      </w:divBdr>
    </w:div>
    <w:div w:id="830216530">
      <w:bodyDiv w:val="1"/>
      <w:marLeft w:val="0"/>
      <w:marRight w:val="0"/>
      <w:marTop w:val="0"/>
      <w:marBottom w:val="0"/>
      <w:divBdr>
        <w:top w:val="none" w:sz="0" w:space="0" w:color="auto"/>
        <w:left w:val="none" w:sz="0" w:space="0" w:color="auto"/>
        <w:bottom w:val="none" w:sz="0" w:space="0" w:color="auto"/>
        <w:right w:val="none" w:sz="0" w:space="0" w:color="auto"/>
      </w:divBdr>
    </w:div>
    <w:div w:id="861674590">
      <w:bodyDiv w:val="1"/>
      <w:marLeft w:val="0"/>
      <w:marRight w:val="0"/>
      <w:marTop w:val="0"/>
      <w:marBottom w:val="0"/>
      <w:divBdr>
        <w:top w:val="none" w:sz="0" w:space="0" w:color="auto"/>
        <w:left w:val="none" w:sz="0" w:space="0" w:color="auto"/>
        <w:bottom w:val="none" w:sz="0" w:space="0" w:color="auto"/>
        <w:right w:val="none" w:sz="0" w:space="0" w:color="auto"/>
      </w:divBdr>
    </w:div>
    <w:div w:id="1086347490">
      <w:bodyDiv w:val="1"/>
      <w:marLeft w:val="0"/>
      <w:marRight w:val="0"/>
      <w:marTop w:val="0"/>
      <w:marBottom w:val="0"/>
      <w:divBdr>
        <w:top w:val="none" w:sz="0" w:space="0" w:color="auto"/>
        <w:left w:val="none" w:sz="0" w:space="0" w:color="auto"/>
        <w:bottom w:val="none" w:sz="0" w:space="0" w:color="auto"/>
        <w:right w:val="none" w:sz="0" w:space="0" w:color="auto"/>
      </w:divBdr>
    </w:div>
    <w:div w:id="1230193725">
      <w:bodyDiv w:val="1"/>
      <w:marLeft w:val="0"/>
      <w:marRight w:val="0"/>
      <w:marTop w:val="0"/>
      <w:marBottom w:val="0"/>
      <w:divBdr>
        <w:top w:val="none" w:sz="0" w:space="0" w:color="auto"/>
        <w:left w:val="none" w:sz="0" w:space="0" w:color="auto"/>
        <w:bottom w:val="none" w:sz="0" w:space="0" w:color="auto"/>
        <w:right w:val="none" w:sz="0" w:space="0" w:color="auto"/>
      </w:divBdr>
    </w:div>
    <w:div w:id="1655404170">
      <w:bodyDiv w:val="1"/>
      <w:marLeft w:val="0"/>
      <w:marRight w:val="0"/>
      <w:marTop w:val="0"/>
      <w:marBottom w:val="0"/>
      <w:divBdr>
        <w:top w:val="none" w:sz="0" w:space="0" w:color="auto"/>
        <w:left w:val="none" w:sz="0" w:space="0" w:color="auto"/>
        <w:bottom w:val="none" w:sz="0" w:space="0" w:color="auto"/>
        <w:right w:val="none" w:sz="0" w:space="0" w:color="auto"/>
      </w:divBdr>
    </w:div>
    <w:div w:id="1683049076">
      <w:bodyDiv w:val="1"/>
      <w:marLeft w:val="0"/>
      <w:marRight w:val="0"/>
      <w:marTop w:val="0"/>
      <w:marBottom w:val="0"/>
      <w:divBdr>
        <w:top w:val="none" w:sz="0" w:space="0" w:color="auto"/>
        <w:left w:val="none" w:sz="0" w:space="0" w:color="auto"/>
        <w:bottom w:val="none" w:sz="0" w:space="0" w:color="auto"/>
        <w:right w:val="none" w:sz="0" w:space="0" w:color="auto"/>
      </w:divBdr>
    </w:div>
    <w:div w:id="1714233169">
      <w:bodyDiv w:val="1"/>
      <w:marLeft w:val="0"/>
      <w:marRight w:val="0"/>
      <w:marTop w:val="0"/>
      <w:marBottom w:val="0"/>
      <w:divBdr>
        <w:top w:val="none" w:sz="0" w:space="0" w:color="auto"/>
        <w:left w:val="none" w:sz="0" w:space="0" w:color="auto"/>
        <w:bottom w:val="none" w:sz="0" w:space="0" w:color="auto"/>
        <w:right w:val="none" w:sz="0" w:space="0" w:color="auto"/>
      </w:divBdr>
    </w:div>
    <w:div w:id="1766457699">
      <w:bodyDiv w:val="1"/>
      <w:marLeft w:val="0"/>
      <w:marRight w:val="0"/>
      <w:marTop w:val="0"/>
      <w:marBottom w:val="0"/>
      <w:divBdr>
        <w:top w:val="none" w:sz="0" w:space="0" w:color="auto"/>
        <w:left w:val="none" w:sz="0" w:space="0" w:color="auto"/>
        <w:bottom w:val="none" w:sz="0" w:space="0" w:color="auto"/>
        <w:right w:val="none" w:sz="0" w:space="0" w:color="auto"/>
      </w:divBdr>
    </w:div>
    <w:div w:id="1807894614">
      <w:bodyDiv w:val="1"/>
      <w:marLeft w:val="0"/>
      <w:marRight w:val="0"/>
      <w:marTop w:val="0"/>
      <w:marBottom w:val="0"/>
      <w:divBdr>
        <w:top w:val="none" w:sz="0" w:space="0" w:color="auto"/>
        <w:left w:val="none" w:sz="0" w:space="0" w:color="auto"/>
        <w:bottom w:val="none" w:sz="0" w:space="0" w:color="auto"/>
        <w:right w:val="none" w:sz="0" w:space="0" w:color="auto"/>
      </w:divBdr>
    </w:div>
    <w:div w:id="1929654076">
      <w:bodyDiv w:val="1"/>
      <w:marLeft w:val="0"/>
      <w:marRight w:val="0"/>
      <w:marTop w:val="0"/>
      <w:marBottom w:val="0"/>
      <w:divBdr>
        <w:top w:val="none" w:sz="0" w:space="0" w:color="auto"/>
        <w:left w:val="none" w:sz="0" w:space="0" w:color="auto"/>
        <w:bottom w:val="none" w:sz="0" w:space="0" w:color="auto"/>
        <w:right w:val="none" w:sz="0" w:space="0" w:color="auto"/>
      </w:divBdr>
    </w:div>
    <w:div w:id="2006545176">
      <w:bodyDiv w:val="1"/>
      <w:marLeft w:val="0"/>
      <w:marRight w:val="0"/>
      <w:marTop w:val="0"/>
      <w:marBottom w:val="0"/>
      <w:divBdr>
        <w:top w:val="none" w:sz="0" w:space="0" w:color="auto"/>
        <w:left w:val="none" w:sz="0" w:space="0" w:color="auto"/>
        <w:bottom w:val="none" w:sz="0" w:space="0" w:color="auto"/>
        <w:right w:val="none" w:sz="0" w:space="0" w:color="auto"/>
      </w:divBdr>
      <w:divsChild>
        <w:div w:id="281156257">
          <w:marLeft w:val="0"/>
          <w:marRight w:val="0"/>
          <w:marTop w:val="0"/>
          <w:marBottom w:val="0"/>
          <w:divBdr>
            <w:top w:val="none" w:sz="0" w:space="0" w:color="auto"/>
            <w:left w:val="none" w:sz="0" w:space="0" w:color="auto"/>
            <w:bottom w:val="none" w:sz="0" w:space="0" w:color="auto"/>
            <w:right w:val="none" w:sz="0" w:space="0" w:color="auto"/>
          </w:divBdr>
        </w:div>
        <w:div w:id="716512373">
          <w:marLeft w:val="0"/>
          <w:marRight w:val="0"/>
          <w:marTop w:val="0"/>
          <w:marBottom w:val="0"/>
          <w:divBdr>
            <w:top w:val="none" w:sz="0" w:space="0" w:color="auto"/>
            <w:left w:val="none" w:sz="0" w:space="0" w:color="auto"/>
            <w:bottom w:val="none" w:sz="0" w:space="0" w:color="auto"/>
            <w:right w:val="none" w:sz="0" w:space="0" w:color="auto"/>
          </w:divBdr>
        </w:div>
        <w:div w:id="1276987951">
          <w:marLeft w:val="0"/>
          <w:marRight w:val="0"/>
          <w:marTop w:val="0"/>
          <w:marBottom w:val="0"/>
          <w:divBdr>
            <w:top w:val="none" w:sz="0" w:space="0" w:color="auto"/>
            <w:left w:val="none" w:sz="0" w:space="0" w:color="auto"/>
            <w:bottom w:val="none" w:sz="0" w:space="0" w:color="auto"/>
            <w:right w:val="none" w:sz="0" w:space="0" w:color="auto"/>
          </w:divBdr>
        </w:div>
        <w:div w:id="2092851717">
          <w:marLeft w:val="0"/>
          <w:marRight w:val="0"/>
          <w:marTop w:val="0"/>
          <w:marBottom w:val="0"/>
          <w:divBdr>
            <w:top w:val="none" w:sz="0" w:space="0" w:color="auto"/>
            <w:left w:val="none" w:sz="0" w:space="0" w:color="auto"/>
            <w:bottom w:val="none" w:sz="0" w:space="0" w:color="auto"/>
            <w:right w:val="none" w:sz="0" w:space="0" w:color="auto"/>
          </w:divBdr>
        </w:div>
      </w:divsChild>
    </w:div>
    <w:div w:id="2026905944">
      <w:bodyDiv w:val="1"/>
      <w:marLeft w:val="0"/>
      <w:marRight w:val="0"/>
      <w:marTop w:val="0"/>
      <w:marBottom w:val="0"/>
      <w:divBdr>
        <w:top w:val="none" w:sz="0" w:space="0" w:color="auto"/>
        <w:left w:val="none" w:sz="0" w:space="0" w:color="auto"/>
        <w:bottom w:val="none" w:sz="0" w:space="0" w:color="auto"/>
        <w:right w:val="none" w:sz="0" w:space="0" w:color="auto"/>
      </w:divBdr>
    </w:div>
    <w:div w:id="2075930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red.stlouisfed.org/series/AUSRECM" TargetMode="External"/><Relationship Id="rId18" Type="http://schemas.openxmlformats.org/officeDocument/2006/relationships/hyperlink" Target="https://www.asx.com.au/documents/resources/australian-share-ownership-study-201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www.usinflationcalculator.com/inflation/consumer-price-index-and-annual-percent-changes-from-1913-to-2008/" TargetMode="External"/><Relationship Id="rId2" Type="http://schemas.openxmlformats.org/officeDocument/2006/relationships/numbering" Target="numbering.xml"/><Relationship Id="rId16" Type="http://schemas.openxmlformats.org/officeDocument/2006/relationships/hyperlink" Target="https://www.rba.gov.au/inflation/measures-cp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fred.stlouisfed.org/series/USARECD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VictoriaGraham\Downloads\01to09ES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sers\VictoriaGraham\Downloads\01to09ESG.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VictoriaGraham\Downloads\01to09ES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lockie\Downloads\AUSRECM.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John%20Fan\Dropbox\Work\1.Research\1.Projects\Active\ESG\SFI\Submissions\IREF\R1\Infl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GB" i="0"/>
              <a:t>I</a:t>
            </a:r>
            <a:r>
              <a:rPr lang="en-GB" i="1"/>
              <a:t>A</a:t>
            </a:r>
            <a:r>
              <a:rPr lang="en-GB"/>
              <a:t>. Returns</a:t>
            </a:r>
          </a:p>
        </c:rich>
      </c:tx>
      <c:layout>
        <c:manualLayout>
          <c:xMode val="edge"/>
          <c:yMode val="edge"/>
          <c:x val="0.4341568875793053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9.4219410360306011E-2"/>
          <c:y val="8.6674233825198621E-2"/>
          <c:w val="0.90390107678772569"/>
          <c:h val="0.87905810351905067"/>
        </c:manualLayout>
      </c:layout>
      <c:barChart>
        <c:barDir val="col"/>
        <c:grouping val="clustered"/>
        <c:varyColors val="0"/>
        <c:ser>
          <c:idx val="0"/>
          <c:order val="0"/>
          <c:tx>
            <c:strRef>
              <c:f>Sheet1!$I$2</c:f>
              <c:strCache>
                <c:ptCount val="1"/>
                <c:pt idx="0">
                  <c:v>Quality</c:v>
                </c:pt>
              </c:strCache>
            </c:strRef>
          </c:tx>
          <c:spPr>
            <a:solidFill>
              <a:schemeClr val="accent1"/>
            </a:solidFill>
            <a:ln>
              <a:noFill/>
            </a:ln>
            <a:effectLst/>
          </c:spPr>
          <c:invertIfNegative val="0"/>
          <c:cat>
            <c:numRef>
              <c:f>Sheet1!$H$3:$H$11</c:f>
              <c:numCache>
                <c:formatCode>0.00%</c:formatCode>
                <c:ptCount val="9"/>
                <c:pt idx="0">
                  <c:v>0.1</c:v>
                </c:pt>
                <c:pt idx="1">
                  <c:v>0.2</c:v>
                </c:pt>
                <c:pt idx="2">
                  <c:v>0.3</c:v>
                </c:pt>
                <c:pt idx="3">
                  <c:v>0.4</c:v>
                </c:pt>
                <c:pt idx="4">
                  <c:v>0.5</c:v>
                </c:pt>
                <c:pt idx="5">
                  <c:v>0.6</c:v>
                </c:pt>
                <c:pt idx="6">
                  <c:v>0.7</c:v>
                </c:pt>
                <c:pt idx="7">
                  <c:v>0.8</c:v>
                </c:pt>
                <c:pt idx="8">
                  <c:v>0.9</c:v>
                </c:pt>
              </c:numCache>
            </c:numRef>
          </c:cat>
          <c:val>
            <c:numRef>
              <c:f>Sheet1!$I$3:$I$11</c:f>
              <c:numCache>
                <c:formatCode>0.00%</c:formatCode>
                <c:ptCount val="9"/>
                <c:pt idx="0">
                  <c:v>1.52E-2</c:v>
                </c:pt>
                <c:pt idx="1">
                  <c:v>1.5800000000000002E-2</c:v>
                </c:pt>
                <c:pt idx="2">
                  <c:v>1.8700000000000001E-2</c:v>
                </c:pt>
                <c:pt idx="3">
                  <c:v>1.9199999999999998E-2</c:v>
                </c:pt>
                <c:pt idx="4">
                  <c:v>1.52E-2</c:v>
                </c:pt>
                <c:pt idx="5">
                  <c:v>1.3599999999999999E-2</c:v>
                </c:pt>
                <c:pt idx="6">
                  <c:v>1.12E-2</c:v>
                </c:pt>
                <c:pt idx="7">
                  <c:v>1.11E-2</c:v>
                </c:pt>
                <c:pt idx="8">
                  <c:v>1.34E-2</c:v>
                </c:pt>
              </c:numCache>
            </c:numRef>
          </c:val>
          <c:extLst>
            <c:ext xmlns:c16="http://schemas.microsoft.com/office/drawing/2014/chart" uri="{C3380CC4-5D6E-409C-BE32-E72D297353CC}">
              <c16:uniqueId val="{00000000-FDC9-7A4C-8FBC-04CE0CFC4BA6}"/>
            </c:ext>
          </c:extLst>
        </c:ser>
        <c:ser>
          <c:idx val="1"/>
          <c:order val="1"/>
          <c:tx>
            <c:strRef>
              <c:f>Sheet1!$J$2</c:f>
              <c:strCache>
                <c:ptCount val="1"/>
                <c:pt idx="0">
                  <c:v>Minimum Volatility</c:v>
                </c:pt>
              </c:strCache>
            </c:strRef>
          </c:tx>
          <c:spPr>
            <a:solidFill>
              <a:schemeClr val="accent2"/>
            </a:solidFill>
            <a:ln>
              <a:noFill/>
            </a:ln>
            <a:effectLst/>
          </c:spPr>
          <c:invertIfNegative val="0"/>
          <c:cat>
            <c:numRef>
              <c:f>Sheet1!$H$3:$H$11</c:f>
              <c:numCache>
                <c:formatCode>0.00%</c:formatCode>
                <c:ptCount val="9"/>
                <c:pt idx="0">
                  <c:v>0.1</c:v>
                </c:pt>
                <c:pt idx="1">
                  <c:v>0.2</c:v>
                </c:pt>
                <c:pt idx="2">
                  <c:v>0.3</c:v>
                </c:pt>
                <c:pt idx="3">
                  <c:v>0.4</c:v>
                </c:pt>
                <c:pt idx="4">
                  <c:v>0.5</c:v>
                </c:pt>
                <c:pt idx="5">
                  <c:v>0.6</c:v>
                </c:pt>
                <c:pt idx="6">
                  <c:v>0.7</c:v>
                </c:pt>
                <c:pt idx="7">
                  <c:v>0.8</c:v>
                </c:pt>
                <c:pt idx="8">
                  <c:v>0.9</c:v>
                </c:pt>
              </c:numCache>
            </c:numRef>
          </c:cat>
          <c:val>
            <c:numRef>
              <c:f>Sheet1!$J$3:$J$11</c:f>
              <c:numCache>
                <c:formatCode>0.00%</c:formatCode>
                <c:ptCount val="9"/>
                <c:pt idx="0">
                  <c:v>5.3E-3</c:v>
                </c:pt>
                <c:pt idx="1">
                  <c:v>5.3E-3</c:v>
                </c:pt>
                <c:pt idx="2">
                  <c:v>4.7999999999999996E-3</c:v>
                </c:pt>
                <c:pt idx="3">
                  <c:v>4.3E-3</c:v>
                </c:pt>
                <c:pt idx="4">
                  <c:v>7.3000000000000001E-3</c:v>
                </c:pt>
                <c:pt idx="5">
                  <c:v>2E-3</c:v>
                </c:pt>
                <c:pt idx="6">
                  <c:v>-2.5000000000000001E-3</c:v>
                </c:pt>
                <c:pt idx="7">
                  <c:v>0</c:v>
                </c:pt>
                <c:pt idx="8">
                  <c:v>-5.0000000000000001E-4</c:v>
                </c:pt>
              </c:numCache>
            </c:numRef>
          </c:val>
          <c:extLst>
            <c:ext xmlns:c16="http://schemas.microsoft.com/office/drawing/2014/chart" uri="{C3380CC4-5D6E-409C-BE32-E72D297353CC}">
              <c16:uniqueId val="{00000001-FDC9-7A4C-8FBC-04CE0CFC4BA6}"/>
            </c:ext>
          </c:extLst>
        </c:ser>
        <c:ser>
          <c:idx val="2"/>
          <c:order val="2"/>
          <c:tx>
            <c:strRef>
              <c:f>Sheet1!$K$2</c:f>
              <c:strCache>
                <c:ptCount val="1"/>
                <c:pt idx="0">
                  <c:v>Momentum</c:v>
                </c:pt>
              </c:strCache>
            </c:strRef>
          </c:tx>
          <c:spPr>
            <a:solidFill>
              <a:schemeClr val="accent3"/>
            </a:solidFill>
            <a:ln>
              <a:noFill/>
            </a:ln>
            <a:effectLst/>
          </c:spPr>
          <c:invertIfNegative val="0"/>
          <c:cat>
            <c:numRef>
              <c:f>Sheet1!$H$3:$H$11</c:f>
              <c:numCache>
                <c:formatCode>0.00%</c:formatCode>
                <c:ptCount val="9"/>
                <c:pt idx="0">
                  <c:v>0.1</c:v>
                </c:pt>
                <c:pt idx="1">
                  <c:v>0.2</c:v>
                </c:pt>
                <c:pt idx="2">
                  <c:v>0.3</c:v>
                </c:pt>
                <c:pt idx="3">
                  <c:v>0.4</c:v>
                </c:pt>
                <c:pt idx="4">
                  <c:v>0.5</c:v>
                </c:pt>
                <c:pt idx="5">
                  <c:v>0.6</c:v>
                </c:pt>
                <c:pt idx="6">
                  <c:v>0.7</c:v>
                </c:pt>
                <c:pt idx="7">
                  <c:v>0.8</c:v>
                </c:pt>
                <c:pt idx="8">
                  <c:v>0.9</c:v>
                </c:pt>
              </c:numCache>
            </c:numRef>
          </c:cat>
          <c:val>
            <c:numRef>
              <c:f>Sheet1!$K$3:$K$11</c:f>
              <c:numCache>
                <c:formatCode>0.00%</c:formatCode>
                <c:ptCount val="9"/>
                <c:pt idx="0">
                  <c:v>1.0500000000000001E-2</c:v>
                </c:pt>
                <c:pt idx="1">
                  <c:v>9.4999999999999998E-3</c:v>
                </c:pt>
                <c:pt idx="2">
                  <c:v>1.0500000000000001E-2</c:v>
                </c:pt>
                <c:pt idx="3">
                  <c:v>1.15E-2</c:v>
                </c:pt>
                <c:pt idx="4">
                  <c:v>1.55E-2</c:v>
                </c:pt>
                <c:pt idx="5">
                  <c:v>1.8499999999999999E-2</c:v>
                </c:pt>
                <c:pt idx="6">
                  <c:v>1.84E-2</c:v>
                </c:pt>
                <c:pt idx="7">
                  <c:v>1.46E-2</c:v>
                </c:pt>
                <c:pt idx="8">
                  <c:v>1.77E-2</c:v>
                </c:pt>
              </c:numCache>
            </c:numRef>
          </c:val>
          <c:extLst>
            <c:ext xmlns:c16="http://schemas.microsoft.com/office/drawing/2014/chart" uri="{C3380CC4-5D6E-409C-BE32-E72D297353CC}">
              <c16:uniqueId val="{00000002-FDC9-7A4C-8FBC-04CE0CFC4BA6}"/>
            </c:ext>
          </c:extLst>
        </c:ser>
        <c:ser>
          <c:idx val="3"/>
          <c:order val="3"/>
          <c:tx>
            <c:strRef>
              <c:f>Sheet1!$L$2</c:f>
              <c:strCache>
                <c:ptCount val="1"/>
                <c:pt idx="0">
                  <c:v>Value</c:v>
                </c:pt>
              </c:strCache>
            </c:strRef>
          </c:tx>
          <c:spPr>
            <a:solidFill>
              <a:schemeClr val="accent4"/>
            </a:solidFill>
            <a:ln>
              <a:noFill/>
            </a:ln>
            <a:effectLst/>
          </c:spPr>
          <c:invertIfNegative val="0"/>
          <c:cat>
            <c:numRef>
              <c:f>Sheet1!$H$3:$H$11</c:f>
              <c:numCache>
                <c:formatCode>0.00%</c:formatCode>
                <c:ptCount val="9"/>
                <c:pt idx="0">
                  <c:v>0.1</c:v>
                </c:pt>
                <c:pt idx="1">
                  <c:v>0.2</c:v>
                </c:pt>
                <c:pt idx="2">
                  <c:v>0.3</c:v>
                </c:pt>
                <c:pt idx="3">
                  <c:v>0.4</c:v>
                </c:pt>
                <c:pt idx="4">
                  <c:v>0.5</c:v>
                </c:pt>
                <c:pt idx="5">
                  <c:v>0.6</c:v>
                </c:pt>
                <c:pt idx="6">
                  <c:v>0.7</c:v>
                </c:pt>
                <c:pt idx="7">
                  <c:v>0.8</c:v>
                </c:pt>
                <c:pt idx="8">
                  <c:v>0.9</c:v>
                </c:pt>
              </c:numCache>
            </c:numRef>
          </c:cat>
          <c:val>
            <c:numRef>
              <c:f>Sheet1!$L$3:$L$11</c:f>
              <c:numCache>
                <c:formatCode>0.00%</c:formatCode>
                <c:ptCount val="9"/>
                <c:pt idx="0">
                  <c:v>7.1999999999999998E-3</c:v>
                </c:pt>
                <c:pt idx="1">
                  <c:v>6.1000000000000004E-3</c:v>
                </c:pt>
                <c:pt idx="2">
                  <c:v>4.5999999999999999E-3</c:v>
                </c:pt>
                <c:pt idx="3">
                  <c:v>3.7000000000000002E-3</c:v>
                </c:pt>
                <c:pt idx="4">
                  <c:v>2E-3</c:v>
                </c:pt>
                <c:pt idx="5">
                  <c:v>3.2000000000000002E-3</c:v>
                </c:pt>
                <c:pt idx="6">
                  <c:v>-1E-4</c:v>
                </c:pt>
                <c:pt idx="7">
                  <c:v>5.9999999999999995E-4</c:v>
                </c:pt>
                <c:pt idx="8">
                  <c:v>-1.1000000000000001E-3</c:v>
                </c:pt>
              </c:numCache>
            </c:numRef>
          </c:val>
          <c:extLst>
            <c:ext xmlns:c16="http://schemas.microsoft.com/office/drawing/2014/chart" uri="{C3380CC4-5D6E-409C-BE32-E72D297353CC}">
              <c16:uniqueId val="{00000003-FDC9-7A4C-8FBC-04CE0CFC4BA6}"/>
            </c:ext>
          </c:extLst>
        </c:ser>
        <c:ser>
          <c:idx val="4"/>
          <c:order val="4"/>
          <c:tx>
            <c:strRef>
              <c:f>Sheet1!$M$2</c:f>
              <c:strCache>
                <c:ptCount val="1"/>
                <c:pt idx="0">
                  <c:v>Size</c:v>
                </c:pt>
              </c:strCache>
            </c:strRef>
          </c:tx>
          <c:spPr>
            <a:solidFill>
              <a:schemeClr val="accent5"/>
            </a:solidFill>
            <a:ln>
              <a:noFill/>
            </a:ln>
            <a:effectLst/>
          </c:spPr>
          <c:invertIfNegative val="0"/>
          <c:cat>
            <c:numRef>
              <c:f>Sheet1!$H$3:$H$11</c:f>
              <c:numCache>
                <c:formatCode>0.00%</c:formatCode>
                <c:ptCount val="9"/>
                <c:pt idx="0">
                  <c:v>0.1</c:v>
                </c:pt>
                <c:pt idx="1">
                  <c:v>0.2</c:v>
                </c:pt>
                <c:pt idx="2">
                  <c:v>0.3</c:v>
                </c:pt>
                <c:pt idx="3">
                  <c:v>0.4</c:v>
                </c:pt>
                <c:pt idx="4">
                  <c:v>0.5</c:v>
                </c:pt>
                <c:pt idx="5">
                  <c:v>0.6</c:v>
                </c:pt>
                <c:pt idx="6">
                  <c:v>0.7</c:v>
                </c:pt>
                <c:pt idx="7">
                  <c:v>0.8</c:v>
                </c:pt>
                <c:pt idx="8">
                  <c:v>0.9</c:v>
                </c:pt>
              </c:numCache>
            </c:numRef>
          </c:cat>
          <c:val>
            <c:numRef>
              <c:f>Sheet1!$M$3:$M$11</c:f>
              <c:numCache>
                <c:formatCode>0.00%</c:formatCode>
                <c:ptCount val="9"/>
                <c:pt idx="0">
                  <c:v>1.2200000000000001E-2</c:v>
                </c:pt>
                <c:pt idx="1">
                  <c:v>1.2699999999999999E-2</c:v>
                </c:pt>
                <c:pt idx="2">
                  <c:v>1.23E-2</c:v>
                </c:pt>
                <c:pt idx="3">
                  <c:v>1.2E-2</c:v>
                </c:pt>
                <c:pt idx="4">
                  <c:v>1.2E-2</c:v>
                </c:pt>
                <c:pt idx="5">
                  <c:v>1.2699999999999999E-2</c:v>
                </c:pt>
                <c:pt idx="6">
                  <c:v>1.18E-2</c:v>
                </c:pt>
                <c:pt idx="7">
                  <c:v>1.2200000000000001E-2</c:v>
                </c:pt>
                <c:pt idx="8">
                  <c:v>1.14E-2</c:v>
                </c:pt>
              </c:numCache>
            </c:numRef>
          </c:val>
          <c:extLst>
            <c:ext xmlns:c16="http://schemas.microsoft.com/office/drawing/2014/chart" uri="{C3380CC4-5D6E-409C-BE32-E72D297353CC}">
              <c16:uniqueId val="{00000004-FDC9-7A4C-8FBC-04CE0CFC4BA6}"/>
            </c:ext>
          </c:extLst>
        </c:ser>
        <c:dLbls>
          <c:showLegendKey val="0"/>
          <c:showVal val="0"/>
          <c:showCatName val="0"/>
          <c:showSerName val="0"/>
          <c:showPercent val="0"/>
          <c:showBubbleSize val="0"/>
        </c:dLbls>
        <c:gapWidth val="219"/>
        <c:overlap val="-27"/>
        <c:axId val="113104848"/>
        <c:axId val="113107040"/>
      </c:barChart>
      <c:catAx>
        <c:axId val="113104848"/>
        <c:scaling>
          <c:orientation val="minMax"/>
        </c:scaling>
        <c:delete val="0"/>
        <c:axPos val="b"/>
        <c:numFmt formatCode="0%" sourceLinked="0"/>
        <c:majorTickMark val="none"/>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3107040"/>
        <c:crosses val="autoZero"/>
        <c:auto val="1"/>
        <c:lblAlgn val="ctr"/>
        <c:lblOffset val="100"/>
        <c:noMultiLvlLbl val="0"/>
      </c:catAx>
      <c:valAx>
        <c:axId val="1131070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GB"/>
                  <a:t>Returns (Monthly)</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3104848"/>
        <c:crosses val="autoZero"/>
        <c:crossBetween val="between"/>
      </c:valAx>
      <c:spPr>
        <a:noFill/>
        <a:ln w="6350">
          <a:solidFill>
            <a:schemeClr val="tx1"/>
          </a:solidFill>
        </a:ln>
        <a:effectLst/>
      </c:spPr>
    </c:plotArea>
    <c:legend>
      <c:legendPos val="t"/>
      <c:layout>
        <c:manualLayout>
          <c:xMode val="edge"/>
          <c:yMode val="edge"/>
          <c:x val="0.16867813232327059"/>
          <c:y val="8.6275576050231284E-2"/>
          <c:w val="0.75874253562944838"/>
          <c:h val="7.9976863081688249E-2"/>
        </c:manualLayout>
      </c:layout>
      <c:overlay val="0"/>
      <c:spPr>
        <a:noFill/>
        <a:ln w="6350">
          <a:solidFill>
            <a:schemeClr val="tx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GB"/>
              <a:t>I</a:t>
            </a:r>
            <a:r>
              <a:rPr lang="en-GB" i="1"/>
              <a:t>B</a:t>
            </a:r>
            <a:r>
              <a:rPr lang="en-GB"/>
              <a:t>. </a:t>
            </a:r>
            <a:r>
              <a:rPr lang="en-GB" i="1"/>
              <a:t>t</a:t>
            </a:r>
            <a:r>
              <a:rPr lang="en-GB"/>
              <a:t>-statistics</a:t>
            </a:r>
          </a:p>
        </c:rich>
      </c:tx>
      <c:layout>
        <c:manualLayout>
          <c:xMode val="edge"/>
          <c:yMode val="edge"/>
          <c:x val="0.41972925554117058"/>
          <c:y val="2.764976958525345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9.3732269315392178E-2"/>
          <c:y val="0.12055633875459891"/>
          <c:w val="0.89653557456261346"/>
          <c:h val="0.83618711962314751"/>
        </c:manualLayout>
      </c:layout>
      <c:barChart>
        <c:barDir val="col"/>
        <c:grouping val="clustered"/>
        <c:varyColors val="0"/>
        <c:ser>
          <c:idx val="0"/>
          <c:order val="0"/>
          <c:tx>
            <c:strRef>
              <c:f>Sheet1!$I$13</c:f>
              <c:strCache>
                <c:ptCount val="1"/>
                <c:pt idx="0">
                  <c:v>Quality</c:v>
                </c:pt>
              </c:strCache>
            </c:strRef>
          </c:tx>
          <c:spPr>
            <a:solidFill>
              <a:schemeClr val="accent1"/>
            </a:solidFill>
            <a:ln>
              <a:noFill/>
            </a:ln>
            <a:effectLst/>
          </c:spPr>
          <c:invertIfNegative val="0"/>
          <c:cat>
            <c:numRef>
              <c:f>Sheet1!$H$14:$H$22</c:f>
              <c:numCache>
                <c:formatCode>0.00%</c:formatCode>
                <c:ptCount val="9"/>
                <c:pt idx="0">
                  <c:v>0.1</c:v>
                </c:pt>
                <c:pt idx="1">
                  <c:v>0.2</c:v>
                </c:pt>
                <c:pt idx="2">
                  <c:v>0.3</c:v>
                </c:pt>
                <c:pt idx="3">
                  <c:v>0.4</c:v>
                </c:pt>
                <c:pt idx="4">
                  <c:v>0.5</c:v>
                </c:pt>
                <c:pt idx="5">
                  <c:v>0.6</c:v>
                </c:pt>
                <c:pt idx="6">
                  <c:v>0.7</c:v>
                </c:pt>
                <c:pt idx="7">
                  <c:v>0.8</c:v>
                </c:pt>
                <c:pt idx="8">
                  <c:v>0.9</c:v>
                </c:pt>
              </c:numCache>
            </c:numRef>
          </c:cat>
          <c:val>
            <c:numRef>
              <c:f>Sheet1!$I$14:$I$22</c:f>
              <c:numCache>
                <c:formatCode>0.00</c:formatCode>
                <c:ptCount val="9"/>
                <c:pt idx="0">
                  <c:v>2.48</c:v>
                </c:pt>
                <c:pt idx="1">
                  <c:v>2.6</c:v>
                </c:pt>
                <c:pt idx="2">
                  <c:v>3.16</c:v>
                </c:pt>
                <c:pt idx="3">
                  <c:v>3.41</c:v>
                </c:pt>
                <c:pt idx="4">
                  <c:v>2.58</c:v>
                </c:pt>
                <c:pt idx="5">
                  <c:v>2.4700000000000002</c:v>
                </c:pt>
                <c:pt idx="6">
                  <c:v>2.16</c:v>
                </c:pt>
                <c:pt idx="7">
                  <c:v>2.3199999999999981</c:v>
                </c:pt>
                <c:pt idx="8">
                  <c:v>2.9</c:v>
                </c:pt>
              </c:numCache>
            </c:numRef>
          </c:val>
          <c:extLst>
            <c:ext xmlns:c16="http://schemas.microsoft.com/office/drawing/2014/chart" uri="{C3380CC4-5D6E-409C-BE32-E72D297353CC}">
              <c16:uniqueId val="{00000000-C813-B343-BE39-96D5F08A1EB7}"/>
            </c:ext>
          </c:extLst>
        </c:ser>
        <c:ser>
          <c:idx val="1"/>
          <c:order val="1"/>
          <c:tx>
            <c:strRef>
              <c:f>Sheet1!$J$13</c:f>
              <c:strCache>
                <c:ptCount val="1"/>
                <c:pt idx="0">
                  <c:v>Minimum Volatility</c:v>
                </c:pt>
              </c:strCache>
            </c:strRef>
          </c:tx>
          <c:spPr>
            <a:solidFill>
              <a:schemeClr val="accent2"/>
            </a:solidFill>
            <a:ln>
              <a:noFill/>
            </a:ln>
            <a:effectLst/>
          </c:spPr>
          <c:invertIfNegative val="0"/>
          <c:cat>
            <c:numRef>
              <c:f>Sheet1!$H$14:$H$22</c:f>
              <c:numCache>
                <c:formatCode>0.00%</c:formatCode>
                <c:ptCount val="9"/>
                <c:pt idx="0">
                  <c:v>0.1</c:v>
                </c:pt>
                <c:pt idx="1">
                  <c:v>0.2</c:v>
                </c:pt>
                <c:pt idx="2">
                  <c:v>0.3</c:v>
                </c:pt>
                <c:pt idx="3">
                  <c:v>0.4</c:v>
                </c:pt>
                <c:pt idx="4">
                  <c:v>0.5</c:v>
                </c:pt>
                <c:pt idx="5">
                  <c:v>0.6</c:v>
                </c:pt>
                <c:pt idx="6">
                  <c:v>0.7</c:v>
                </c:pt>
                <c:pt idx="7">
                  <c:v>0.8</c:v>
                </c:pt>
                <c:pt idx="8">
                  <c:v>0.9</c:v>
                </c:pt>
              </c:numCache>
            </c:numRef>
          </c:cat>
          <c:val>
            <c:numRef>
              <c:f>Sheet1!$J$14:$J$22</c:f>
              <c:numCache>
                <c:formatCode>0.00</c:formatCode>
                <c:ptCount val="9"/>
                <c:pt idx="0">
                  <c:v>0.56000000000000005</c:v>
                </c:pt>
                <c:pt idx="1">
                  <c:v>0.57999999999999996</c:v>
                </c:pt>
                <c:pt idx="2">
                  <c:v>0.52</c:v>
                </c:pt>
                <c:pt idx="3">
                  <c:v>0.48</c:v>
                </c:pt>
                <c:pt idx="4">
                  <c:v>0.95</c:v>
                </c:pt>
                <c:pt idx="5">
                  <c:v>0.34</c:v>
                </c:pt>
                <c:pt idx="6">
                  <c:v>-0.56999999999999995</c:v>
                </c:pt>
                <c:pt idx="7">
                  <c:v>-0.01</c:v>
                </c:pt>
                <c:pt idx="8">
                  <c:v>-0.14000000000000001</c:v>
                </c:pt>
              </c:numCache>
            </c:numRef>
          </c:val>
          <c:extLst>
            <c:ext xmlns:c16="http://schemas.microsoft.com/office/drawing/2014/chart" uri="{C3380CC4-5D6E-409C-BE32-E72D297353CC}">
              <c16:uniqueId val="{00000001-C813-B343-BE39-96D5F08A1EB7}"/>
            </c:ext>
          </c:extLst>
        </c:ser>
        <c:ser>
          <c:idx val="2"/>
          <c:order val="2"/>
          <c:tx>
            <c:strRef>
              <c:f>Sheet1!$K$13</c:f>
              <c:strCache>
                <c:ptCount val="1"/>
                <c:pt idx="0">
                  <c:v>Momentum</c:v>
                </c:pt>
              </c:strCache>
            </c:strRef>
          </c:tx>
          <c:spPr>
            <a:solidFill>
              <a:schemeClr val="accent3"/>
            </a:solidFill>
            <a:ln>
              <a:noFill/>
            </a:ln>
            <a:effectLst/>
          </c:spPr>
          <c:invertIfNegative val="0"/>
          <c:cat>
            <c:numRef>
              <c:f>Sheet1!$H$14:$H$22</c:f>
              <c:numCache>
                <c:formatCode>0.00%</c:formatCode>
                <c:ptCount val="9"/>
                <c:pt idx="0">
                  <c:v>0.1</c:v>
                </c:pt>
                <c:pt idx="1">
                  <c:v>0.2</c:v>
                </c:pt>
                <c:pt idx="2">
                  <c:v>0.3</c:v>
                </c:pt>
                <c:pt idx="3">
                  <c:v>0.4</c:v>
                </c:pt>
                <c:pt idx="4">
                  <c:v>0.5</c:v>
                </c:pt>
                <c:pt idx="5">
                  <c:v>0.6</c:v>
                </c:pt>
                <c:pt idx="6">
                  <c:v>0.7</c:v>
                </c:pt>
                <c:pt idx="7">
                  <c:v>0.8</c:v>
                </c:pt>
                <c:pt idx="8">
                  <c:v>0.9</c:v>
                </c:pt>
              </c:numCache>
            </c:numRef>
          </c:cat>
          <c:val>
            <c:numRef>
              <c:f>Sheet1!$K$14:$K$22</c:f>
              <c:numCache>
                <c:formatCode>0.00</c:formatCode>
                <c:ptCount val="9"/>
                <c:pt idx="0">
                  <c:v>1.4</c:v>
                </c:pt>
                <c:pt idx="1">
                  <c:v>1.39</c:v>
                </c:pt>
                <c:pt idx="2">
                  <c:v>1.55</c:v>
                </c:pt>
                <c:pt idx="3">
                  <c:v>1.71</c:v>
                </c:pt>
                <c:pt idx="4">
                  <c:v>2.73</c:v>
                </c:pt>
                <c:pt idx="5">
                  <c:v>3.82</c:v>
                </c:pt>
                <c:pt idx="6">
                  <c:v>4.05</c:v>
                </c:pt>
                <c:pt idx="7">
                  <c:v>3</c:v>
                </c:pt>
                <c:pt idx="8">
                  <c:v>3.51</c:v>
                </c:pt>
              </c:numCache>
            </c:numRef>
          </c:val>
          <c:extLst>
            <c:ext xmlns:c16="http://schemas.microsoft.com/office/drawing/2014/chart" uri="{C3380CC4-5D6E-409C-BE32-E72D297353CC}">
              <c16:uniqueId val="{00000002-C813-B343-BE39-96D5F08A1EB7}"/>
            </c:ext>
          </c:extLst>
        </c:ser>
        <c:ser>
          <c:idx val="3"/>
          <c:order val="3"/>
          <c:tx>
            <c:strRef>
              <c:f>Sheet1!$L$13</c:f>
              <c:strCache>
                <c:ptCount val="1"/>
                <c:pt idx="0">
                  <c:v>Value</c:v>
                </c:pt>
              </c:strCache>
            </c:strRef>
          </c:tx>
          <c:spPr>
            <a:solidFill>
              <a:schemeClr val="accent4"/>
            </a:solidFill>
            <a:ln>
              <a:noFill/>
            </a:ln>
            <a:effectLst/>
          </c:spPr>
          <c:invertIfNegative val="0"/>
          <c:cat>
            <c:numRef>
              <c:f>Sheet1!$H$14:$H$22</c:f>
              <c:numCache>
                <c:formatCode>0.00%</c:formatCode>
                <c:ptCount val="9"/>
                <c:pt idx="0">
                  <c:v>0.1</c:v>
                </c:pt>
                <c:pt idx="1">
                  <c:v>0.2</c:v>
                </c:pt>
                <c:pt idx="2">
                  <c:v>0.3</c:v>
                </c:pt>
                <c:pt idx="3">
                  <c:v>0.4</c:v>
                </c:pt>
                <c:pt idx="4">
                  <c:v>0.5</c:v>
                </c:pt>
                <c:pt idx="5">
                  <c:v>0.6</c:v>
                </c:pt>
                <c:pt idx="6">
                  <c:v>0.7</c:v>
                </c:pt>
                <c:pt idx="7">
                  <c:v>0.8</c:v>
                </c:pt>
                <c:pt idx="8">
                  <c:v>0.9</c:v>
                </c:pt>
              </c:numCache>
            </c:numRef>
          </c:cat>
          <c:val>
            <c:numRef>
              <c:f>Sheet1!$L$14:$L$22</c:f>
              <c:numCache>
                <c:formatCode>0.00</c:formatCode>
                <c:ptCount val="9"/>
                <c:pt idx="0">
                  <c:v>1.59</c:v>
                </c:pt>
                <c:pt idx="1">
                  <c:v>1.36</c:v>
                </c:pt>
                <c:pt idx="2">
                  <c:v>1.06</c:v>
                </c:pt>
                <c:pt idx="3">
                  <c:v>0.8</c:v>
                </c:pt>
                <c:pt idx="4">
                  <c:v>0.05</c:v>
                </c:pt>
                <c:pt idx="5">
                  <c:v>0.76</c:v>
                </c:pt>
                <c:pt idx="6">
                  <c:v>-0.02</c:v>
                </c:pt>
                <c:pt idx="7">
                  <c:v>0.14000000000000001</c:v>
                </c:pt>
                <c:pt idx="8">
                  <c:v>-0.25</c:v>
                </c:pt>
              </c:numCache>
            </c:numRef>
          </c:val>
          <c:extLst>
            <c:ext xmlns:c16="http://schemas.microsoft.com/office/drawing/2014/chart" uri="{C3380CC4-5D6E-409C-BE32-E72D297353CC}">
              <c16:uniqueId val="{00000003-C813-B343-BE39-96D5F08A1EB7}"/>
            </c:ext>
          </c:extLst>
        </c:ser>
        <c:ser>
          <c:idx val="4"/>
          <c:order val="4"/>
          <c:tx>
            <c:strRef>
              <c:f>Sheet1!$M$13</c:f>
              <c:strCache>
                <c:ptCount val="1"/>
                <c:pt idx="0">
                  <c:v>Size</c:v>
                </c:pt>
              </c:strCache>
            </c:strRef>
          </c:tx>
          <c:spPr>
            <a:solidFill>
              <a:schemeClr val="accent5"/>
            </a:solidFill>
            <a:ln>
              <a:noFill/>
            </a:ln>
            <a:effectLst/>
          </c:spPr>
          <c:invertIfNegative val="0"/>
          <c:cat>
            <c:numRef>
              <c:f>Sheet1!$H$14:$H$22</c:f>
              <c:numCache>
                <c:formatCode>0.00%</c:formatCode>
                <c:ptCount val="9"/>
                <c:pt idx="0">
                  <c:v>0.1</c:v>
                </c:pt>
                <c:pt idx="1">
                  <c:v>0.2</c:v>
                </c:pt>
                <c:pt idx="2">
                  <c:v>0.3</c:v>
                </c:pt>
                <c:pt idx="3">
                  <c:v>0.4</c:v>
                </c:pt>
                <c:pt idx="4">
                  <c:v>0.5</c:v>
                </c:pt>
                <c:pt idx="5">
                  <c:v>0.6</c:v>
                </c:pt>
                <c:pt idx="6">
                  <c:v>0.7</c:v>
                </c:pt>
                <c:pt idx="7">
                  <c:v>0.8</c:v>
                </c:pt>
                <c:pt idx="8">
                  <c:v>0.9</c:v>
                </c:pt>
              </c:numCache>
            </c:numRef>
          </c:cat>
          <c:val>
            <c:numRef>
              <c:f>Sheet1!$M$14:$M$22</c:f>
              <c:numCache>
                <c:formatCode>0.00</c:formatCode>
                <c:ptCount val="9"/>
                <c:pt idx="0">
                  <c:v>1.64</c:v>
                </c:pt>
                <c:pt idx="1">
                  <c:v>1.76</c:v>
                </c:pt>
                <c:pt idx="2">
                  <c:v>1.73</c:v>
                </c:pt>
                <c:pt idx="3">
                  <c:v>1.69</c:v>
                </c:pt>
                <c:pt idx="4">
                  <c:v>1.7</c:v>
                </c:pt>
                <c:pt idx="5">
                  <c:v>1.83</c:v>
                </c:pt>
                <c:pt idx="6">
                  <c:v>1.79</c:v>
                </c:pt>
                <c:pt idx="7">
                  <c:v>1.87</c:v>
                </c:pt>
                <c:pt idx="8">
                  <c:v>1.9</c:v>
                </c:pt>
              </c:numCache>
            </c:numRef>
          </c:val>
          <c:extLst>
            <c:ext xmlns:c16="http://schemas.microsoft.com/office/drawing/2014/chart" uri="{C3380CC4-5D6E-409C-BE32-E72D297353CC}">
              <c16:uniqueId val="{00000004-C813-B343-BE39-96D5F08A1EB7}"/>
            </c:ext>
          </c:extLst>
        </c:ser>
        <c:dLbls>
          <c:showLegendKey val="0"/>
          <c:showVal val="0"/>
          <c:showCatName val="0"/>
          <c:showSerName val="0"/>
          <c:showPercent val="0"/>
          <c:showBubbleSize val="0"/>
        </c:dLbls>
        <c:gapWidth val="219"/>
        <c:overlap val="-27"/>
        <c:axId val="-36100064"/>
        <c:axId val="-40713504"/>
      </c:barChart>
      <c:catAx>
        <c:axId val="-36100064"/>
        <c:scaling>
          <c:orientation val="minMax"/>
        </c:scaling>
        <c:delete val="0"/>
        <c:axPos val="b"/>
        <c:numFmt formatCode="0%" sourceLinked="0"/>
        <c:majorTickMark val="none"/>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0713504"/>
        <c:crosses val="autoZero"/>
        <c:auto val="1"/>
        <c:lblAlgn val="ctr"/>
        <c:lblOffset val="100"/>
        <c:noMultiLvlLbl val="0"/>
      </c:catAx>
      <c:valAx>
        <c:axId val="-4071350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GB" i="1"/>
                  <a:t>t</a:t>
                </a:r>
                <a:r>
                  <a:rPr lang="en-GB"/>
                  <a:t>-stat</a:t>
                </a:r>
              </a:p>
            </c:rich>
          </c:tx>
          <c:layout>
            <c:manualLayout>
              <c:xMode val="edge"/>
              <c:yMode val="edge"/>
              <c:x val="1.3477088948787063E-2"/>
              <c:y val="0.4745712834282811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6100064"/>
        <c:crosses val="autoZero"/>
        <c:crossBetween val="between"/>
      </c:valAx>
      <c:spPr>
        <a:noFill/>
        <a:ln w="6350">
          <a:solidFill>
            <a:sysClr val="windowText" lastClr="000000"/>
          </a:solidFill>
        </a:ln>
        <a:effectLst/>
      </c:spPr>
    </c:plotArea>
    <c:legend>
      <c:legendPos val="t"/>
      <c:layout>
        <c:manualLayout>
          <c:xMode val="edge"/>
          <c:yMode val="edge"/>
          <c:x val="0.15452773591980248"/>
          <c:y val="0.11927072597600691"/>
          <c:w val="0.77854542946282657"/>
          <c:h val="7.3690472097101403E-2"/>
        </c:manualLayout>
      </c:layout>
      <c:overlay val="0"/>
      <c:spPr>
        <a:noFill/>
        <a:ln w="6350">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ysClr val="windowText" lastClr="000000"/>
                </a:solidFill>
                <a:latin typeface="+mn-lt"/>
                <a:ea typeface="+mn-ea"/>
                <a:cs typeface="+mn-cs"/>
              </a:defRPr>
            </a:pPr>
            <a:r>
              <a:rPr lang="en-GB"/>
              <a:t>I</a:t>
            </a:r>
            <a:r>
              <a:rPr lang="en-GB" i="1"/>
              <a:t>C</a:t>
            </a:r>
            <a:r>
              <a:rPr lang="en-GB"/>
              <a:t>. Sharpe ratios</a:t>
            </a:r>
          </a:p>
        </c:rich>
      </c:tx>
      <c:layout>
        <c:manualLayout>
          <c:xMode val="edge"/>
          <c:yMode val="edge"/>
          <c:x val="0.41444296883348014"/>
          <c:y val="2.5210084033613446E-2"/>
        </c:manualLayout>
      </c:layout>
      <c:overlay val="0"/>
      <c:spPr>
        <a:noFill/>
        <a:ln>
          <a:noFill/>
        </a:ln>
        <a:effectLst/>
      </c:spPr>
      <c:txPr>
        <a:bodyPr rot="0" spcFirstLastPara="1" vertOverflow="ellipsis" vert="horz" wrap="square" anchor="ctr" anchorCtr="1"/>
        <a:lstStyle/>
        <a:p>
          <a:pPr>
            <a:defRPr sz="1400" b="0" i="0" u="none" strike="noStrike" kern="1200" spc="0" baseline="0">
              <a:ln>
                <a:noFill/>
              </a:ln>
              <a:solidFill>
                <a:sysClr val="windowText" lastClr="000000"/>
              </a:solidFill>
              <a:latin typeface="+mn-lt"/>
              <a:ea typeface="+mn-ea"/>
              <a:cs typeface="+mn-cs"/>
            </a:defRPr>
          </a:pPr>
          <a:endParaRPr lang="en-US"/>
        </a:p>
      </c:txPr>
    </c:title>
    <c:autoTitleDeleted val="0"/>
    <c:plotArea>
      <c:layout>
        <c:manualLayout>
          <c:layoutTarget val="inner"/>
          <c:xMode val="edge"/>
          <c:yMode val="edge"/>
          <c:x val="8.3051335996616557E-2"/>
          <c:y val="0.1203920465824125"/>
          <c:w val="0.90236705358802427"/>
          <c:h val="0.8565301396149011"/>
        </c:manualLayout>
      </c:layout>
      <c:barChart>
        <c:barDir val="col"/>
        <c:grouping val="clustered"/>
        <c:varyColors val="0"/>
        <c:ser>
          <c:idx val="0"/>
          <c:order val="0"/>
          <c:tx>
            <c:strRef>
              <c:f>Sheet1!$I$24</c:f>
              <c:strCache>
                <c:ptCount val="1"/>
                <c:pt idx="0">
                  <c:v>Quality</c:v>
                </c:pt>
              </c:strCache>
            </c:strRef>
          </c:tx>
          <c:spPr>
            <a:solidFill>
              <a:schemeClr val="accent1"/>
            </a:solidFill>
            <a:ln>
              <a:noFill/>
            </a:ln>
            <a:effectLst/>
          </c:spPr>
          <c:invertIfNegative val="0"/>
          <c:cat>
            <c:numRef>
              <c:f>Sheet1!$H$25:$H$33</c:f>
              <c:numCache>
                <c:formatCode>0.00%</c:formatCode>
                <c:ptCount val="9"/>
                <c:pt idx="0">
                  <c:v>0.1</c:v>
                </c:pt>
                <c:pt idx="1">
                  <c:v>0.2</c:v>
                </c:pt>
                <c:pt idx="2">
                  <c:v>0.3</c:v>
                </c:pt>
                <c:pt idx="3">
                  <c:v>0.4</c:v>
                </c:pt>
                <c:pt idx="4">
                  <c:v>0.5</c:v>
                </c:pt>
                <c:pt idx="5">
                  <c:v>0.6</c:v>
                </c:pt>
                <c:pt idx="6">
                  <c:v>0.7</c:v>
                </c:pt>
                <c:pt idx="7">
                  <c:v>0.8</c:v>
                </c:pt>
                <c:pt idx="8">
                  <c:v>0.9</c:v>
                </c:pt>
              </c:numCache>
            </c:numRef>
          </c:cat>
          <c:val>
            <c:numRef>
              <c:f>Sheet1!$I$25:$I$33</c:f>
              <c:numCache>
                <c:formatCode>0.00</c:formatCode>
                <c:ptCount val="9"/>
                <c:pt idx="0">
                  <c:v>0.9446</c:v>
                </c:pt>
                <c:pt idx="1">
                  <c:v>0.95</c:v>
                </c:pt>
                <c:pt idx="2">
                  <c:v>1.1272</c:v>
                </c:pt>
                <c:pt idx="3">
                  <c:v>1.2031000000000001</c:v>
                </c:pt>
                <c:pt idx="4">
                  <c:v>0.71</c:v>
                </c:pt>
                <c:pt idx="5">
                  <c:v>0.85750000000000004</c:v>
                </c:pt>
                <c:pt idx="6">
                  <c:v>0.77049999999999996</c:v>
                </c:pt>
                <c:pt idx="7">
                  <c:v>0.80820000000000003</c:v>
                </c:pt>
                <c:pt idx="8">
                  <c:v>0.98460000000000003</c:v>
                </c:pt>
              </c:numCache>
            </c:numRef>
          </c:val>
          <c:extLst>
            <c:ext xmlns:c16="http://schemas.microsoft.com/office/drawing/2014/chart" uri="{C3380CC4-5D6E-409C-BE32-E72D297353CC}">
              <c16:uniqueId val="{00000000-EE10-EA49-98AF-939DDBDA1E14}"/>
            </c:ext>
          </c:extLst>
        </c:ser>
        <c:ser>
          <c:idx val="1"/>
          <c:order val="1"/>
          <c:tx>
            <c:strRef>
              <c:f>Sheet1!$J$24</c:f>
              <c:strCache>
                <c:ptCount val="1"/>
                <c:pt idx="0">
                  <c:v>Minimum Volatility</c:v>
                </c:pt>
              </c:strCache>
            </c:strRef>
          </c:tx>
          <c:spPr>
            <a:solidFill>
              <a:schemeClr val="accent2"/>
            </a:solidFill>
            <a:ln>
              <a:noFill/>
            </a:ln>
            <a:effectLst/>
          </c:spPr>
          <c:invertIfNegative val="0"/>
          <c:cat>
            <c:numRef>
              <c:f>Sheet1!$H$25:$H$33</c:f>
              <c:numCache>
                <c:formatCode>0.00%</c:formatCode>
                <c:ptCount val="9"/>
                <c:pt idx="0">
                  <c:v>0.1</c:v>
                </c:pt>
                <c:pt idx="1">
                  <c:v>0.2</c:v>
                </c:pt>
                <c:pt idx="2">
                  <c:v>0.3</c:v>
                </c:pt>
                <c:pt idx="3">
                  <c:v>0.4</c:v>
                </c:pt>
                <c:pt idx="4">
                  <c:v>0.5</c:v>
                </c:pt>
                <c:pt idx="5">
                  <c:v>0.6</c:v>
                </c:pt>
                <c:pt idx="6">
                  <c:v>0.7</c:v>
                </c:pt>
                <c:pt idx="7">
                  <c:v>0.8</c:v>
                </c:pt>
                <c:pt idx="8">
                  <c:v>0.9</c:v>
                </c:pt>
              </c:numCache>
            </c:numRef>
          </c:cat>
          <c:val>
            <c:numRef>
              <c:f>Sheet1!$J$25:$J$33</c:f>
              <c:numCache>
                <c:formatCode>0.00</c:formatCode>
                <c:ptCount val="9"/>
                <c:pt idx="0">
                  <c:v>0.20469999999999999</c:v>
                </c:pt>
                <c:pt idx="1">
                  <c:v>0.2077</c:v>
                </c:pt>
                <c:pt idx="2">
                  <c:v>0.1888</c:v>
                </c:pt>
                <c:pt idx="3">
                  <c:v>0.17730000000000001</c:v>
                </c:pt>
                <c:pt idx="4">
                  <c:v>0.1</c:v>
                </c:pt>
                <c:pt idx="5">
                  <c:v>0.1091</c:v>
                </c:pt>
                <c:pt idx="6">
                  <c:v>-0.17530000000000001</c:v>
                </c:pt>
                <c:pt idx="7">
                  <c:v>-2.0999999999999999E-3</c:v>
                </c:pt>
                <c:pt idx="8">
                  <c:v>-3.8600000000000002E-2</c:v>
                </c:pt>
              </c:numCache>
            </c:numRef>
          </c:val>
          <c:extLst>
            <c:ext xmlns:c16="http://schemas.microsoft.com/office/drawing/2014/chart" uri="{C3380CC4-5D6E-409C-BE32-E72D297353CC}">
              <c16:uniqueId val="{00000001-EE10-EA49-98AF-939DDBDA1E14}"/>
            </c:ext>
          </c:extLst>
        </c:ser>
        <c:ser>
          <c:idx val="2"/>
          <c:order val="2"/>
          <c:tx>
            <c:strRef>
              <c:f>Sheet1!$K$24</c:f>
              <c:strCache>
                <c:ptCount val="1"/>
                <c:pt idx="0">
                  <c:v>Momentum</c:v>
                </c:pt>
              </c:strCache>
            </c:strRef>
          </c:tx>
          <c:spPr>
            <a:solidFill>
              <a:schemeClr val="accent3"/>
            </a:solidFill>
            <a:ln>
              <a:noFill/>
            </a:ln>
            <a:effectLst/>
          </c:spPr>
          <c:invertIfNegative val="0"/>
          <c:cat>
            <c:numRef>
              <c:f>Sheet1!$H$25:$H$33</c:f>
              <c:numCache>
                <c:formatCode>0.00%</c:formatCode>
                <c:ptCount val="9"/>
                <c:pt idx="0">
                  <c:v>0.1</c:v>
                </c:pt>
                <c:pt idx="1">
                  <c:v>0.2</c:v>
                </c:pt>
                <c:pt idx="2">
                  <c:v>0.3</c:v>
                </c:pt>
                <c:pt idx="3">
                  <c:v>0.4</c:v>
                </c:pt>
                <c:pt idx="4">
                  <c:v>0.5</c:v>
                </c:pt>
                <c:pt idx="5">
                  <c:v>0.6</c:v>
                </c:pt>
                <c:pt idx="6">
                  <c:v>0.7</c:v>
                </c:pt>
                <c:pt idx="7">
                  <c:v>0.8</c:v>
                </c:pt>
                <c:pt idx="8">
                  <c:v>0.9</c:v>
                </c:pt>
              </c:numCache>
            </c:numRef>
          </c:cat>
          <c:val>
            <c:numRef>
              <c:f>Sheet1!$K$25:$K$33</c:f>
              <c:numCache>
                <c:formatCode>0.00</c:formatCode>
                <c:ptCount val="9"/>
                <c:pt idx="0">
                  <c:v>0.52929999999999999</c:v>
                </c:pt>
                <c:pt idx="1">
                  <c:v>0.49280000000000002</c:v>
                </c:pt>
                <c:pt idx="2">
                  <c:v>0.57799999999999996</c:v>
                </c:pt>
                <c:pt idx="3">
                  <c:v>0.68240000000000001</c:v>
                </c:pt>
                <c:pt idx="4">
                  <c:v>0.74</c:v>
                </c:pt>
                <c:pt idx="5">
                  <c:v>1.3080000000000001</c:v>
                </c:pt>
                <c:pt idx="6">
                  <c:v>1.3096000000000001</c:v>
                </c:pt>
                <c:pt idx="7">
                  <c:v>1.0061</c:v>
                </c:pt>
                <c:pt idx="8">
                  <c:v>1.2098</c:v>
                </c:pt>
              </c:numCache>
            </c:numRef>
          </c:val>
          <c:extLst>
            <c:ext xmlns:c16="http://schemas.microsoft.com/office/drawing/2014/chart" uri="{C3380CC4-5D6E-409C-BE32-E72D297353CC}">
              <c16:uniqueId val="{00000002-EE10-EA49-98AF-939DDBDA1E14}"/>
            </c:ext>
          </c:extLst>
        </c:ser>
        <c:ser>
          <c:idx val="3"/>
          <c:order val="3"/>
          <c:tx>
            <c:strRef>
              <c:f>Sheet1!$L$24</c:f>
              <c:strCache>
                <c:ptCount val="1"/>
                <c:pt idx="0">
                  <c:v>Value</c:v>
                </c:pt>
              </c:strCache>
            </c:strRef>
          </c:tx>
          <c:spPr>
            <a:solidFill>
              <a:schemeClr val="accent4"/>
            </a:solidFill>
            <a:ln>
              <a:noFill/>
            </a:ln>
            <a:effectLst/>
          </c:spPr>
          <c:invertIfNegative val="0"/>
          <c:cat>
            <c:numRef>
              <c:f>Sheet1!$H$25:$H$33</c:f>
              <c:numCache>
                <c:formatCode>0.00%</c:formatCode>
                <c:ptCount val="9"/>
                <c:pt idx="0">
                  <c:v>0.1</c:v>
                </c:pt>
                <c:pt idx="1">
                  <c:v>0.2</c:v>
                </c:pt>
                <c:pt idx="2">
                  <c:v>0.3</c:v>
                </c:pt>
                <c:pt idx="3">
                  <c:v>0.4</c:v>
                </c:pt>
                <c:pt idx="4">
                  <c:v>0.5</c:v>
                </c:pt>
                <c:pt idx="5">
                  <c:v>0.6</c:v>
                </c:pt>
                <c:pt idx="6">
                  <c:v>0.7</c:v>
                </c:pt>
                <c:pt idx="7">
                  <c:v>0.8</c:v>
                </c:pt>
                <c:pt idx="8">
                  <c:v>0.9</c:v>
                </c:pt>
              </c:numCache>
            </c:numRef>
          </c:cat>
          <c:val>
            <c:numRef>
              <c:f>Sheet1!$L$25:$L$33</c:f>
              <c:numCache>
                <c:formatCode>0.00</c:formatCode>
                <c:ptCount val="9"/>
                <c:pt idx="0">
                  <c:v>0.53610000000000002</c:v>
                </c:pt>
                <c:pt idx="1">
                  <c:v>0.4793</c:v>
                </c:pt>
                <c:pt idx="2">
                  <c:v>0.36680000000000001</c:v>
                </c:pt>
                <c:pt idx="3">
                  <c:v>0.28489999999999999</c:v>
                </c:pt>
                <c:pt idx="4">
                  <c:v>-0.2</c:v>
                </c:pt>
                <c:pt idx="5">
                  <c:v>0.24560000000000001</c:v>
                </c:pt>
                <c:pt idx="6">
                  <c:v>-7.1999999999999998E-3</c:v>
                </c:pt>
                <c:pt idx="7">
                  <c:v>4.48E-2</c:v>
                </c:pt>
                <c:pt idx="8">
                  <c:v>-8.0799999999999997E-2</c:v>
                </c:pt>
              </c:numCache>
            </c:numRef>
          </c:val>
          <c:extLst>
            <c:ext xmlns:c16="http://schemas.microsoft.com/office/drawing/2014/chart" uri="{C3380CC4-5D6E-409C-BE32-E72D297353CC}">
              <c16:uniqueId val="{00000003-EE10-EA49-98AF-939DDBDA1E14}"/>
            </c:ext>
          </c:extLst>
        </c:ser>
        <c:ser>
          <c:idx val="4"/>
          <c:order val="4"/>
          <c:tx>
            <c:strRef>
              <c:f>Sheet1!$M$24</c:f>
              <c:strCache>
                <c:ptCount val="1"/>
                <c:pt idx="0">
                  <c:v>Size</c:v>
                </c:pt>
              </c:strCache>
            </c:strRef>
          </c:tx>
          <c:spPr>
            <a:solidFill>
              <a:schemeClr val="accent5"/>
            </a:solidFill>
            <a:ln>
              <a:noFill/>
            </a:ln>
            <a:effectLst/>
          </c:spPr>
          <c:invertIfNegative val="0"/>
          <c:cat>
            <c:numRef>
              <c:f>Sheet1!$H$25:$H$33</c:f>
              <c:numCache>
                <c:formatCode>0.00%</c:formatCode>
                <c:ptCount val="9"/>
                <c:pt idx="0">
                  <c:v>0.1</c:v>
                </c:pt>
                <c:pt idx="1">
                  <c:v>0.2</c:v>
                </c:pt>
                <c:pt idx="2">
                  <c:v>0.3</c:v>
                </c:pt>
                <c:pt idx="3">
                  <c:v>0.4</c:v>
                </c:pt>
                <c:pt idx="4">
                  <c:v>0.5</c:v>
                </c:pt>
                <c:pt idx="5">
                  <c:v>0.6</c:v>
                </c:pt>
                <c:pt idx="6">
                  <c:v>0.7</c:v>
                </c:pt>
                <c:pt idx="7">
                  <c:v>0.8</c:v>
                </c:pt>
                <c:pt idx="8">
                  <c:v>0.9</c:v>
                </c:pt>
              </c:numCache>
            </c:numRef>
          </c:cat>
          <c:val>
            <c:numRef>
              <c:f>Sheet1!$M$25:$M$33</c:f>
              <c:numCache>
                <c:formatCode>0.00</c:formatCode>
                <c:ptCount val="9"/>
                <c:pt idx="0">
                  <c:v>0.72499999999999998</c:v>
                </c:pt>
                <c:pt idx="1">
                  <c:v>0.78639999999999999</c:v>
                </c:pt>
                <c:pt idx="2">
                  <c:v>0.77680000000000005</c:v>
                </c:pt>
                <c:pt idx="3">
                  <c:v>0.76060000000000005</c:v>
                </c:pt>
                <c:pt idx="4">
                  <c:v>0.57999999999999996</c:v>
                </c:pt>
                <c:pt idx="5">
                  <c:v>0.8266</c:v>
                </c:pt>
                <c:pt idx="6">
                  <c:v>0.80879999999999996</c:v>
                </c:pt>
                <c:pt idx="7">
                  <c:v>0.86539999999999995</c:v>
                </c:pt>
                <c:pt idx="8">
                  <c:v>0.86809999999999998</c:v>
                </c:pt>
              </c:numCache>
            </c:numRef>
          </c:val>
          <c:extLst>
            <c:ext xmlns:c16="http://schemas.microsoft.com/office/drawing/2014/chart" uri="{C3380CC4-5D6E-409C-BE32-E72D297353CC}">
              <c16:uniqueId val="{00000004-EE10-EA49-98AF-939DDBDA1E14}"/>
            </c:ext>
          </c:extLst>
        </c:ser>
        <c:dLbls>
          <c:showLegendKey val="0"/>
          <c:showVal val="0"/>
          <c:showCatName val="0"/>
          <c:showSerName val="0"/>
          <c:showPercent val="0"/>
          <c:showBubbleSize val="0"/>
        </c:dLbls>
        <c:gapWidth val="219"/>
        <c:overlap val="-27"/>
        <c:axId val="33287600"/>
        <c:axId val="32706080"/>
      </c:barChart>
      <c:catAx>
        <c:axId val="33287600"/>
        <c:scaling>
          <c:orientation val="minMax"/>
        </c:scaling>
        <c:delete val="0"/>
        <c:axPos val="b"/>
        <c:numFmt formatCode="0%" sourceLinked="0"/>
        <c:majorTickMark val="none"/>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en-US"/>
          </a:p>
        </c:txPr>
        <c:crossAx val="32706080"/>
        <c:crosses val="autoZero"/>
        <c:auto val="1"/>
        <c:lblAlgn val="ctr"/>
        <c:lblOffset val="100"/>
        <c:noMultiLvlLbl val="0"/>
      </c:catAx>
      <c:valAx>
        <c:axId val="32706080"/>
        <c:scaling>
          <c:orientation val="minMax"/>
          <c:min val="-0.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ln>
                      <a:noFill/>
                    </a:ln>
                    <a:solidFill>
                      <a:sysClr val="windowText" lastClr="000000"/>
                    </a:solidFill>
                    <a:latin typeface="+mn-lt"/>
                    <a:ea typeface="+mn-ea"/>
                    <a:cs typeface="+mn-cs"/>
                  </a:defRPr>
                </a:pPr>
                <a:r>
                  <a:rPr lang="en-GB"/>
                  <a:t>Sharpe</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ysClr val="windowText" lastClr="000000"/>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en-US"/>
          </a:p>
        </c:txPr>
        <c:crossAx val="33287600"/>
        <c:crosses val="autoZero"/>
        <c:crossBetween val="between"/>
      </c:valAx>
      <c:spPr>
        <a:noFill/>
        <a:ln w="6350">
          <a:solidFill>
            <a:schemeClr val="tx1"/>
          </a:solidFill>
        </a:ln>
        <a:effectLst/>
      </c:spPr>
    </c:plotArea>
    <c:legend>
      <c:legendPos val="b"/>
      <c:layout>
        <c:manualLayout>
          <c:xMode val="edge"/>
          <c:yMode val="edge"/>
          <c:x val="0.1541252605141771"/>
          <c:y val="0.11945014226162906"/>
          <c:w val="0.78358533955065401"/>
          <c:h val="7.3386032225423878E-2"/>
        </c:manualLayout>
      </c:layout>
      <c:overlay val="0"/>
      <c:spPr>
        <a:noFill/>
        <a:ln w="6350">
          <a:solidFill>
            <a:schemeClr val="tx1"/>
          </a:solidFill>
        </a:ln>
        <a:effectLst/>
      </c:spPr>
      <c:txPr>
        <a:bodyPr rot="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ln>
            <a:noFill/>
          </a:ln>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649758753166897E-2"/>
          <c:y val="2.8946085296650173E-2"/>
          <c:w val="0.92016504631591567"/>
          <c:h val="0.81001359019845842"/>
        </c:manualLayout>
      </c:layout>
      <c:lineChart>
        <c:grouping val="standard"/>
        <c:varyColors val="0"/>
        <c:ser>
          <c:idx val="0"/>
          <c:order val="0"/>
          <c:tx>
            <c:strRef>
              <c:f>'FRED Graph'!$B$11</c:f>
              <c:strCache>
                <c:ptCount val="1"/>
                <c:pt idx="0">
                  <c:v>AUSRECM</c:v>
                </c:pt>
              </c:strCache>
            </c:strRef>
          </c:tx>
          <c:spPr>
            <a:ln w="12700" cap="rnd">
              <a:solidFill>
                <a:srgbClr val="FF0000"/>
              </a:solidFill>
              <a:round/>
            </a:ln>
            <a:effectLst/>
          </c:spPr>
          <c:marker>
            <c:symbol val="none"/>
          </c:marker>
          <c:cat>
            <c:numRef>
              <c:f>'FRED Graph'!$A$12:$A$336</c:f>
              <c:numCache>
                <c:formatCode>yyyy\-mm\-dd</c:formatCode>
                <c:ptCount val="325"/>
                <c:pt idx="0">
                  <c:v>32874</c:v>
                </c:pt>
                <c:pt idx="1">
                  <c:v>32905</c:v>
                </c:pt>
                <c:pt idx="2">
                  <c:v>32933</c:v>
                </c:pt>
                <c:pt idx="3">
                  <c:v>32964</c:v>
                </c:pt>
                <c:pt idx="4">
                  <c:v>32994</c:v>
                </c:pt>
                <c:pt idx="5">
                  <c:v>33025</c:v>
                </c:pt>
                <c:pt idx="6">
                  <c:v>33055</c:v>
                </c:pt>
                <c:pt idx="7">
                  <c:v>33086</c:v>
                </c:pt>
                <c:pt idx="8">
                  <c:v>33117</c:v>
                </c:pt>
                <c:pt idx="9">
                  <c:v>33147</c:v>
                </c:pt>
                <c:pt idx="10">
                  <c:v>33178</c:v>
                </c:pt>
                <c:pt idx="11">
                  <c:v>33208</c:v>
                </c:pt>
                <c:pt idx="12">
                  <c:v>33239</c:v>
                </c:pt>
                <c:pt idx="13">
                  <c:v>33270</c:v>
                </c:pt>
                <c:pt idx="14">
                  <c:v>33298</c:v>
                </c:pt>
                <c:pt idx="15">
                  <c:v>33329</c:v>
                </c:pt>
                <c:pt idx="16">
                  <c:v>33359</c:v>
                </c:pt>
                <c:pt idx="17">
                  <c:v>33390</c:v>
                </c:pt>
                <c:pt idx="18">
                  <c:v>33420</c:v>
                </c:pt>
                <c:pt idx="19">
                  <c:v>33451</c:v>
                </c:pt>
                <c:pt idx="20">
                  <c:v>33482</c:v>
                </c:pt>
                <c:pt idx="21">
                  <c:v>33512</c:v>
                </c:pt>
                <c:pt idx="22">
                  <c:v>33543</c:v>
                </c:pt>
                <c:pt idx="23">
                  <c:v>33573</c:v>
                </c:pt>
                <c:pt idx="24">
                  <c:v>33604</c:v>
                </c:pt>
                <c:pt idx="25">
                  <c:v>33635</c:v>
                </c:pt>
                <c:pt idx="26">
                  <c:v>33664</c:v>
                </c:pt>
                <c:pt idx="27">
                  <c:v>33695</c:v>
                </c:pt>
                <c:pt idx="28">
                  <c:v>33725</c:v>
                </c:pt>
                <c:pt idx="29">
                  <c:v>33756</c:v>
                </c:pt>
                <c:pt idx="30">
                  <c:v>33786</c:v>
                </c:pt>
                <c:pt idx="31">
                  <c:v>33817</c:v>
                </c:pt>
                <c:pt idx="32">
                  <c:v>33848</c:v>
                </c:pt>
                <c:pt idx="33">
                  <c:v>33878</c:v>
                </c:pt>
                <c:pt idx="34">
                  <c:v>33909</c:v>
                </c:pt>
                <c:pt idx="35">
                  <c:v>33939</c:v>
                </c:pt>
                <c:pt idx="36">
                  <c:v>33970</c:v>
                </c:pt>
                <c:pt idx="37">
                  <c:v>34001</c:v>
                </c:pt>
                <c:pt idx="38">
                  <c:v>34029</c:v>
                </c:pt>
                <c:pt idx="39">
                  <c:v>34060</c:v>
                </c:pt>
                <c:pt idx="40">
                  <c:v>34090</c:v>
                </c:pt>
                <c:pt idx="41">
                  <c:v>34121</c:v>
                </c:pt>
                <c:pt idx="42">
                  <c:v>34151</c:v>
                </c:pt>
                <c:pt idx="43">
                  <c:v>34182</c:v>
                </c:pt>
                <c:pt idx="44">
                  <c:v>34213</c:v>
                </c:pt>
                <c:pt idx="45">
                  <c:v>34243</c:v>
                </c:pt>
                <c:pt idx="46">
                  <c:v>34274</c:v>
                </c:pt>
                <c:pt idx="47">
                  <c:v>34304</c:v>
                </c:pt>
                <c:pt idx="48">
                  <c:v>34335</c:v>
                </c:pt>
                <c:pt idx="49">
                  <c:v>34366</c:v>
                </c:pt>
                <c:pt idx="50">
                  <c:v>34394</c:v>
                </c:pt>
                <c:pt idx="51">
                  <c:v>34425</c:v>
                </c:pt>
                <c:pt idx="52">
                  <c:v>34455</c:v>
                </c:pt>
                <c:pt idx="53">
                  <c:v>34486</c:v>
                </c:pt>
                <c:pt idx="54">
                  <c:v>34516</c:v>
                </c:pt>
                <c:pt idx="55">
                  <c:v>34547</c:v>
                </c:pt>
                <c:pt idx="56">
                  <c:v>34578</c:v>
                </c:pt>
                <c:pt idx="57">
                  <c:v>34608</c:v>
                </c:pt>
                <c:pt idx="58">
                  <c:v>34639</c:v>
                </c:pt>
                <c:pt idx="59">
                  <c:v>34669</c:v>
                </c:pt>
                <c:pt idx="60">
                  <c:v>34700</c:v>
                </c:pt>
                <c:pt idx="61">
                  <c:v>34731</c:v>
                </c:pt>
                <c:pt idx="62">
                  <c:v>34759</c:v>
                </c:pt>
                <c:pt idx="63">
                  <c:v>34790</c:v>
                </c:pt>
                <c:pt idx="64">
                  <c:v>34820</c:v>
                </c:pt>
                <c:pt idx="65">
                  <c:v>34851</c:v>
                </c:pt>
                <c:pt idx="66">
                  <c:v>34881</c:v>
                </c:pt>
                <c:pt idx="67">
                  <c:v>34912</c:v>
                </c:pt>
                <c:pt idx="68">
                  <c:v>34943</c:v>
                </c:pt>
                <c:pt idx="69">
                  <c:v>34973</c:v>
                </c:pt>
                <c:pt idx="70">
                  <c:v>35004</c:v>
                </c:pt>
                <c:pt idx="71">
                  <c:v>35034</c:v>
                </c:pt>
                <c:pt idx="72">
                  <c:v>35065</c:v>
                </c:pt>
                <c:pt idx="73">
                  <c:v>35096</c:v>
                </c:pt>
                <c:pt idx="74">
                  <c:v>35125</c:v>
                </c:pt>
                <c:pt idx="75">
                  <c:v>35156</c:v>
                </c:pt>
                <c:pt idx="76">
                  <c:v>35186</c:v>
                </c:pt>
                <c:pt idx="77">
                  <c:v>35217</c:v>
                </c:pt>
                <c:pt idx="78">
                  <c:v>35247</c:v>
                </c:pt>
                <c:pt idx="79">
                  <c:v>35278</c:v>
                </c:pt>
                <c:pt idx="80">
                  <c:v>35309</c:v>
                </c:pt>
                <c:pt idx="81">
                  <c:v>35339</c:v>
                </c:pt>
                <c:pt idx="82">
                  <c:v>35370</c:v>
                </c:pt>
                <c:pt idx="83">
                  <c:v>35400</c:v>
                </c:pt>
                <c:pt idx="84">
                  <c:v>35431</c:v>
                </c:pt>
                <c:pt idx="85">
                  <c:v>35462</c:v>
                </c:pt>
                <c:pt idx="86">
                  <c:v>35490</c:v>
                </c:pt>
                <c:pt idx="87">
                  <c:v>35521</c:v>
                </c:pt>
                <c:pt idx="88">
                  <c:v>35551</c:v>
                </c:pt>
                <c:pt idx="89">
                  <c:v>35582</c:v>
                </c:pt>
                <c:pt idx="90">
                  <c:v>35612</c:v>
                </c:pt>
                <c:pt idx="91">
                  <c:v>35643</c:v>
                </c:pt>
                <c:pt idx="92">
                  <c:v>35674</c:v>
                </c:pt>
                <c:pt idx="93">
                  <c:v>35704</c:v>
                </c:pt>
                <c:pt idx="94">
                  <c:v>35735</c:v>
                </c:pt>
                <c:pt idx="95">
                  <c:v>35765</c:v>
                </c:pt>
                <c:pt idx="96">
                  <c:v>35796</c:v>
                </c:pt>
                <c:pt idx="97">
                  <c:v>35827</c:v>
                </c:pt>
                <c:pt idx="98">
                  <c:v>35855</c:v>
                </c:pt>
                <c:pt idx="99">
                  <c:v>35886</c:v>
                </c:pt>
                <c:pt idx="100">
                  <c:v>35916</c:v>
                </c:pt>
                <c:pt idx="101">
                  <c:v>35947</c:v>
                </c:pt>
                <c:pt idx="102">
                  <c:v>35977</c:v>
                </c:pt>
                <c:pt idx="103">
                  <c:v>36008</c:v>
                </c:pt>
                <c:pt idx="104">
                  <c:v>36039</c:v>
                </c:pt>
                <c:pt idx="105">
                  <c:v>36069</c:v>
                </c:pt>
                <c:pt idx="106">
                  <c:v>36100</c:v>
                </c:pt>
                <c:pt idx="107">
                  <c:v>36130</c:v>
                </c:pt>
                <c:pt idx="108">
                  <c:v>36161</c:v>
                </c:pt>
                <c:pt idx="109">
                  <c:v>36192</c:v>
                </c:pt>
                <c:pt idx="110">
                  <c:v>36220</c:v>
                </c:pt>
                <c:pt idx="111">
                  <c:v>36251</c:v>
                </c:pt>
                <c:pt idx="112">
                  <c:v>36281</c:v>
                </c:pt>
                <c:pt idx="113">
                  <c:v>36312</c:v>
                </c:pt>
                <c:pt idx="114">
                  <c:v>36342</c:v>
                </c:pt>
                <c:pt idx="115">
                  <c:v>36373</c:v>
                </c:pt>
                <c:pt idx="116">
                  <c:v>36404</c:v>
                </c:pt>
                <c:pt idx="117">
                  <c:v>36434</c:v>
                </c:pt>
                <c:pt idx="118">
                  <c:v>36465</c:v>
                </c:pt>
                <c:pt idx="119">
                  <c:v>36495</c:v>
                </c:pt>
                <c:pt idx="120">
                  <c:v>36526</c:v>
                </c:pt>
                <c:pt idx="121">
                  <c:v>36557</c:v>
                </c:pt>
                <c:pt idx="122">
                  <c:v>36586</c:v>
                </c:pt>
                <c:pt idx="123">
                  <c:v>36617</c:v>
                </c:pt>
                <c:pt idx="124">
                  <c:v>36647</c:v>
                </c:pt>
                <c:pt idx="125">
                  <c:v>36678</c:v>
                </c:pt>
                <c:pt idx="126">
                  <c:v>36708</c:v>
                </c:pt>
                <c:pt idx="127">
                  <c:v>36739</c:v>
                </c:pt>
                <c:pt idx="128">
                  <c:v>36770</c:v>
                </c:pt>
                <c:pt idx="129">
                  <c:v>36800</c:v>
                </c:pt>
                <c:pt idx="130">
                  <c:v>36831</c:v>
                </c:pt>
                <c:pt idx="131">
                  <c:v>36861</c:v>
                </c:pt>
                <c:pt idx="132">
                  <c:v>36892</c:v>
                </c:pt>
                <c:pt idx="133">
                  <c:v>36923</c:v>
                </c:pt>
                <c:pt idx="134">
                  <c:v>36951</c:v>
                </c:pt>
                <c:pt idx="135">
                  <c:v>36982</c:v>
                </c:pt>
                <c:pt idx="136">
                  <c:v>37012</c:v>
                </c:pt>
                <c:pt idx="137">
                  <c:v>37043</c:v>
                </c:pt>
                <c:pt idx="138">
                  <c:v>37073</c:v>
                </c:pt>
                <c:pt idx="139">
                  <c:v>37104</c:v>
                </c:pt>
                <c:pt idx="140">
                  <c:v>37135</c:v>
                </c:pt>
                <c:pt idx="141">
                  <c:v>37165</c:v>
                </c:pt>
                <c:pt idx="142">
                  <c:v>37196</c:v>
                </c:pt>
                <c:pt idx="143">
                  <c:v>37226</c:v>
                </c:pt>
                <c:pt idx="144">
                  <c:v>37257</c:v>
                </c:pt>
                <c:pt idx="145">
                  <c:v>37288</c:v>
                </c:pt>
                <c:pt idx="146">
                  <c:v>37316</c:v>
                </c:pt>
                <c:pt idx="147">
                  <c:v>37347</c:v>
                </c:pt>
                <c:pt idx="148">
                  <c:v>37377</c:v>
                </c:pt>
                <c:pt idx="149">
                  <c:v>37408</c:v>
                </c:pt>
                <c:pt idx="150">
                  <c:v>37438</c:v>
                </c:pt>
                <c:pt idx="151">
                  <c:v>37469</c:v>
                </c:pt>
                <c:pt idx="152">
                  <c:v>37500</c:v>
                </c:pt>
                <c:pt idx="153">
                  <c:v>37530</c:v>
                </c:pt>
                <c:pt idx="154">
                  <c:v>37561</c:v>
                </c:pt>
                <c:pt idx="155">
                  <c:v>37591</c:v>
                </c:pt>
                <c:pt idx="156">
                  <c:v>37622</c:v>
                </c:pt>
                <c:pt idx="157">
                  <c:v>37653</c:v>
                </c:pt>
                <c:pt idx="158">
                  <c:v>37681</c:v>
                </c:pt>
                <c:pt idx="159">
                  <c:v>37712</c:v>
                </c:pt>
                <c:pt idx="160">
                  <c:v>37742</c:v>
                </c:pt>
                <c:pt idx="161">
                  <c:v>37773</c:v>
                </c:pt>
                <c:pt idx="162">
                  <c:v>37803</c:v>
                </c:pt>
                <c:pt idx="163">
                  <c:v>37834</c:v>
                </c:pt>
                <c:pt idx="164">
                  <c:v>37865</c:v>
                </c:pt>
                <c:pt idx="165">
                  <c:v>37895</c:v>
                </c:pt>
                <c:pt idx="166">
                  <c:v>37926</c:v>
                </c:pt>
                <c:pt idx="167">
                  <c:v>37956</c:v>
                </c:pt>
                <c:pt idx="168">
                  <c:v>37987</c:v>
                </c:pt>
                <c:pt idx="169">
                  <c:v>38018</c:v>
                </c:pt>
                <c:pt idx="170">
                  <c:v>38047</c:v>
                </c:pt>
                <c:pt idx="171">
                  <c:v>38078</c:v>
                </c:pt>
                <c:pt idx="172">
                  <c:v>38108</c:v>
                </c:pt>
                <c:pt idx="173">
                  <c:v>38139</c:v>
                </c:pt>
                <c:pt idx="174">
                  <c:v>38169</c:v>
                </c:pt>
                <c:pt idx="175">
                  <c:v>38200</c:v>
                </c:pt>
                <c:pt idx="176">
                  <c:v>38231</c:v>
                </c:pt>
                <c:pt idx="177">
                  <c:v>38261</c:v>
                </c:pt>
                <c:pt idx="178">
                  <c:v>38292</c:v>
                </c:pt>
                <c:pt idx="179">
                  <c:v>38322</c:v>
                </c:pt>
                <c:pt idx="180">
                  <c:v>38353</c:v>
                </c:pt>
                <c:pt idx="181">
                  <c:v>38384</c:v>
                </c:pt>
                <c:pt idx="182">
                  <c:v>38412</c:v>
                </c:pt>
                <c:pt idx="183">
                  <c:v>38443</c:v>
                </c:pt>
                <c:pt idx="184">
                  <c:v>38473</c:v>
                </c:pt>
                <c:pt idx="185">
                  <c:v>38504</c:v>
                </c:pt>
                <c:pt idx="186">
                  <c:v>38534</c:v>
                </c:pt>
                <c:pt idx="187">
                  <c:v>38565</c:v>
                </c:pt>
                <c:pt idx="188">
                  <c:v>38596</c:v>
                </c:pt>
                <c:pt idx="189">
                  <c:v>38626</c:v>
                </c:pt>
                <c:pt idx="190">
                  <c:v>38657</c:v>
                </c:pt>
                <c:pt idx="191">
                  <c:v>38687</c:v>
                </c:pt>
                <c:pt idx="192">
                  <c:v>38718</c:v>
                </c:pt>
                <c:pt idx="193">
                  <c:v>38749</c:v>
                </c:pt>
                <c:pt idx="194">
                  <c:v>38777</c:v>
                </c:pt>
                <c:pt idx="195">
                  <c:v>38808</c:v>
                </c:pt>
                <c:pt idx="196">
                  <c:v>38838</c:v>
                </c:pt>
                <c:pt idx="197">
                  <c:v>38869</c:v>
                </c:pt>
                <c:pt idx="198">
                  <c:v>38899</c:v>
                </c:pt>
                <c:pt idx="199">
                  <c:v>38930</c:v>
                </c:pt>
                <c:pt idx="200">
                  <c:v>38961</c:v>
                </c:pt>
                <c:pt idx="201">
                  <c:v>38991</c:v>
                </c:pt>
                <c:pt idx="202">
                  <c:v>39022</c:v>
                </c:pt>
                <c:pt idx="203">
                  <c:v>39052</c:v>
                </c:pt>
                <c:pt idx="204">
                  <c:v>39083</c:v>
                </c:pt>
                <c:pt idx="205">
                  <c:v>39114</c:v>
                </c:pt>
                <c:pt idx="206">
                  <c:v>39142</c:v>
                </c:pt>
                <c:pt idx="207">
                  <c:v>39173</c:v>
                </c:pt>
                <c:pt idx="208">
                  <c:v>39203</c:v>
                </c:pt>
                <c:pt idx="209">
                  <c:v>39234</c:v>
                </c:pt>
                <c:pt idx="210">
                  <c:v>39264</c:v>
                </c:pt>
                <c:pt idx="211">
                  <c:v>39295</c:v>
                </c:pt>
                <c:pt idx="212">
                  <c:v>39326</c:v>
                </c:pt>
                <c:pt idx="213">
                  <c:v>39356</c:v>
                </c:pt>
                <c:pt idx="214">
                  <c:v>39387</c:v>
                </c:pt>
                <c:pt idx="215">
                  <c:v>39417</c:v>
                </c:pt>
                <c:pt idx="216">
                  <c:v>39448</c:v>
                </c:pt>
                <c:pt idx="217">
                  <c:v>39479</c:v>
                </c:pt>
                <c:pt idx="218">
                  <c:v>39508</c:v>
                </c:pt>
                <c:pt idx="219">
                  <c:v>39539</c:v>
                </c:pt>
                <c:pt idx="220">
                  <c:v>39569</c:v>
                </c:pt>
                <c:pt idx="221">
                  <c:v>39600</c:v>
                </c:pt>
                <c:pt idx="222">
                  <c:v>39630</c:v>
                </c:pt>
                <c:pt idx="223">
                  <c:v>39661</c:v>
                </c:pt>
                <c:pt idx="224">
                  <c:v>39692</c:v>
                </c:pt>
                <c:pt idx="225">
                  <c:v>39722</c:v>
                </c:pt>
                <c:pt idx="226">
                  <c:v>39753</c:v>
                </c:pt>
                <c:pt idx="227">
                  <c:v>39783</c:v>
                </c:pt>
                <c:pt idx="228">
                  <c:v>39814</c:v>
                </c:pt>
                <c:pt idx="229">
                  <c:v>39845</c:v>
                </c:pt>
                <c:pt idx="230">
                  <c:v>39873</c:v>
                </c:pt>
                <c:pt idx="231">
                  <c:v>39904</c:v>
                </c:pt>
                <c:pt idx="232">
                  <c:v>39934</c:v>
                </c:pt>
                <c:pt idx="233">
                  <c:v>39965</c:v>
                </c:pt>
                <c:pt idx="234">
                  <c:v>39995</c:v>
                </c:pt>
                <c:pt idx="235">
                  <c:v>40026</c:v>
                </c:pt>
                <c:pt idx="236">
                  <c:v>40057</c:v>
                </c:pt>
                <c:pt idx="237">
                  <c:v>40087</c:v>
                </c:pt>
                <c:pt idx="238">
                  <c:v>40118</c:v>
                </c:pt>
                <c:pt idx="239">
                  <c:v>40148</c:v>
                </c:pt>
                <c:pt idx="240">
                  <c:v>40179</c:v>
                </c:pt>
                <c:pt idx="241">
                  <c:v>40210</c:v>
                </c:pt>
                <c:pt idx="242">
                  <c:v>40238</c:v>
                </c:pt>
                <c:pt idx="243">
                  <c:v>40269</c:v>
                </c:pt>
                <c:pt idx="244">
                  <c:v>40299</c:v>
                </c:pt>
                <c:pt idx="245">
                  <c:v>40330</c:v>
                </c:pt>
                <c:pt idx="246">
                  <c:v>40360</c:v>
                </c:pt>
                <c:pt idx="247">
                  <c:v>40391</c:v>
                </c:pt>
                <c:pt idx="248">
                  <c:v>40422</c:v>
                </c:pt>
                <c:pt idx="249">
                  <c:v>40452</c:v>
                </c:pt>
                <c:pt idx="250">
                  <c:v>40483</c:v>
                </c:pt>
                <c:pt idx="251">
                  <c:v>40513</c:v>
                </c:pt>
                <c:pt idx="252">
                  <c:v>40544</c:v>
                </c:pt>
                <c:pt idx="253">
                  <c:v>40575</c:v>
                </c:pt>
                <c:pt idx="254">
                  <c:v>40603</c:v>
                </c:pt>
                <c:pt idx="255">
                  <c:v>40634</c:v>
                </c:pt>
                <c:pt idx="256">
                  <c:v>40664</c:v>
                </c:pt>
                <c:pt idx="257">
                  <c:v>40695</c:v>
                </c:pt>
                <c:pt idx="258">
                  <c:v>40725</c:v>
                </c:pt>
                <c:pt idx="259">
                  <c:v>40756</c:v>
                </c:pt>
                <c:pt idx="260">
                  <c:v>40787</c:v>
                </c:pt>
                <c:pt idx="261">
                  <c:v>40817</c:v>
                </c:pt>
                <c:pt idx="262">
                  <c:v>40848</c:v>
                </c:pt>
                <c:pt idx="263">
                  <c:v>40878</c:v>
                </c:pt>
                <c:pt idx="264">
                  <c:v>40909</c:v>
                </c:pt>
                <c:pt idx="265">
                  <c:v>40940</c:v>
                </c:pt>
                <c:pt idx="266">
                  <c:v>40969</c:v>
                </c:pt>
                <c:pt idx="267">
                  <c:v>41000</c:v>
                </c:pt>
                <c:pt idx="268">
                  <c:v>41030</c:v>
                </c:pt>
                <c:pt idx="269">
                  <c:v>41061</c:v>
                </c:pt>
                <c:pt idx="270">
                  <c:v>41091</c:v>
                </c:pt>
                <c:pt idx="271">
                  <c:v>41122</c:v>
                </c:pt>
                <c:pt idx="272">
                  <c:v>41153</c:v>
                </c:pt>
                <c:pt idx="273">
                  <c:v>41183</c:v>
                </c:pt>
                <c:pt idx="274">
                  <c:v>41214</c:v>
                </c:pt>
                <c:pt idx="275">
                  <c:v>41244</c:v>
                </c:pt>
                <c:pt idx="276">
                  <c:v>41275</c:v>
                </c:pt>
                <c:pt idx="277">
                  <c:v>41306</c:v>
                </c:pt>
                <c:pt idx="278">
                  <c:v>41334</c:v>
                </c:pt>
                <c:pt idx="279">
                  <c:v>41365</c:v>
                </c:pt>
                <c:pt idx="280">
                  <c:v>41395</c:v>
                </c:pt>
                <c:pt idx="281">
                  <c:v>41426</c:v>
                </c:pt>
                <c:pt idx="282">
                  <c:v>41456</c:v>
                </c:pt>
                <c:pt idx="283">
                  <c:v>41487</c:v>
                </c:pt>
                <c:pt idx="284">
                  <c:v>41518</c:v>
                </c:pt>
                <c:pt idx="285">
                  <c:v>41548</c:v>
                </c:pt>
                <c:pt idx="286">
                  <c:v>41579</c:v>
                </c:pt>
                <c:pt idx="287">
                  <c:v>41609</c:v>
                </c:pt>
                <c:pt idx="288">
                  <c:v>41640</c:v>
                </c:pt>
                <c:pt idx="289">
                  <c:v>41671</c:v>
                </c:pt>
                <c:pt idx="290">
                  <c:v>41699</c:v>
                </c:pt>
                <c:pt idx="291">
                  <c:v>41730</c:v>
                </c:pt>
                <c:pt idx="292">
                  <c:v>41760</c:v>
                </c:pt>
                <c:pt idx="293">
                  <c:v>41791</c:v>
                </c:pt>
                <c:pt idx="294">
                  <c:v>41821</c:v>
                </c:pt>
                <c:pt idx="295">
                  <c:v>41852</c:v>
                </c:pt>
                <c:pt idx="296">
                  <c:v>41883</c:v>
                </c:pt>
                <c:pt idx="297">
                  <c:v>41913</c:v>
                </c:pt>
                <c:pt idx="298">
                  <c:v>41944</c:v>
                </c:pt>
                <c:pt idx="299">
                  <c:v>41974</c:v>
                </c:pt>
                <c:pt idx="300">
                  <c:v>42005</c:v>
                </c:pt>
                <c:pt idx="301">
                  <c:v>42036</c:v>
                </c:pt>
                <c:pt idx="302">
                  <c:v>42064</c:v>
                </c:pt>
                <c:pt idx="303">
                  <c:v>42095</c:v>
                </c:pt>
                <c:pt idx="304">
                  <c:v>42125</c:v>
                </c:pt>
                <c:pt idx="305">
                  <c:v>42156</c:v>
                </c:pt>
                <c:pt idx="306">
                  <c:v>42186</c:v>
                </c:pt>
                <c:pt idx="307">
                  <c:v>42217</c:v>
                </c:pt>
                <c:pt idx="308">
                  <c:v>42248</c:v>
                </c:pt>
                <c:pt idx="309">
                  <c:v>42278</c:v>
                </c:pt>
                <c:pt idx="310">
                  <c:v>42309</c:v>
                </c:pt>
                <c:pt idx="311">
                  <c:v>42339</c:v>
                </c:pt>
                <c:pt idx="312">
                  <c:v>42370</c:v>
                </c:pt>
                <c:pt idx="313">
                  <c:v>42401</c:v>
                </c:pt>
                <c:pt idx="314">
                  <c:v>42430</c:v>
                </c:pt>
                <c:pt idx="315">
                  <c:v>42461</c:v>
                </c:pt>
                <c:pt idx="316">
                  <c:v>42491</c:v>
                </c:pt>
                <c:pt idx="317">
                  <c:v>42522</c:v>
                </c:pt>
                <c:pt idx="318">
                  <c:v>42552</c:v>
                </c:pt>
                <c:pt idx="319">
                  <c:v>42583</c:v>
                </c:pt>
                <c:pt idx="320">
                  <c:v>42614</c:v>
                </c:pt>
                <c:pt idx="321">
                  <c:v>42644</c:v>
                </c:pt>
                <c:pt idx="322">
                  <c:v>42675</c:v>
                </c:pt>
                <c:pt idx="323">
                  <c:v>42705</c:v>
                </c:pt>
                <c:pt idx="324">
                  <c:v>42736</c:v>
                </c:pt>
              </c:numCache>
            </c:numRef>
          </c:cat>
          <c:val>
            <c:numRef>
              <c:f>'FRED Graph'!$B$12:$B$336</c:f>
              <c:numCache>
                <c:formatCode>0</c:formatCode>
                <c:ptCount val="3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1</c:v>
                </c:pt>
                <c:pt idx="150">
                  <c:v>1</c:v>
                </c:pt>
                <c:pt idx="151">
                  <c:v>1</c:v>
                </c:pt>
                <c:pt idx="152">
                  <c:v>1</c:v>
                </c:pt>
                <c:pt idx="153">
                  <c:v>1</c:v>
                </c:pt>
                <c:pt idx="154">
                  <c:v>1</c:v>
                </c:pt>
                <c:pt idx="155">
                  <c:v>1</c:v>
                </c:pt>
                <c:pt idx="156">
                  <c:v>1</c:v>
                </c:pt>
                <c:pt idx="157">
                  <c:v>1</c:v>
                </c:pt>
                <c:pt idx="158">
                  <c:v>1</c:v>
                </c:pt>
                <c:pt idx="159">
                  <c:v>1</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numCache>
            </c:numRef>
          </c:val>
          <c:smooth val="0"/>
          <c:extLst>
            <c:ext xmlns:c16="http://schemas.microsoft.com/office/drawing/2014/chart" uri="{C3380CC4-5D6E-409C-BE32-E72D297353CC}">
              <c16:uniqueId val="{00000000-8BA9-48BD-A752-4FF62061C2C3}"/>
            </c:ext>
          </c:extLst>
        </c:ser>
        <c:ser>
          <c:idx val="1"/>
          <c:order val="1"/>
          <c:tx>
            <c:strRef>
              <c:f>'FRED Graph'!$C$11</c:f>
              <c:strCache>
                <c:ptCount val="1"/>
                <c:pt idx="0">
                  <c:v>USARECDM</c:v>
                </c:pt>
              </c:strCache>
            </c:strRef>
          </c:tx>
          <c:spPr>
            <a:ln w="12700" cap="flat" cmpd="sng" algn="ctr">
              <a:solidFill>
                <a:schemeClr val="dk1"/>
              </a:solidFill>
              <a:prstDash val="solid"/>
              <a:miter lim="800000"/>
            </a:ln>
            <a:effectLst/>
          </c:spPr>
          <c:marker>
            <c:symbol val="none"/>
          </c:marker>
          <c:cat>
            <c:numRef>
              <c:f>'FRED Graph'!$A$12:$A$336</c:f>
              <c:numCache>
                <c:formatCode>yyyy\-mm\-dd</c:formatCode>
                <c:ptCount val="325"/>
                <c:pt idx="0">
                  <c:v>32874</c:v>
                </c:pt>
                <c:pt idx="1">
                  <c:v>32905</c:v>
                </c:pt>
                <c:pt idx="2">
                  <c:v>32933</c:v>
                </c:pt>
                <c:pt idx="3">
                  <c:v>32964</c:v>
                </c:pt>
                <c:pt idx="4">
                  <c:v>32994</c:v>
                </c:pt>
                <c:pt idx="5">
                  <c:v>33025</c:v>
                </c:pt>
                <c:pt idx="6">
                  <c:v>33055</c:v>
                </c:pt>
                <c:pt idx="7">
                  <c:v>33086</c:v>
                </c:pt>
                <c:pt idx="8">
                  <c:v>33117</c:v>
                </c:pt>
                <c:pt idx="9">
                  <c:v>33147</c:v>
                </c:pt>
                <c:pt idx="10">
                  <c:v>33178</c:v>
                </c:pt>
                <c:pt idx="11">
                  <c:v>33208</c:v>
                </c:pt>
                <c:pt idx="12">
                  <c:v>33239</c:v>
                </c:pt>
                <c:pt idx="13">
                  <c:v>33270</c:v>
                </c:pt>
                <c:pt idx="14">
                  <c:v>33298</c:v>
                </c:pt>
                <c:pt idx="15">
                  <c:v>33329</c:v>
                </c:pt>
                <c:pt idx="16">
                  <c:v>33359</c:v>
                </c:pt>
                <c:pt idx="17">
                  <c:v>33390</c:v>
                </c:pt>
                <c:pt idx="18">
                  <c:v>33420</c:v>
                </c:pt>
                <c:pt idx="19">
                  <c:v>33451</c:v>
                </c:pt>
                <c:pt idx="20">
                  <c:v>33482</c:v>
                </c:pt>
                <c:pt idx="21">
                  <c:v>33512</c:v>
                </c:pt>
                <c:pt idx="22">
                  <c:v>33543</c:v>
                </c:pt>
                <c:pt idx="23">
                  <c:v>33573</c:v>
                </c:pt>
                <c:pt idx="24">
                  <c:v>33604</c:v>
                </c:pt>
                <c:pt idx="25">
                  <c:v>33635</c:v>
                </c:pt>
                <c:pt idx="26">
                  <c:v>33664</c:v>
                </c:pt>
                <c:pt idx="27">
                  <c:v>33695</c:v>
                </c:pt>
                <c:pt idx="28">
                  <c:v>33725</c:v>
                </c:pt>
                <c:pt idx="29">
                  <c:v>33756</c:v>
                </c:pt>
                <c:pt idx="30">
                  <c:v>33786</c:v>
                </c:pt>
                <c:pt idx="31">
                  <c:v>33817</c:v>
                </c:pt>
                <c:pt idx="32">
                  <c:v>33848</c:v>
                </c:pt>
                <c:pt idx="33">
                  <c:v>33878</c:v>
                </c:pt>
                <c:pt idx="34">
                  <c:v>33909</c:v>
                </c:pt>
                <c:pt idx="35">
                  <c:v>33939</c:v>
                </c:pt>
                <c:pt idx="36">
                  <c:v>33970</c:v>
                </c:pt>
                <c:pt idx="37">
                  <c:v>34001</c:v>
                </c:pt>
                <c:pt idx="38">
                  <c:v>34029</c:v>
                </c:pt>
                <c:pt idx="39">
                  <c:v>34060</c:v>
                </c:pt>
                <c:pt idx="40">
                  <c:v>34090</c:v>
                </c:pt>
                <c:pt idx="41">
                  <c:v>34121</c:v>
                </c:pt>
                <c:pt idx="42">
                  <c:v>34151</c:v>
                </c:pt>
                <c:pt idx="43">
                  <c:v>34182</c:v>
                </c:pt>
                <c:pt idx="44">
                  <c:v>34213</c:v>
                </c:pt>
                <c:pt idx="45">
                  <c:v>34243</c:v>
                </c:pt>
                <c:pt idx="46">
                  <c:v>34274</c:v>
                </c:pt>
                <c:pt idx="47">
                  <c:v>34304</c:v>
                </c:pt>
                <c:pt idx="48">
                  <c:v>34335</c:v>
                </c:pt>
                <c:pt idx="49">
                  <c:v>34366</c:v>
                </c:pt>
                <c:pt idx="50">
                  <c:v>34394</c:v>
                </c:pt>
                <c:pt idx="51">
                  <c:v>34425</c:v>
                </c:pt>
                <c:pt idx="52">
                  <c:v>34455</c:v>
                </c:pt>
                <c:pt idx="53">
                  <c:v>34486</c:v>
                </c:pt>
                <c:pt idx="54">
                  <c:v>34516</c:v>
                </c:pt>
                <c:pt idx="55">
                  <c:v>34547</c:v>
                </c:pt>
                <c:pt idx="56">
                  <c:v>34578</c:v>
                </c:pt>
                <c:pt idx="57">
                  <c:v>34608</c:v>
                </c:pt>
                <c:pt idx="58">
                  <c:v>34639</c:v>
                </c:pt>
                <c:pt idx="59">
                  <c:v>34669</c:v>
                </c:pt>
                <c:pt idx="60">
                  <c:v>34700</c:v>
                </c:pt>
                <c:pt idx="61">
                  <c:v>34731</c:v>
                </c:pt>
                <c:pt idx="62">
                  <c:v>34759</c:v>
                </c:pt>
                <c:pt idx="63">
                  <c:v>34790</c:v>
                </c:pt>
                <c:pt idx="64">
                  <c:v>34820</c:v>
                </c:pt>
                <c:pt idx="65">
                  <c:v>34851</c:v>
                </c:pt>
                <c:pt idx="66">
                  <c:v>34881</c:v>
                </c:pt>
                <c:pt idx="67">
                  <c:v>34912</c:v>
                </c:pt>
                <c:pt idx="68">
                  <c:v>34943</c:v>
                </c:pt>
                <c:pt idx="69">
                  <c:v>34973</c:v>
                </c:pt>
                <c:pt idx="70">
                  <c:v>35004</c:v>
                </c:pt>
                <c:pt idx="71">
                  <c:v>35034</c:v>
                </c:pt>
                <c:pt idx="72">
                  <c:v>35065</c:v>
                </c:pt>
                <c:pt idx="73">
                  <c:v>35096</c:v>
                </c:pt>
                <c:pt idx="74">
                  <c:v>35125</c:v>
                </c:pt>
                <c:pt idx="75">
                  <c:v>35156</c:v>
                </c:pt>
                <c:pt idx="76">
                  <c:v>35186</c:v>
                </c:pt>
                <c:pt idx="77">
                  <c:v>35217</c:v>
                </c:pt>
                <c:pt idx="78">
                  <c:v>35247</c:v>
                </c:pt>
                <c:pt idx="79">
                  <c:v>35278</c:v>
                </c:pt>
                <c:pt idx="80">
                  <c:v>35309</c:v>
                </c:pt>
                <c:pt idx="81">
                  <c:v>35339</c:v>
                </c:pt>
                <c:pt idx="82">
                  <c:v>35370</c:v>
                </c:pt>
                <c:pt idx="83">
                  <c:v>35400</c:v>
                </c:pt>
                <c:pt idx="84">
                  <c:v>35431</c:v>
                </c:pt>
                <c:pt idx="85">
                  <c:v>35462</c:v>
                </c:pt>
                <c:pt idx="86">
                  <c:v>35490</c:v>
                </c:pt>
                <c:pt idx="87">
                  <c:v>35521</c:v>
                </c:pt>
                <c:pt idx="88">
                  <c:v>35551</c:v>
                </c:pt>
                <c:pt idx="89">
                  <c:v>35582</c:v>
                </c:pt>
                <c:pt idx="90">
                  <c:v>35612</c:v>
                </c:pt>
                <c:pt idx="91">
                  <c:v>35643</c:v>
                </c:pt>
                <c:pt idx="92">
                  <c:v>35674</c:v>
                </c:pt>
                <c:pt idx="93">
                  <c:v>35704</c:v>
                </c:pt>
                <c:pt idx="94">
                  <c:v>35735</c:v>
                </c:pt>
                <c:pt idx="95">
                  <c:v>35765</c:v>
                </c:pt>
                <c:pt idx="96">
                  <c:v>35796</c:v>
                </c:pt>
                <c:pt idx="97">
                  <c:v>35827</c:v>
                </c:pt>
                <c:pt idx="98">
                  <c:v>35855</c:v>
                </c:pt>
                <c:pt idx="99">
                  <c:v>35886</c:v>
                </c:pt>
                <c:pt idx="100">
                  <c:v>35916</c:v>
                </c:pt>
                <c:pt idx="101">
                  <c:v>35947</c:v>
                </c:pt>
                <c:pt idx="102">
                  <c:v>35977</c:v>
                </c:pt>
                <c:pt idx="103">
                  <c:v>36008</c:v>
                </c:pt>
                <c:pt idx="104">
                  <c:v>36039</c:v>
                </c:pt>
                <c:pt idx="105">
                  <c:v>36069</c:v>
                </c:pt>
                <c:pt idx="106">
                  <c:v>36100</c:v>
                </c:pt>
                <c:pt idx="107">
                  <c:v>36130</c:v>
                </c:pt>
                <c:pt idx="108">
                  <c:v>36161</c:v>
                </c:pt>
                <c:pt idx="109">
                  <c:v>36192</c:v>
                </c:pt>
                <c:pt idx="110">
                  <c:v>36220</c:v>
                </c:pt>
                <c:pt idx="111">
                  <c:v>36251</c:v>
                </c:pt>
                <c:pt idx="112">
                  <c:v>36281</c:v>
                </c:pt>
                <c:pt idx="113">
                  <c:v>36312</c:v>
                </c:pt>
                <c:pt idx="114">
                  <c:v>36342</c:v>
                </c:pt>
                <c:pt idx="115">
                  <c:v>36373</c:v>
                </c:pt>
                <c:pt idx="116">
                  <c:v>36404</c:v>
                </c:pt>
                <c:pt idx="117">
                  <c:v>36434</c:v>
                </c:pt>
                <c:pt idx="118">
                  <c:v>36465</c:v>
                </c:pt>
                <c:pt idx="119">
                  <c:v>36495</c:v>
                </c:pt>
                <c:pt idx="120">
                  <c:v>36526</c:v>
                </c:pt>
                <c:pt idx="121">
                  <c:v>36557</c:v>
                </c:pt>
                <c:pt idx="122">
                  <c:v>36586</c:v>
                </c:pt>
                <c:pt idx="123">
                  <c:v>36617</c:v>
                </c:pt>
                <c:pt idx="124">
                  <c:v>36647</c:v>
                </c:pt>
                <c:pt idx="125">
                  <c:v>36678</c:v>
                </c:pt>
                <c:pt idx="126">
                  <c:v>36708</c:v>
                </c:pt>
                <c:pt idx="127">
                  <c:v>36739</c:v>
                </c:pt>
                <c:pt idx="128">
                  <c:v>36770</c:v>
                </c:pt>
                <c:pt idx="129">
                  <c:v>36800</c:v>
                </c:pt>
                <c:pt idx="130">
                  <c:v>36831</c:v>
                </c:pt>
                <c:pt idx="131">
                  <c:v>36861</c:v>
                </c:pt>
                <c:pt idx="132">
                  <c:v>36892</c:v>
                </c:pt>
                <c:pt idx="133">
                  <c:v>36923</c:v>
                </c:pt>
                <c:pt idx="134">
                  <c:v>36951</c:v>
                </c:pt>
                <c:pt idx="135">
                  <c:v>36982</c:v>
                </c:pt>
                <c:pt idx="136">
                  <c:v>37012</c:v>
                </c:pt>
                <c:pt idx="137">
                  <c:v>37043</c:v>
                </c:pt>
                <c:pt idx="138">
                  <c:v>37073</c:v>
                </c:pt>
                <c:pt idx="139">
                  <c:v>37104</c:v>
                </c:pt>
                <c:pt idx="140">
                  <c:v>37135</c:v>
                </c:pt>
                <c:pt idx="141">
                  <c:v>37165</c:v>
                </c:pt>
                <c:pt idx="142">
                  <c:v>37196</c:v>
                </c:pt>
                <c:pt idx="143">
                  <c:v>37226</c:v>
                </c:pt>
                <c:pt idx="144">
                  <c:v>37257</c:v>
                </c:pt>
                <c:pt idx="145">
                  <c:v>37288</c:v>
                </c:pt>
                <c:pt idx="146">
                  <c:v>37316</c:v>
                </c:pt>
                <c:pt idx="147">
                  <c:v>37347</c:v>
                </c:pt>
                <c:pt idx="148">
                  <c:v>37377</c:v>
                </c:pt>
                <c:pt idx="149">
                  <c:v>37408</c:v>
                </c:pt>
                <c:pt idx="150">
                  <c:v>37438</c:v>
                </c:pt>
                <c:pt idx="151">
                  <c:v>37469</c:v>
                </c:pt>
                <c:pt idx="152">
                  <c:v>37500</c:v>
                </c:pt>
                <c:pt idx="153">
                  <c:v>37530</c:v>
                </c:pt>
                <c:pt idx="154">
                  <c:v>37561</c:v>
                </c:pt>
                <c:pt idx="155">
                  <c:v>37591</c:v>
                </c:pt>
                <c:pt idx="156">
                  <c:v>37622</c:v>
                </c:pt>
                <c:pt idx="157">
                  <c:v>37653</c:v>
                </c:pt>
                <c:pt idx="158">
                  <c:v>37681</c:v>
                </c:pt>
                <c:pt idx="159">
                  <c:v>37712</c:v>
                </c:pt>
                <c:pt idx="160">
                  <c:v>37742</c:v>
                </c:pt>
                <c:pt idx="161">
                  <c:v>37773</c:v>
                </c:pt>
                <c:pt idx="162">
                  <c:v>37803</c:v>
                </c:pt>
                <c:pt idx="163">
                  <c:v>37834</c:v>
                </c:pt>
                <c:pt idx="164">
                  <c:v>37865</c:v>
                </c:pt>
                <c:pt idx="165">
                  <c:v>37895</c:v>
                </c:pt>
                <c:pt idx="166">
                  <c:v>37926</c:v>
                </c:pt>
                <c:pt idx="167">
                  <c:v>37956</c:v>
                </c:pt>
                <c:pt idx="168">
                  <c:v>37987</c:v>
                </c:pt>
                <c:pt idx="169">
                  <c:v>38018</c:v>
                </c:pt>
                <c:pt idx="170">
                  <c:v>38047</c:v>
                </c:pt>
                <c:pt idx="171">
                  <c:v>38078</c:v>
                </c:pt>
                <c:pt idx="172">
                  <c:v>38108</c:v>
                </c:pt>
                <c:pt idx="173">
                  <c:v>38139</c:v>
                </c:pt>
                <c:pt idx="174">
                  <c:v>38169</c:v>
                </c:pt>
                <c:pt idx="175">
                  <c:v>38200</c:v>
                </c:pt>
                <c:pt idx="176">
                  <c:v>38231</c:v>
                </c:pt>
                <c:pt idx="177">
                  <c:v>38261</c:v>
                </c:pt>
                <c:pt idx="178">
                  <c:v>38292</c:v>
                </c:pt>
                <c:pt idx="179">
                  <c:v>38322</c:v>
                </c:pt>
                <c:pt idx="180">
                  <c:v>38353</c:v>
                </c:pt>
                <c:pt idx="181">
                  <c:v>38384</c:v>
                </c:pt>
                <c:pt idx="182">
                  <c:v>38412</c:v>
                </c:pt>
                <c:pt idx="183">
                  <c:v>38443</c:v>
                </c:pt>
                <c:pt idx="184">
                  <c:v>38473</c:v>
                </c:pt>
                <c:pt idx="185">
                  <c:v>38504</c:v>
                </c:pt>
                <c:pt idx="186">
                  <c:v>38534</c:v>
                </c:pt>
                <c:pt idx="187">
                  <c:v>38565</c:v>
                </c:pt>
                <c:pt idx="188">
                  <c:v>38596</c:v>
                </c:pt>
                <c:pt idx="189">
                  <c:v>38626</c:v>
                </c:pt>
                <c:pt idx="190">
                  <c:v>38657</c:v>
                </c:pt>
                <c:pt idx="191">
                  <c:v>38687</c:v>
                </c:pt>
                <c:pt idx="192">
                  <c:v>38718</c:v>
                </c:pt>
                <c:pt idx="193">
                  <c:v>38749</c:v>
                </c:pt>
                <c:pt idx="194">
                  <c:v>38777</c:v>
                </c:pt>
                <c:pt idx="195">
                  <c:v>38808</c:v>
                </c:pt>
                <c:pt idx="196">
                  <c:v>38838</c:v>
                </c:pt>
                <c:pt idx="197">
                  <c:v>38869</c:v>
                </c:pt>
                <c:pt idx="198">
                  <c:v>38899</c:v>
                </c:pt>
                <c:pt idx="199">
                  <c:v>38930</c:v>
                </c:pt>
                <c:pt idx="200">
                  <c:v>38961</c:v>
                </c:pt>
                <c:pt idx="201">
                  <c:v>38991</c:v>
                </c:pt>
                <c:pt idx="202">
                  <c:v>39022</c:v>
                </c:pt>
                <c:pt idx="203">
                  <c:v>39052</c:v>
                </c:pt>
                <c:pt idx="204">
                  <c:v>39083</c:v>
                </c:pt>
                <c:pt idx="205">
                  <c:v>39114</c:v>
                </c:pt>
                <c:pt idx="206">
                  <c:v>39142</c:v>
                </c:pt>
                <c:pt idx="207">
                  <c:v>39173</c:v>
                </c:pt>
                <c:pt idx="208">
                  <c:v>39203</c:v>
                </c:pt>
                <c:pt idx="209">
                  <c:v>39234</c:v>
                </c:pt>
                <c:pt idx="210">
                  <c:v>39264</c:v>
                </c:pt>
                <c:pt idx="211">
                  <c:v>39295</c:v>
                </c:pt>
                <c:pt idx="212">
                  <c:v>39326</c:v>
                </c:pt>
                <c:pt idx="213">
                  <c:v>39356</c:v>
                </c:pt>
                <c:pt idx="214">
                  <c:v>39387</c:v>
                </c:pt>
                <c:pt idx="215">
                  <c:v>39417</c:v>
                </c:pt>
                <c:pt idx="216">
                  <c:v>39448</c:v>
                </c:pt>
                <c:pt idx="217">
                  <c:v>39479</c:v>
                </c:pt>
                <c:pt idx="218">
                  <c:v>39508</c:v>
                </c:pt>
                <c:pt idx="219">
                  <c:v>39539</c:v>
                </c:pt>
                <c:pt idx="220">
                  <c:v>39569</c:v>
                </c:pt>
                <c:pt idx="221">
                  <c:v>39600</c:v>
                </c:pt>
                <c:pt idx="222">
                  <c:v>39630</c:v>
                </c:pt>
                <c:pt idx="223">
                  <c:v>39661</c:v>
                </c:pt>
                <c:pt idx="224">
                  <c:v>39692</c:v>
                </c:pt>
                <c:pt idx="225">
                  <c:v>39722</c:v>
                </c:pt>
                <c:pt idx="226">
                  <c:v>39753</c:v>
                </c:pt>
                <c:pt idx="227">
                  <c:v>39783</c:v>
                </c:pt>
                <c:pt idx="228">
                  <c:v>39814</c:v>
                </c:pt>
                <c:pt idx="229">
                  <c:v>39845</c:v>
                </c:pt>
                <c:pt idx="230">
                  <c:v>39873</c:v>
                </c:pt>
                <c:pt idx="231">
                  <c:v>39904</c:v>
                </c:pt>
                <c:pt idx="232">
                  <c:v>39934</c:v>
                </c:pt>
                <c:pt idx="233">
                  <c:v>39965</c:v>
                </c:pt>
                <c:pt idx="234">
                  <c:v>39995</c:v>
                </c:pt>
                <c:pt idx="235">
                  <c:v>40026</c:v>
                </c:pt>
                <c:pt idx="236">
                  <c:v>40057</c:v>
                </c:pt>
                <c:pt idx="237">
                  <c:v>40087</c:v>
                </c:pt>
                <c:pt idx="238">
                  <c:v>40118</c:v>
                </c:pt>
                <c:pt idx="239">
                  <c:v>40148</c:v>
                </c:pt>
                <c:pt idx="240">
                  <c:v>40179</c:v>
                </c:pt>
                <c:pt idx="241">
                  <c:v>40210</c:v>
                </c:pt>
                <c:pt idx="242">
                  <c:v>40238</c:v>
                </c:pt>
                <c:pt idx="243">
                  <c:v>40269</c:v>
                </c:pt>
                <c:pt idx="244">
                  <c:v>40299</c:v>
                </c:pt>
                <c:pt idx="245">
                  <c:v>40330</c:v>
                </c:pt>
                <c:pt idx="246">
                  <c:v>40360</c:v>
                </c:pt>
                <c:pt idx="247">
                  <c:v>40391</c:v>
                </c:pt>
                <c:pt idx="248">
                  <c:v>40422</c:v>
                </c:pt>
                <c:pt idx="249">
                  <c:v>40452</c:v>
                </c:pt>
                <c:pt idx="250">
                  <c:v>40483</c:v>
                </c:pt>
                <c:pt idx="251">
                  <c:v>40513</c:v>
                </c:pt>
                <c:pt idx="252">
                  <c:v>40544</c:v>
                </c:pt>
                <c:pt idx="253">
                  <c:v>40575</c:v>
                </c:pt>
                <c:pt idx="254">
                  <c:v>40603</c:v>
                </c:pt>
                <c:pt idx="255">
                  <c:v>40634</c:v>
                </c:pt>
                <c:pt idx="256">
                  <c:v>40664</c:v>
                </c:pt>
                <c:pt idx="257">
                  <c:v>40695</c:v>
                </c:pt>
                <c:pt idx="258">
                  <c:v>40725</c:v>
                </c:pt>
                <c:pt idx="259">
                  <c:v>40756</c:v>
                </c:pt>
                <c:pt idx="260">
                  <c:v>40787</c:v>
                </c:pt>
                <c:pt idx="261">
                  <c:v>40817</c:v>
                </c:pt>
                <c:pt idx="262">
                  <c:v>40848</c:v>
                </c:pt>
                <c:pt idx="263">
                  <c:v>40878</c:v>
                </c:pt>
                <c:pt idx="264">
                  <c:v>40909</c:v>
                </c:pt>
                <c:pt idx="265">
                  <c:v>40940</c:v>
                </c:pt>
                <c:pt idx="266">
                  <c:v>40969</c:v>
                </c:pt>
                <c:pt idx="267">
                  <c:v>41000</c:v>
                </c:pt>
                <c:pt idx="268">
                  <c:v>41030</c:v>
                </c:pt>
                <c:pt idx="269">
                  <c:v>41061</c:v>
                </c:pt>
                <c:pt idx="270">
                  <c:v>41091</c:v>
                </c:pt>
                <c:pt idx="271">
                  <c:v>41122</c:v>
                </c:pt>
                <c:pt idx="272">
                  <c:v>41153</c:v>
                </c:pt>
                <c:pt idx="273">
                  <c:v>41183</c:v>
                </c:pt>
                <c:pt idx="274">
                  <c:v>41214</c:v>
                </c:pt>
                <c:pt idx="275">
                  <c:v>41244</c:v>
                </c:pt>
                <c:pt idx="276">
                  <c:v>41275</c:v>
                </c:pt>
                <c:pt idx="277">
                  <c:v>41306</c:v>
                </c:pt>
                <c:pt idx="278">
                  <c:v>41334</c:v>
                </c:pt>
                <c:pt idx="279">
                  <c:v>41365</c:v>
                </c:pt>
                <c:pt idx="280">
                  <c:v>41395</c:v>
                </c:pt>
                <c:pt idx="281">
                  <c:v>41426</c:v>
                </c:pt>
                <c:pt idx="282">
                  <c:v>41456</c:v>
                </c:pt>
                <c:pt idx="283">
                  <c:v>41487</c:v>
                </c:pt>
                <c:pt idx="284">
                  <c:v>41518</c:v>
                </c:pt>
                <c:pt idx="285">
                  <c:v>41548</c:v>
                </c:pt>
                <c:pt idx="286">
                  <c:v>41579</c:v>
                </c:pt>
                <c:pt idx="287">
                  <c:v>41609</c:v>
                </c:pt>
                <c:pt idx="288">
                  <c:v>41640</c:v>
                </c:pt>
                <c:pt idx="289">
                  <c:v>41671</c:v>
                </c:pt>
                <c:pt idx="290">
                  <c:v>41699</c:v>
                </c:pt>
                <c:pt idx="291">
                  <c:v>41730</c:v>
                </c:pt>
                <c:pt idx="292">
                  <c:v>41760</c:v>
                </c:pt>
                <c:pt idx="293">
                  <c:v>41791</c:v>
                </c:pt>
                <c:pt idx="294">
                  <c:v>41821</c:v>
                </c:pt>
                <c:pt idx="295">
                  <c:v>41852</c:v>
                </c:pt>
                <c:pt idx="296">
                  <c:v>41883</c:v>
                </c:pt>
                <c:pt idx="297">
                  <c:v>41913</c:v>
                </c:pt>
                <c:pt idx="298">
                  <c:v>41944</c:v>
                </c:pt>
                <c:pt idx="299">
                  <c:v>41974</c:v>
                </c:pt>
                <c:pt idx="300">
                  <c:v>42005</c:v>
                </c:pt>
                <c:pt idx="301">
                  <c:v>42036</c:v>
                </c:pt>
                <c:pt idx="302">
                  <c:v>42064</c:v>
                </c:pt>
                <c:pt idx="303">
                  <c:v>42095</c:v>
                </c:pt>
                <c:pt idx="304">
                  <c:v>42125</c:v>
                </c:pt>
                <c:pt idx="305">
                  <c:v>42156</c:v>
                </c:pt>
                <c:pt idx="306">
                  <c:v>42186</c:v>
                </c:pt>
                <c:pt idx="307">
                  <c:v>42217</c:v>
                </c:pt>
                <c:pt idx="308">
                  <c:v>42248</c:v>
                </c:pt>
                <c:pt idx="309">
                  <c:v>42278</c:v>
                </c:pt>
                <c:pt idx="310">
                  <c:v>42309</c:v>
                </c:pt>
                <c:pt idx="311">
                  <c:v>42339</c:v>
                </c:pt>
                <c:pt idx="312">
                  <c:v>42370</c:v>
                </c:pt>
                <c:pt idx="313">
                  <c:v>42401</c:v>
                </c:pt>
                <c:pt idx="314">
                  <c:v>42430</c:v>
                </c:pt>
                <c:pt idx="315">
                  <c:v>42461</c:v>
                </c:pt>
                <c:pt idx="316">
                  <c:v>42491</c:v>
                </c:pt>
                <c:pt idx="317">
                  <c:v>42522</c:v>
                </c:pt>
                <c:pt idx="318">
                  <c:v>42552</c:v>
                </c:pt>
                <c:pt idx="319">
                  <c:v>42583</c:v>
                </c:pt>
                <c:pt idx="320">
                  <c:v>42614</c:v>
                </c:pt>
                <c:pt idx="321">
                  <c:v>42644</c:v>
                </c:pt>
                <c:pt idx="322">
                  <c:v>42675</c:v>
                </c:pt>
                <c:pt idx="323">
                  <c:v>42705</c:v>
                </c:pt>
                <c:pt idx="324">
                  <c:v>42736</c:v>
                </c:pt>
              </c:numCache>
            </c:numRef>
          </c:cat>
          <c:val>
            <c:numRef>
              <c:f>'FRED Graph'!$C$12:$C$336</c:f>
              <c:numCache>
                <c:formatCode>0</c:formatCode>
                <c:ptCount val="3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numCache>
            </c:numRef>
          </c:val>
          <c:smooth val="0"/>
          <c:extLst>
            <c:ext xmlns:c16="http://schemas.microsoft.com/office/drawing/2014/chart" uri="{C3380CC4-5D6E-409C-BE32-E72D297353CC}">
              <c16:uniqueId val="{00000001-8BA9-48BD-A752-4FF62061C2C3}"/>
            </c:ext>
          </c:extLst>
        </c:ser>
        <c:dLbls>
          <c:showLegendKey val="0"/>
          <c:showVal val="0"/>
          <c:showCatName val="0"/>
          <c:showSerName val="0"/>
          <c:showPercent val="0"/>
          <c:showBubbleSize val="0"/>
        </c:dLbls>
        <c:smooth val="0"/>
        <c:axId val="1597422175"/>
        <c:axId val="1640995167"/>
      </c:lineChart>
      <c:dateAx>
        <c:axId val="1597422175"/>
        <c:scaling>
          <c:orientation val="minMax"/>
          <c:min val="33239"/>
        </c:scaling>
        <c:delete val="0"/>
        <c:axPos val="b"/>
        <c:numFmt formatCode="yyyy"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en-US"/>
          </a:p>
        </c:txPr>
        <c:crossAx val="1640995167"/>
        <c:crosses val="autoZero"/>
        <c:auto val="1"/>
        <c:lblOffset val="100"/>
        <c:baseTimeUnit val="months"/>
        <c:majorUnit val="12"/>
        <c:majorTimeUnit val="months"/>
        <c:minorUnit val="12"/>
        <c:minorTimeUnit val="months"/>
      </c:dateAx>
      <c:valAx>
        <c:axId val="164099516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597422175"/>
        <c:crosses val="autoZero"/>
        <c:crossBetween val="midCat"/>
        <c:majorUnit val="1"/>
      </c:valAx>
      <c:spPr>
        <a:noFill/>
        <a:ln w="6350">
          <a:solidFill>
            <a:schemeClr val="tx1"/>
          </a:solidFill>
        </a:ln>
        <a:effectLst/>
      </c:spPr>
    </c:plotArea>
    <c:plotVisOnly val="1"/>
    <c:dispBlanksAs val="gap"/>
    <c:showDLblsOverMax val="0"/>
  </c:chart>
  <c:spPr>
    <a:no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6230987724157937E-2"/>
          <c:y val="3.1799722965836157E-2"/>
          <c:w val="0.89436183389972779"/>
          <c:h val="0.84234807629352682"/>
        </c:manualLayout>
      </c:layout>
      <c:lineChart>
        <c:grouping val="standard"/>
        <c:varyColors val="0"/>
        <c:ser>
          <c:idx val="0"/>
          <c:order val="0"/>
          <c:tx>
            <c:strRef>
              <c:f>Sheet1!$G$1</c:f>
              <c:strCache>
                <c:ptCount val="1"/>
                <c:pt idx="0">
                  <c:v>AUS</c:v>
                </c:pt>
              </c:strCache>
            </c:strRef>
          </c:tx>
          <c:spPr>
            <a:ln w="19050" cap="rnd">
              <a:solidFill>
                <a:srgbClr val="FF0000"/>
              </a:solidFill>
              <a:round/>
            </a:ln>
            <a:effectLst/>
          </c:spPr>
          <c:marker>
            <c:symbol val="none"/>
          </c:marker>
          <c:cat>
            <c:numRef>
              <c:f>Sheet1!$F$3:$F$29</c:f>
              <c:numCache>
                <c:formatCode>m/d/yyyy</c:formatCode>
                <c:ptCount val="26"/>
                <c:pt idx="0">
                  <c:v>33603</c:v>
                </c:pt>
                <c:pt idx="1">
                  <c:v>33969</c:v>
                </c:pt>
                <c:pt idx="2">
                  <c:v>34334</c:v>
                </c:pt>
                <c:pt idx="3">
                  <c:v>34699</c:v>
                </c:pt>
                <c:pt idx="4">
                  <c:v>35064</c:v>
                </c:pt>
                <c:pt idx="5">
                  <c:v>35430</c:v>
                </c:pt>
                <c:pt idx="6">
                  <c:v>35795</c:v>
                </c:pt>
                <c:pt idx="7">
                  <c:v>36160</c:v>
                </c:pt>
                <c:pt idx="8">
                  <c:v>36525</c:v>
                </c:pt>
                <c:pt idx="9">
                  <c:v>36891</c:v>
                </c:pt>
                <c:pt idx="10">
                  <c:v>37256</c:v>
                </c:pt>
                <c:pt idx="11">
                  <c:v>37621</c:v>
                </c:pt>
                <c:pt idx="12">
                  <c:v>37986</c:v>
                </c:pt>
                <c:pt idx="13">
                  <c:v>38352</c:v>
                </c:pt>
                <c:pt idx="14">
                  <c:v>38717</c:v>
                </c:pt>
                <c:pt idx="15">
                  <c:v>39082</c:v>
                </c:pt>
                <c:pt idx="16">
                  <c:v>39447</c:v>
                </c:pt>
                <c:pt idx="17">
                  <c:v>39813</c:v>
                </c:pt>
                <c:pt idx="18">
                  <c:v>40178</c:v>
                </c:pt>
                <c:pt idx="19">
                  <c:v>40543</c:v>
                </c:pt>
                <c:pt idx="20">
                  <c:v>40908</c:v>
                </c:pt>
                <c:pt idx="21">
                  <c:v>41274</c:v>
                </c:pt>
                <c:pt idx="22">
                  <c:v>41639</c:v>
                </c:pt>
                <c:pt idx="23">
                  <c:v>42004</c:v>
                </c:pt>
                <c:pt idx="24">
                  <c:v>42369</c:v>
                </c:pt>
                <c:pt idx="25">
                  <c:v>42735</c:v>
                </c:pt>
              </c:numCache>
            </c:numRef>
          </c:cat>
          <c:val>
            <c:numRef>
              <c:f>Sheet1!$G$3:$G$29</c:f>
              <c:numCache>
                <c:formatCode>0.0_ ;\-0.0\ </c:formatCode>
                <c:ptCount val="26"/>
                <c:pt idx="0">
                  <c:v>2.6</c:v>
                </c:pt>
                <c:pt idx="1">
                  <c:v>1.9</c:v>
                </c:pt>
                <c:pt idx="2">
                  <c:v>2.6</c:v>
                </c:pt>
                <c:pt idx="3">
                  <c:v>2.4</c:v>
                </c:pt>
                <c:pt idx="4">
                  <c:v>4.0999999999999996</c:v>
                </c:pt>
                <c:pt idx="5">
                  <c:v>2.2000000000000002</c:v>
                </c:pt>
                <c:pt idx="6">
                  <c:v>1.5</c:v>
                </c:pt>
                <c:pt idx="7">
                  <c:v>1.5</c:v>
                </c:pt>
                <c:pt idx="8">
                  <c:v>1.8</c:v>
                </c:pt>
                <c:pt idx="9">
                  <c:v>2.5</c:v>
                </c:pt>
                <c:pt idx="10">
                  <c:v>3.1</c:v>
                </c:pt>
                <c:pt idx="11">
                  <c:v>2.9</c:v>
                </c:pt>
                <c:pt idx="12">
                  <c:v>2.4</c:v>
                </c:pt>
                <c:pt idx="13">
                  <c:v>2.5</c:v>
                </c:pt>
                <c:pt idx="14">
                  <c:v>2.8</c:v>
                </c:pt>
                <c:pt idx="15">
                  <c:v>3.3</c:v>
                </c:pt>
                <c:pt idx="16">
                  <c:v>2.9</c:v>
                </c:pt>
                <c:pt idx="17">
                  <c:v>3.7</c:v>
                </c:pt>
                <c:pt idx="18">
                  <c:v>2.1</c:v>
                </c:pt>
                <c:pt idx="19">
                  <c:v>2.8</c:v>
                </c:pt>
                <c:pt idx="20">
                  <c:v>3</c:v>
                </c:pt>
                <c:pt idx="21">
                  <c:v>2.2000000000000002</c:v>
                </c:pt>
                <c:pt idx="22">
                  <c:v>2.7</c:v>
                </c:pt>
                <c:pt idx="23">
                  <c:v>1.7</c:v>
                </c:pt>
                <c:pt idx="24">
                  <c:v>1.7</c:v>
                </c:pt>
                <c:pt idx="25">
                  <c:v>1.5</c:v>
                </c:pt>
              </c:numCache>
            </c:numRef>
          </c:val>
          <c:smooth val="0"/>
          <c:extLst>
            <c:ext xmlns:c16="http://schemas.microsoft.com/office/drawing/2014/chart" uri="{C3380CC4-5D6E-409C-BE32-E72D297353CC}">
              <c16:uniqueId val="{00000000-28CE-4BDD-A799-D6B7AD1D031D}"/>
            </c:ext>
          </c:extLst>
        </c:ser>
        <c:ser>
          <c:idx val="1"/>
          <c:order val="1"/>
          <c:tx>
            <c:strRef>
              <c:f>Sheet1!$H$1</c:f>
              <c:strCache>
                <c:ptCount val="1"/>
                <c:pt idx="0">
                  <c:v>Median (AUS)</c:v>
                </c:pt>
              </c:strCache>
            </c:strRef>
          </c:tx>
          <c:spPr>
            <a:ln w="12700" cap="rnd">
              <a:solidFill>
                <a:srgbClr val="C00000"/>
              </a:solidFill>
              <a:prstDash val="sysDash"/>
              <a:round/>
            </a:ln>
            <a:effectLst/>
          </c:spPr>
          <c:marker>
            <c:symbol val="none"/>
          </c:marker>
          <c:cat>
            <c:numRef>
              <c:f>Sheet1!$F$3:$F$29</c:f>
              <c:numCache>
                <c:formatCode>m/d/yyyy</c:formatCode>
                <c:ptCount val="26"/>
                <c:pt idx="0">
                  <c:v>33603</c:v>
                </c:pt>
                <c:pt idx="1">
                  <c:v>33969</c:v>
                </c:pt>
                <c:pt idx="2">
                  <c:v>34334</c:v>
                </c:pt>
                <c:pt idx="3">
                  <c:v>34699</c:v>
                </c:pt>
                <c:pt idx="4">
                  <c:v>35064</c:v>
                </c:pt>
                <c:pt idx="5">
                  <c:v>35430</c:v>
                </c:pt>
                <c:pt idx="6">
                  <c:v>35795</c:v>
                </c:pt>
                <c:pt idx="7">
                  <c:v>36160</c:v>
                </c:pt>
                <c:pt idx="8">
                  <c:v>36525</c:v>
                </c:pt>
                <c:pt idx="9">
                  <c:v>36891</c:v>
                </c:pt>
                <c:pt idx="10">
                  <c:v>37256</c:v>
                </c:pt>
                <c:pt idx="11">
                  <c:v>37621</c:v>
                </c:pt>
                <c:pt idx="12">
                  <c:v>37986</c:v>
                </c:pt>
                <c:pt idx="13">
                  <c:v>38352</c:v>
                </c:pt>
                <c:pt idx="14">
                  <c:v>38717</c:v>
                </c:pt>
                <c:pt idx="15">
                  <c:v>39082</c:v>
                </c:pt>
                <c:pt idx="16">
                  <c:v>39447</c:v>
                </c:pt>
                <c:pt idx="17">
                  <c:v>39813</c:v>
                </c:pt>
                <c:pt idx="18">
                  <c:v>40178</c:v>
                </c:pt>
                <c:pt idx="19">
                  <c:v>40543</c:v>
                </c:pt>
                <c:pt idx="20">
                  <c:v>40908</c:v>
                </c:pt>
                <c:pt idx="21">
                  <c:v>41274</c:v>
                </c:pt>
                <c:pt idx="22">
                  <c:v>41639</c:v>
                </c:pt>
                <c:pt idx="23">
                  <c:v>42004</c:v>
                </c:pt>
                <c:pt idx="24">
                  <c:v>42369</c:v>
                </c:pt>
                <c:pt idx="25">
                  <c:v>42735</c:v>
                </c:pt>
              </c:numCache>
            </c:numRef>
          </c:cat>
          <c:val>
            <c:numRef>
              <c:f>Sheet1!$H$3:$H$29</c:f>
              <c:numCache>
                <c:formatCode>0.0_ ;\-0.0\ </c:formatCode>
                <c:ptCount val="26"/>
                <c:pt idx="0">
                  <c:v>2.6</c:v>
                </c:pt>
                <c:pt idx="1">
                  <c:v>2.6</c:v>
                </c:pt>
                <c:pt idx="2">
                  <c:v>2.6</c:v>
                </c:pt>
                <c:pt idx="3">
                  <c:v>2.6</c:v>
                </c:pt>
                <c:pt idx="4">
                  <c:v>2.6</c:v>
                </c:pt>
                <c:pt idx="5">
                  <c:v>2.6</c:v>
                </c:pt>
                <c:pt idx="6">
                  <c:v>2.6</c:v>
                </c:pt>
                <c:pt idx="7">
                  <c:v>2.6</c:v>
                </c:pt>
                <c:pt idx="8">
                  <c:v>2.6</c:v>
                </c:pt>
                <c:pt idx="9">
                  <c:v>2.6</c:v>
                </c:pt>
                <c:pt idx="10">
                  <c:v>2.6</c:v>
                </c:pt>
                <c:pt idx="11">
                  <c:v>2.6</c:v>
                </c:pt>
                <c:pt idx="12">
                  <c:v>2.6</c:v>
                </c:pt>
                <c:pt idx="13">
                  <c:v>2.6</c:v>
                </c:pt>
                <c:pt idx="14">
                  <c:v>2.6</c:v>
                </c:pt>
                <c:pt idx="15">
                  <c:v>2.6</c:v>
                </c:pt>
                <c:pt idx="16">
                  <c:v>2.6</c:v>
                </c:pt>
                <c:pt idx="17">
                  <c:v>2.6</c:v>
                </c:pt>
                <c:pt idx="18">
                  <c:v>2.6</c:v>
                </c:pt>
                <c:pt idx="19">
                  <c:v>2.6</c:v>
                </c:pt>
                <c:pt idx="20">
                  <c:v>2.6</c:v>
                </c:pt>
                <c:pt idx="21">
                  <c:v>2.6</c:v>
                </c:pt>
                <c:pt idx="22">
                  <c:v>2.6</c:v>
                </c:pt>
                <c:pt idx="23">
                  <c:v>2.6</c:v>
                </c:pt>
                <c:pt idx="24">
                  <c:v>2.6</c:v>
                </c:pt>
                <c:pt idx="25">
                  <c:v>2.6</c:v>
                </c:pt>
              </c:numCache>
            </c:numRef>
          </c:val>
          <c:smooth val="0"/>
          <c:extLst>
            <c:ext xmlns:c16="http://schemas.microsoft.com/office/drawing/2014/chart" uri="{C3380CC4-5D6E-409C-BE32-E72D297353CC}">
              <c16:uniqueId val="{00000001-28CE-4BDD-A799-D6B7AD1D031D}"/>
            </c:ext>
          </c:extLst>
        </c:ser>
        <c:ser>
          <c:idx val="2"/>
          <c:order val="2"/>
          <c:tx>
            <c:strRef>
              <c:f>Sheet1!$I$1</c:f>
              <c:strCache>
                <c:ptCount val="1"/>
                <c:pt idx="0">
                  <c:v>US</c:v>
                </c:pt>
              </c:strCache>
            </c:strRef>
          </c:tx>
          <c:spPr>
            <a:ln w="19050" cap="rnd">
              <a:solidFill>
                <a:schemeClr val="tx1"/>
              </a:solidFill>
              <a:round/>
            </a:ln>
            <a:effectLst/>
          </c:spPr>
          <c:marker>
            <c:symbol val="none"/>
          </c:marker>
          <c:cat>
            <c:numRef>
              <c:f>Sheet1!$F$3:$F$29</c:f>
              <c:numCache>
                <c:formatCode>m/d/yyyy</c:formatCode>
                <c:ptCount val="26"/>
                <c:pt idx="0">
                  <c:v>33603</c:v>
                </c:pt>
                <c:pt idx="1">
                  <c:v>33969</c:v>
                </c:pt>
                <c:pt idx="2">
                  <c:v>34334</c:v>
                </c:pt>
                <c:pt idx="3">
                  <c:v>34699</c:v>
                </c:pt>
                <c:pt idx="4">
                  <c:v>35064</c:v>
                </c:pt>
                <c:pt idx="5">
                  <c:v>35430</c:v>
                </c:pt>
                <c:pt idx="6">
                  <c:v>35795</c:v>
                </c:pt>
                <c:pt idx="7">
                  <c:v>36160</c:v>
                </c:pt>
                <c:pt idx="8">
                  <c:v>36525</c:v>
                </c:pt>
                <c:pt idx="9">
                  <c:v>36891</c:v>
                </c:pt>
                <c:pt idx="10">
                  <c:v>37256</c:v>
                </c:pt>
                <c:pt idx="11">
                  <c:v>37621</c:v>
                </c:pt>
                <c:pt idx="12">
                  <c:v>37986</c:v>
                </c:pt>
                <c:pt idx="13">
                  <c:v>38352</c:v>
                </c:pt>
                <c:pt idx="14">
                  <c:v>38717</c:v>
                </c:pt>
                <c:pt idx="15">
                  <c:v>39082</c:v>
                </c:pt>
                <c:pt idx="16">
                  <c:v>39447</c:v>
                </c:pt>
                <c:pt idx="17">
                  <c:v>39813</c:v>
                </c:pt>
                <c:pt idx="18">
                  <c:v>40178</c:v>
                </c:pt>
                <c:pt idx="19">
                  <c:v>40543</c:v>
                </c:pt>
                <c:pt idx="20">
                  <c:v>40908</c:v>
                </c:pt>
                <c:pt idx="21">
                  <c:v>41274</c:v>
                </c:pt>
                <c:pt idx="22">
                  <c:v>41639</c:v>
                </c:pt>
                <c:pt idx="23">
                  <c:v>42004</c:v>
                </c:pt>
                <c:pt idx="24">
                  <c:v>42369</c:v>
                </c:pt>
                <c:pt idx="25">
                  <c:v>42735</c:v>
                </c:pt>
              </c:numCache>
            </c:numRef>
          </c:cat>
          <c:val>
            <c:numRef>
              <c:f>Sheet1!$I$3:$I$29</c:f>
              <c:numCache>
                <c:formatCode>General</c:formatCode>
                <c:ptCount val="26"/>
                <c:pt idx="0">
                  <c:v>2.9</c:v>
                </c:pt>
                <c:pt idx="1">
                  <c:v>2.7</c:v>
                </c:pt>
                <c:pt idx="2">
                  <c:v>2.7</c:v>
                </c:pt>
                <c:pt idx="3">
                  <c:v>2.5</c:v>
                </c:pt>
                <c:pt idx="4">
                  <c:v>3.3</c:v>
                </c:pt>
                <c:pt idx="5">
                  <c:v>1.7</c:v>
                </c:pt>
                <c:pt idx="6">
                  <c:v>1.6</c:v>
                </c:pt>
                <c:pt idx="7">
                  <c:v>2.7</c:v>
                </c:pt>
                <c:pt idx="8">
                  <c:v>3.4</c:v>
                </c:pt>
                <c:pt idx="9">
                  <c:v>1.6</c:v>
                </c:pt>
                <c:pt idx="10">
                  <c:v>2.4</c:v>
                </c:pt>
                <c:pt idx="11">
                  <c:v>1.9</c:v>
                </c:pt>
                <c:pt idx="12">
                  <c:v>3.3</c:v>
                </c:pt>
                <c:pt idx="13">
                  <c:v>3.4</c:v>
                </c:pt>
                <c:pt idx="14">
                  <c:v>2.5</c:v>
                </c:pt>
                <c:pt idx="15">
                  <c:v>4.0999999999999996</c:v>
                </c:pt>
                <c:pt idx="16">
                  <c:v>0.1</c:v>
                </c:pt>
                <c:pt idx="17">
                  <c:v>2.7</c:v>
                </c:pt>
                <c:pt idx="18">
                  <c:v>1.5</c:v>
                </c:pt>
                <c:pt idx="19">
                  <c:v>3</c:v>
                </c:pt>
                <c:pt idx="20">
                  <c:v>1.7</c:v>
                </c:pt>
                <c:pt idx="21">
                  <c:v>1.5</c:v>
                </c:pt>
                <c:pt idx="22">
                  <c:v>0.8</c:v>
                </c:pt>
                <c:pt idx="23">
                  <c:v>0.7</c:v>
                </c:pt>
                <c:pt idx="24">
                  <c:v>2.1</c:v>
                </c:pt>
                <c:pt idx="25">
                  <c:v>2.1</c:v>
                </c:pt>
              </c:numCache>
            </c:numRef>
          </c:val>
          <c:smooth val="0"/>
          <c:extLst>
            <c:ext xmlns:c16="http://schemas.microsoft.com/office/drawing/2014/chart" uri="{C3380CC4-5D6E-409C-BE32-E72D297353CC}">
              <c16:uniqueId val="{00000002-28CE-4BDD-A799-D6B7AD1D031D}"/>
            </c:ext>
          </c:extLst>
        </c:ser>
        <c:ser>
          <c:idx val="3"/>
          <c:order val="3"/>
          <c:tx>
            <c:strRef>
              <c:f>Sheet1!$J$1</c:f>
              <c:strCache>
                <c:ptCount val="1"/>
                <c:pt idx="0">
                  <c:v>Median (US)</c:v>
                </c:pt>
              </c:strCache>
            </c:strRef>
          </c:tx>
          <c:spPr>
            <a:ln w="19050" cap="rnd">
              <a:solidFill>
                <a:sysClr val="windowText" lastClr="000000"/>
              </a:solidFill>
              <a:prstDash val="sysDot"/>
              <a:round/>
            </a:ln>
            <a:effectLst/>
          </c:spPr>
          <c:marker>
            <c:symbol val="none"/>
          </c:marker>
          <c:cat>
            <c:numRef>
              <c:f>Sheet1!$F$3:$F$29</c:f>
              <c:numCache>
                <c:formatCode>m/d/yyyy</c:formatCode>
                <c:ptCount val="26"/>
                <c:pt idx="0">
                  <c:v>33603</c:v>
                </c:pt>
                <c:pt idx="1">
                  <c:v>33969</c:v>
                </c:pt>
                <c:pt idx="2">
                  <c:v>34334</c:v>
                </c:pt>
                <c:pt idx="3">
                  <c:v>34699</c:v>
                </c:pt>
                <c:pt idx="4">
                  <c:v>35064</c:v>
                </c:pt>
                <c:pt idx="5">
                  <c:v>35430</c:v>
                </c:pt>
                <c:pt idx="6">
                  <c:v>35795</c:v>
                </c:pt>
                <c:pt idx="7">
                  <c:v>36160</c:v>
                </c:pt>
                <c:pt idx="8">
                  <c:v>36525</c:v>
                </c:pt>
                <c:pt idx="9">
                  <c:v>36891</c:v>
                </c:pt>
                <c:pt idx="10">
                  <c:v>37256</c:v>
                </c:pt>
                <c:pt idx="11">
                  <c:v>37621</c:v>
                </c:pt>
                <c:pt idx="12">
                  <c:v>37986</c:v>
                </c:pt>
                <c:pt idx="13">
                  <c:v>38352</c:v>
                </c:pt>
                <c:pt idx="14">
                  <c:v>38717</c:v>
                </c:pt>
                <c:pt idx="15">
                  <c:v>39082</c:v>
                </c:pt>
                <c:pt idx="16">
                  <c:v>39447</c:v>
                </c:pt>
                <c:pt idx="17">
                  <c:v>39813</c:v>
                </c:pt>
                <c:pt idx="18">
                  <c:v>40178</c:v>
                </c:pt>
                <c:pt idx="19">
                  <c:v>40543</c:v>
                </c:pt>
                <c:pt idx="20">
                  <c:v>40908</c:v>
                </c:pt>
                <c:pt idx="21">
                  <c:v>41274</c:v>
                </c:pt>
                <c:pt idx="22">
                  <c:v>41639</c:v>
                </c:pt>
                <c:pt idx="23">
                  <c:v>42004</c:v>
                </c:pt>
                <c:pt idx="24">
                  <c:v>42369</c:v>
                </c:pt>
                <c:pt idx="25">
                  <c:v>42735</c:v>
                </c:pt>
              </c:numCache>
            </c:numRef>
          </c:cat>
          <c:val>
            <c:numRef>
              <c:f>Sheet1!$J$3:$J$29</c:f>
              <c:numCache>
                <c:formatCode>General</c:formatCode>
                <c:ptCount val="26"/>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numCache>
            </c:numRef>
          </c:val>
          <c:smooth val="0"/>
          <c:extLst>
            <c:ext xmlns:c16="http://schemas.microsoft.com/office/drawing/2014/chart" uri="{C3380CC4-5D6E-409C-BE32-E72D297353CC}">
              <c16:uniqueId val="{00000003-28CE-4BDD-A799-D6B7AD1D031D}"/>
            </c:ext>
          </c:extLst>
        </c:ser>
        <c:dLbls>
          <c:showLegendKey val="0"/>
          <c:showVal val="0"/>
          <c:showCatName val="0"/>
          <c:showSerName val="0"/>
          <c:showPercent val="0"/>
          <c:showBubbleSize val="0"/>
        </c:dLbls>
        <c:smooth val="0"/>
        <c:axId val="1701705839"/>
        <c:axId val="1687952975"/>
      </c:lineChart>
      <c:dateAx>
        <c:axId val="1701705839"/>
        <c:scaling>
          <c:orientation val="minMax"/>
        </c:scaling>
        <c:delete val="0"/>
        <c:axPos val="b"/>
        <c:numFmt formatCode="yyyy" sourceLinked="0"/>
        <c:majorTickMark val="in"/>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87952975"/>
        <c:crosses val="autoZero"/>
        <c:auto val="0"/>
        <c:lblOffset val="100"/>
        <c:baseTimeUnit val="years"/>
      </c:dateAx>
      <c:valAx>
        <c:axId val="1687952975"/>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Inflation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_ ;\-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701705839"/>
        <c:crossesAt val="33239"/>
        <c:crossBetween val="midCat"/>
      </c:valAx>
      <c:spPr>
        <a:noFill/>
        <a:ln w="6350">
          <a:solidFill>
            <a:sysClr val="windowText" lastClr="000000"/>
          </a:solidFill>
        </a:ln>
        <a:effectLst/>
      </c:spPr>
    </c:plotArea>
    <c:legend>
      <c:legendPos val="b"/>
      <c:layout>
        <c:manualLayout>
          <c:xMode val="edge"/>
          <c:yMode val="edge"/>
          <c:x val="0.1777211621576846"/>
          <c:y val="3.4650493633591205E-2"/>
          <c:w val="0.72218663851405929"/>
          <c:h val="6.27669031330923E-2"/>
        </c:manualLayout>
      </c:layout>
      <c:overlay val="0"/>
      <c:spPr>
        <a:noFill/>
        <a:ln w="6350">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F7231-C1FF-4EDC-96F6-9554290D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12</Pages>
  <Words>5409</Words>
  <Characters>30832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Graham</dc:creator>
  <cp:keywords/>
  <dc:description/>
  <cp:lastModifiedBy>Lachlan Michalski</cp:lastModifiedBy>
  <cp:revision>56</cp:revision>
  <dcterms:created xsi:type="dcterms:W3CDTF">2020-02-04T06:25:00Z</dcterms:created>
  <dcterms:modified xsi:type="dcterms:W3CDTF">2021-03-10T17:35:00Z</dcterms:modified>
</cp:coreProperties>
</file>