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60489" w14:textId="208A4113" w:rsidR="00160ADC" w:rsidRPr="00BF04E0" w:rsidRDefault="00160ADC" w:rsidP="009471C6">
      <w:pPr>
        <w:spacing w:line="360" w:lineRule="auto"/>
        <w:ind w:left="-284" w:right="-471"/>
        <w:contextualSpacing/>
        <w:jc w:val="center"/>
        <w:rPr>
          <w:rFonts w:eastAsiaTheme="minorHAnsi"/>
          <w:bCs/>
          <w:color w:val="000000" w:themeColor="text1"/>
          <w:sz w:val="28"/>
          <w:szCs w:val="28"/>
          <w:lang w:val="en-US" w:eastAsia="en-US"/>
        </w:rPr>
      </w:pPr>
      <w:r w:rsidRPr="00BF04E0">
        <w:rPr>
          <w:rFonts w:eastAsiaTheme="minorHAnsi"/>
          <w:b/>
          <w:color w:val="000000" w:themeColor="text1"/>
          <w:sz w:val="28"/>
          <w:szCs w:val="28"/>
          <w:lang w:val="en-US" w:eastAsia="en-US"/>
        </w:rPr>
        <w:t>Response to Referee’s Report #3</w:t>
      </w:r>
      <w:r w:rsidRPr="00BF04E0">
        <w:rPr>
          <w:rFonts w:eastAsiaTheme="minorHAnsi"/>
          <w:b/>
          <w:color w:val="000000" w:themeColor="text1"/>
          <w:sz w:val="28"/>
          <w:szCs w:val="28"/>
          <w:lang w:val="en-US" w:eastAsia="en-US"/>
        </w:rPr>
        <w:br/>
        <w:t>‘Sustainable Factor Investing: Where Doing Well Meets Doing Good’</w:t>
      </w:r>
      <w:r w:rsidRPr="00BF04E0">
        <w:rPr>
          <w:rFonts w:eastAsiaTheme="minorHAnsi"/>
          <w:b/>
          <w:color w:val="000000" w:themeColor="text1"/>
          <w:lang w:val="en-US" w:eastAsia="en-US"/>
        </w:rPr>
        <w:br/>
      </w:r>
      <w:r w:rsidRPr="00BF04E0">
        <w:rPr>
          <w:rFonts w:eastAsiaTheme="minorHAnsi"/>
          <w:bCs/>
          <w:color w:val="000000" w:themeColor="text1"/>
          <w:sz w:val="28"/>
          <w:szCs w:val="28"/>
          <w:lang w:val="en-US" w:eastAsia="en-US"/>
        </w:rPr>
        <w:t>IREF_2019_983R1</w:t>
      </w:r>
    </w:p>
    <w:p w14:paraId="72EF2FAB" w14:textId="77777777" w:rsidR="00255A3C" w:rsidRPr="00BF04E0" w:rsidRDefault="00255A3C" w:rsidP="009471C6">
      <w:pPr>
        <w:ind w:left="-284" w:right="-471"/>
        <w:contextualSpacing/>
        <w:jc w:val="center"/>
        <w:rPr>
          <w:rFonts w:eastAsiaTheme="minorHAnsi"/>
          <w:b/>
          <w:color w:val="000000" w:themeColor="text1"/>
          <w:lang w:val="en-US" w:eastAsia="en-US"/>
        </w:rPr>
      </w:pPr>
    </w:p>
    <w:p w14:paraId="6908ECFC" w14:textId="77777777" w:rsidR="00160ADC" w:rsidRPr="00BF04E0" w:rsidRDefault="00160ADC" w:rsidP="009471C6">
      <w:pPr>
        <w:shd w:val="clear" w:color="auto" w:fill="FFFFFF"/>
        <w:contextualSpacing/>
        <w:rPr>
          <w:b/>
          <w:bCs/>
          <w:color w:val="000000" w:themeColor="text1"/>
        </w:rPr>
      </w:pPr>
    </w:p>
    <w:p w14:paraId="16786AFF" w14:textId="77777777" w:rsidR="00160ADC" w:rsidRPr="00BF04E0" w:rsidRDefault="00160ADC" w:rsidP="009471C6">
      <w:pPr>
        <w:pStyle w:val="Heading1"/>
        <w:spacing w:before="0" w:after="0"/>
        <w:contextualSpacing/>
        <w:rPr>
          <w:color w:val="000000" w:themeColor="text1"/>
        </w:rPr>
      </w:pPr>
      <w:r w:rsidRPr="00BF04E0">
        <w:rPr>
          <w:color w:val="000000" w:themeColor="text1"/>
        </w:rPr>
        <w:t>INTRODUCTION</w:t>
      </w:r>
    </w:p>
    <w:p w14:paraId="24AD7E3F" w14:textId="77777777" w:rsidR="00160ADC" w:rsidRPr="00BF04E0" w:rsidRDefault="00160ADC" w:rsidP="009471C6">
      <w:pPr>
        <w:autoSpaceDE w:val="0"/>
        <w:autoSpaceDN w:val="0"/>
        <w:ind w:firstLine="720"/>
        <w:contextualSpacing/>
        <w:jc w:val="both"/>
        <w:rPr>
          <w:color w:val="000000" w:themeColor="text1"/>
        </w:rPr>
      </w:pPr>
    </w:p>
    <w:p w14:paraId="2ED106E9" w14:textId="24CC9EAE" w:rsidR="00160ADC" w:rsidRPr="00BF04E0" w:rsidRDefault="00160ADC" w:rsidP="009471C6">
      <w:pPr>
        <w:autoSpaceDE w:val="0"/>
        <w:autoSpaceDN w:val="0"/>
        <w:contextualSpacing/>
        <w:jc w:val="both"/>
        <w:rPr>
          <w:color w:val="000000" w:themeColor="text1"/>
        </w:rPr>
      </w:pPr>
      <w:r w:rsidRPr="00BF04E0">
        <w:rPr>
          <w:color w:val="000000" w:themeColor="text1"/>
        </w:rPr>
        <w:t>First of all, we would like to</w:t>
      </w:r>
      <w:r w:rsidR="00255A3C" w:rsidRPr="00BF04E0">
        <w:rPr>
          <w:color w:val="000000" w:themeColor="text1"/>
        </w:rPr>
        <w:t xml:space="preserve"> once again</w:t>
      </w:r>
      <w:r w:rsidRPr="00BF04E0">
        <w:rPr>
          <w:color w:val="000000" w:themeColor="text1"/>
        </w:rPr>
        <w:t xml:space="preserve"> thank the Editor, Professor Brian Lucey, and the Associate Editor, Professor Larisa </w:t>
      </w:r>
      <w:proofErr w:type="spellStart"/>
      <w:r w:rsidRPr="00BF04E0">
        <w:rPr>
          <w:color w:val="000000" w:themeColor="text1"/>
        </w:rPr>
        <w:t>Yarovaya</w:t>
      </w:r>
      <w:proofErr w:type="spellEnd"/>
      <w:r w:rsidRPr="00BF04E0">
        <w:rPr>
          <w:color w:val="000000" w:themeColor="text1"/>
        </w:rPr>
        <w:t>, for forwarding the constructive feedback of the Referee and for providing us with the opportunity to</w:t>
      </w:r>
      <w:r w:rsidR="00255A3C" w:rsidRPr="00BF04E0">
        <w:rPr>
          <w:color w:val="000000" w:themeColor="text1"/>
        </w:rPr>
        <w:t xml:space="preserve"> further improve</w:t>
      </w:r>
      <w:r w:rsidRPr="00BF04E0">
        <w:rPr>
          <w:color w:val="000000" w:themeColor="text1"/>
        </w:rPr>
        <w:t xml:space="preserve"> our paper. We </w:t>
      </w:r>
      <w:r w:rsidR="00255A3C" w:rsidRPr="00BF04E0">
        <w:rPr>
          <w:color w:val="000000" w:themeColor="text1"/>
        </w:rPr>
        <w:t xml:space="preserve">are grateful to the </w:t>
      </w:r>
      <w:r w:rsidRPr="00BF04E0">
        <w:rPr>
          <w:color w:val="000000" w:themeColor="text1"/>
        </w:rPr>
        <w:t>Referee for</w:t>
      </w:r>
      <w:r w:rsidR="00255A3C" w:rsidRPr="00BF04E0">
        <w:rPr>
          <w:color w:val="000000" w:themeColor="text1"/>
        </w:rPr>
        <w:t xml:space="preserve"> their</w:t>
      </w:r>
      <w:r w:rsidRPr="00BF04E0">
        <w:rPr>
          <w:color w:val="000000" w:themeColor="text1"/>
        </w:rPr>
        <w:t xml:space="preserve"> feedback and insightful comments. We have amended the manuscript taking all remarks carefully into consideration.</w:t>
      </w:r>
    </w:p>
    <w:p w14:paraId="2402F230" w14:textId="77777777" w:rsidR="00160ADC" w:rsidRPr="00BF04E0" w:rsidRDefault="00160ADC" w:rsidP="009471C6">
      <w:pPr>
        <w:contextualSpacing/>
        <w:jc w:val="both"/>
        <w:rPr>
          <w:color w:val="000000" w:themeColor="text1"/>
        </w:rPr>
      </w:pPr>
    </w:p>
    <w:p w14:paraId="2011D13D" w14:textId="77777777" w:rsidR="00160ADC" w:rsidRPr="00BF04E0" w:rsidRDefault="00160ADC" w:rsidP="009471C6">
      <w:pPr>
        <w:contextualSpacing/>
        <w:jc w:val="both"/>
        <w:rPr>
          <w:color w:val="000000" w:themeColor="text1"/>
          <w:lang w:val="en-US"/>
        </w:rPr>
      </w:pPr>
      <w:r w:rsidRPr="00BF04E0">
        <w:rPr>
          <w:color w:val="000000" w:themeColor="text1"/>
          <w:lang w:val="en-US"/>
        </w:rPr>
        <w:t>In Section 2, we re-iterate the comments of the referee (</w:t>
      </w:r>
      <w:r w:rsidRPr="00BF04E0">
        <w:rPr>
          <w:i/>
          <w:color w:val="000000" w:themeColor="text1"/>
          <w:lang w:val="en-US"/>
        </w:rPr>
        <w:t>in italics</w:t>
      </w:r>
      <w:r w:rsidRPr="00BF04E0">
        <w:rPr>
          <w:color w:val="000000" w:themeColor="text1"/>
          <w:lang w:val="en-US"/>
        </w:rPr>
        <w:t>) and explain the revisions made in the paper to address each of these comments.</w:t>
      </w:r>
    </w:p>
    <w:p w14:paraId="53DBCC67" w14:textId="3CFBDE37" w:rsidR="00160ADC" w:rsidRPr="00BF04E0" w:rsidRDefault="00160ADC" w:rsidP="009471C6">
      <w:pPr>
        <w:shd w:val="clear" w:color="auto" w:fill="FFFFFF"/>
        <w:contextualSpacing/>
        <w:jc w:val="both"/>
        <w:rPr>
          <w:b/>
          <w:bCs/>
          <w:color w:val="000000" w:themeColor="text1"/>
        </w:rPr>
      </w:pPr>
    </w:p>
    <w:p w14:paraId="2588B9A0" w14:textId="0945FA35" w:rsidR="00255A3C" w:rsidRPr="00BF04E0" w:rsidRDefault="00255A3C" w:rsidP="009471C6">
      <w:pPr>
        <w:shd w:val="clear" w:color="auto" w:fill="FFFFFF"/>
        <w:contextualSpacing/>
        <w:jc w:val="both"/>
        <w:rPr>
          <w:b/>
          <w:bCs/>
          <w:color w:val="000000" w:themeColor="text1"/>
        </w:rPr>
      </w:pPr>
    </w:p>
    <w:p w14:paraId="5C9C76E1" w14:textId="77777777" w:rsidR="00255A3C" w:rsidRPr="00BF04E0" w:rsidRDefault="00255A3C" w:rsidP="009471C6">
      <w:pPr>
        <w:shd w:val="clear" w:color="auto" w:fill="FFFFFF"/>
        <w:contextualSpacing/>
        <w:jc w:val="both"/>
        <w:rPr>
          <w:b/>
          <w:bCs/>
          <w:color w:val="000000" w:themeColor="text1"/>
        </w:rPr>
      </w:pPr>
    </w:p>
    <w:p w14:paraId="1F4FA8EA" w14:textId="77777777" w:rsidR="00160ADC" w:rsidRPr="00BF04E0" w:rsidRDefault="00160ADC" w:rsidP="009471C6">
      <w:pPr>
        <w:pStyle w:val="Heading1"/>
        <w:spacing w:before="0" w:after="0"/>
        <w:contextualSpacing/>
        <w:rPr>
          <w:color w:val="000000" w:themeColor="text1"/>
        </w:rPr>
      </w:pPr>
      <w:r w:rsidRPr="00BF04E0">
        <w:rPr>
          <w:color w:val="000000" w:themeColor="text1"/>
        </w:rPr>
        <w:t>RESPONSE TO COMMENTS</w:t>
      </w:r>
    </w:p>
    <w:p w14:paraId="76AF9735" w14:textId="323D6050" w:rsidR="001B444C" w:rsidRPr="00BF04E0" w:rsidRDefault="001B444C" w:rsidP="009471C6">
      <w:pPr>
        <w:contextualSpacing/>
        <w:jc w:val="both"/>
        <w:rPr>
          <w:color w:val="000000" w:themeColor="text1"/>
        </w:rPr>
      </w:pPr>
    </w:p>
    <w:p w14:paraId="61656C42" w14:textId="02A2B03B" w:rsidR="00160ADC" w:rsidRPr="00BF04E0" w:rsidRDefault="00160ADC" w:rsidP="009471C6">
      <w:pPr>
        <w:contextualSpacing/>
        <w:jc w:val="both"/>
        <w:rPr>
          <w:b/>
          <w:bCs/>
          <w:color w:val="000000" w:themeColor="text1"/>
        </w:rPr>
      </w:pPr>
      <w:r w:rsidRPr="00BF04E0">
        <w:rPr>
          <w:b/>
          <w:bCs/>
          <w:color w:val="000000" w:themeColor="text1"/>
        </w:rPr>
        <w:t>Comment 1:</w:t>
      </w:r>
    </w:p>
    <w:p w14:paraId="364F700C" w14:textId="77777777" w:rsidR="00255A3C" w:rsidRPr="00BF04E0" w:rsidRDefault="00255A3C" w:rsidP="009471C6">
      <w:pPr>
        <w:contextualSpacing/>
        <w:jc w:val="both"/>
        <w:rPr>
          <w:b/>
          <w:bCs/>
          <w:color w:val="000000" w:themeColor="text1"/>
        </w:rPr>
      </w:pPr>
    </w:p>
    <w:p w14:paraId="0A626B2E" w14:textId="77777777" w:rsidR="00160ADC" w:rsidRPr="00BF04E0" w:rsidRDefault="00160ADC" w:rsidP="009471C6">
      <w:pPr>
        <w:contextualSpacing/>
        <w:jc w:val="both"/>
        <w:rPr>
          <w:i/>
          <w:iCs/>
          <w:color w:val="000000" w:themeColor="text1"/>
        </w:rPr>
      </w:pPr>
      <w:r w:rsidRPr="00BF04E0">
        <w:rPr>
          <w:i/>
          <w:iCs/>
          <w:color w:val="000000" w:themeColor="text1"/>
          <w:shd w:val="clear" w:color="auto" w:fill="FFFFFF"/>
        </w:rPr>
        <w:t>Theory: Although it is popular, sustainable factor is not part of traditional finance theory. The author should provide logic to incorporate the sustainable factor into standard finance theory.</w:t>
      </w:r>
    </w:p>
    <w:p w14:paraId="43FF48E0" w14:textId="36EFF22B" w:rsidR="00160ADC" w:rsidRPr="00BF04E0" w:rsidRDefault="00160ADC" w:rsidP="009471C6">
      <w:pPr>
        <w:contextualSpacing/>
        <w:jc w:val="both"/>
        <w:rPr>
          <w:i/>
          <w:iCs/>
          <w:color w:val="000000" w:themeColor="text1"/>
        </w:rPr>
      </w:pPr>
    </w:p>
    <w:p w14:paraId="18A26601" w14:textId="77777777" w:rsidR="00255A3C" w:rsidRPr="00BF04E0" w:rsidRDefault="00160ADC" w:rsidP="009471C6">
      <w:pPr>
        <w:contextualSpacing/>
        <w:jc w:val="both"/>
        <w:rPr>
          <w:color w:val="000000" w:themeColor="text1"/>
        </w:rPr>
      </w:pPr>
      <w:r w:rsidRPr="00BF04E0">
        <w:rPr>
          <w:color w:val="000000" w:themeColor="text1"/>
        </w:rPr>
        <w:t>We thank the referee for this suggestion.</w:t>
      </w:r>
    </w:p>
    <w:p w14:paraId="48ADBB2A" w14:textId="77777777" w:rsidR="00407E0A" w:rsidRPr="00BF04E0" w:rsidRDefault="00407E0A" w:rsidP="009471C6">
      <w:pPr>
        <w:contextualSpacing/>
        <w:jc w:val="both"/>
        <w:rPr>
          <w:color w:val="000000" w:themeColor="text1"/>
        </w:rPr>
      </w:pPr>
    </w:p>
    <w:p w14:paraId="2F2CB8D0" w14:textId="77777777" w:rsidR="00E56FEE" w:rsidRPr="00BF04E0" w:rsidRDefault="00A62F85" w:rsidP="00A62F85">
      <w:pPr>
        <w:contextualSpacing/>
        <w:jc w:val="both"/>
        <w:rPr>
          <w:color w:val="000000" w:themeColor="text1"/>
        </w:rPr>
      </w:pPr>
      <w:r w:rsidRPr="00BF04E0">
        <w:rPr>
          <w:color w:val="000000" w:themeColor="text1"/>
        </w:rPr>
        <w:t xml:space="preserve">Traditional finance focuses solely on financial return and risk. In contrast, sustainable finance considers factors beyond financial risk and returns. Like the referee, we have thought long and hard about the theoretical transition from traditional finance to sustainable finance. Throughout history, as the human civilization evolved, theories also evolved with it. Driven by both climate and societal change, the investment management industry is undergoing a paradigmatic shift as a result of the changing investor demand. As a greater proportion of funds redistributes to millennials and Gen Z, the generation driving substantial moves towards sustainability, such shift has </w:t>
      </w:r>
      <w:r w:rsidR="0058152E" w:rsidRPr="00BF04E0">
        <w:rPr>
          <w:color w:val="000000" w:themeColor="text1"/>
        </w:rPr>
        <w:t>significant</w:t>
      </w:r>
      <w:r w:rsidRPr="00BF04E0">
        <w:rPr>
          <w:color w:val="000000" w:themeColor="text1"/>
        </w:rPr>
        <w:t xml:space="preserve"> </w:t>
      </w:r>
      <w:r w:rsidR="0058152E" w:rsidRPr="00BF04E0">
        <w:rPr>
          <w:color w:val="000000" w:themeColor="text1"/>
        </w:rPr>
        <w:t>implications</w:t>
      </w:r>
      <w:r w:rsidRPr="00BF04E0">
        <w:rPr>
          <w:color w:val="000000" w:themeColor="text1"/>
        </w:rPr>
        <w:t xml:space="preserve"> for the pricing of assets</w:t>
      </w:r>
      <w:r w:rsidR="0058152E" w:rsidRPr="00BF04E0">
        <w:rPr>
          <w:color w:val="000000" w:themeColor="text1"/>
        </w:rPr>
        <w:t>.</w:t>
      </w:r>
      <w:r w:rsidR="00CA1CF6" w:rsidRPr="00BF04E0">
        <w:rPr>
          <w:color w:val="000000" w:themeColor="text1"/>
        </w:rPr>
        <w:t xml:space="preserve"> </w:t>
      </w:r>
    </w:p>
    <w:p w14:paraId="5551722E" w14:textId="77777777" w:rsidR="00E56FEE" w:rsidRPr="00BF04E0" w:rsidRDefault="00E56FEE" w:rsidP="00A62F85">
      <w:pPr>
        <w:contextualSpacing/>
        <w:jc w:val="both"/>
        <w:rPr>
          <w:color w:val="000000" w:themeColor="text1"/>
        </w:rPr>
      </w:pPr>
    </w:p>
    <w:p w14:paraId="2F5734CA" w14:textId="00D35F21" w:rsidR="00407E0A" w:rsidRPr="00BF04E0" w:rsidRDefault="00E56FEE" w:rsidP="009471C6">
      <w:pPr>
        <w:contextualSpacing/>
        <w:jc w:val="both"/>
        <w:rPr>
          <w:color w:val="000000" w:themeColor="text1"/>
        </w:rPr>
      </w:pPr>
      <w:r w:rsidRPr="00BF04E0">
        <w:t>L</w:t>
      </w:r>
      <w:r w:rsidR="00407E0A" w:rsidRPr="00BF04E0">
        <w:t xml:space="preserve">ike most other studies in the ESG investing literature, our motivation is to examine the empirical link between firm’s non-financial (i.e., ESG) and financial performance (i.e., stock returns). Our particular interest is to understand how ESG scores </w:t>
      </w:r>
      <w:r w:rsidR="00407E0A" w:rsidRPr="00BF04E0">
        <w:rPr>
          <w:i/>
          <w:iCs/>
        </w:rPr>
        <w:t xml:space="preserve">interact </w:t>
      </w:r>
      <w:r w:rsidR="00407E0A" w:rsidRPr="00BF04E0">
        <w:t xml:space="preserve">with firm characteristics that are fundamental to the pricing of Australian stocks. </w:t>
      </w:r>
      <w:r w:rsidR="00D95A74" w:rsidRPr="00BF04E0">
        <w:t>T</w:t>
      </w:r>
      <w:r w:rsidR="00407E0A" w:rsidRPr="00BF04E0">
        <w:t xml:space="preserve">here is no universal method to build ESG integrated portfolios. For instance, the optimization-based approach in Bender </w:t>
      </w:r>
      <w:r w:rsidR="00407E0A" w:rsidRPr="00BF04E0">
        <w:rPr>
          <w:i/>
          <w:iCs/>
        </w:rPr>
        <w:t xml:space="preserve">et al. </w:t>
      </w:r>
      <w:r w:rsidR="00407E0A" w:rsidRPr="00BF04E0">
        <w:t xml:space="preserve">(2017), portfolio sorts in Kaiser (2018) and more recently an ESG-efficient frontier in Pedersen, Fitzgibbons &amp; </w:t>
      </w:r>
      <w:proofErr w:type="spellStart"/>
      <w:r w:rsidR="00407E0A" w:rsidRPr="00BF04E0">
        <w:t>Pomorski</w:t>
      </w:r>
      <w:proofErr w:type="spellEnd"/>
      <w:r w:rsidR="00407E0A" w:rsidRPr="00BF04E0">
        <w:t xml:space="preserve"> (2019), to name a few. Our work proposes and tests one of many ways to integrate ESG into the investment process, in a previously untested, developed stock market with unique features. Such knowledge would aid the design of better investment strategies and help accelerate the “mainstreaming of sustainable investing” globally (</w:t>
      </w:r>
      <w:proofErr w:type="spellStart"/>
      <w:r w:rsidR="00407E0A" w:rsidRPr="00BF04E0">
        <w:t>Grei</w:t>
      </w:r>
      <w:proofErr w:type="spellEnd"/>
      <w:r w:rsidR="00407E0A" w:rsidRPr="00BF04E0">
        <w:t>, 2018).</w:t>
      </w:r>
      <w:r w:rsidR="00D95A74" w:rsidRPr="00BF04E0">
        <w:t xml:space="preserve"> In fact, </w:t>
      </w:r>
      <w:r w:rsidR="00BE7B1B" w:rsidRPr="00BF04E0">
        <w:t>our work m</w:t>
      </w:r>
      <w:r w:rsidR="00D95A74" w:rsidRPr="00BF04E0">
        <w:t>ake</w:t>
      </w:r>
      <w:r w:rsidR="00BE7B1B" w:rsidRPr="00BF04E0">
        <w:t>s</w:t>
      </w:r>
      <w:r w:rsidR="00D95A74" w:rsidRPr="00BF04E0">
        <w:t xml:space="preserve"> a </w:t>
      </w:r>
      <w:r w:rsidR="00BE7B1B" w:rsidRPr="00BF04E0">
        <w:t>timely</w:t>
      </w:r>
      <w:r w:rsidR="00D95A74" w:rsidRPr="00BF04E0">
        <w:t xml:space="preserve"> contribution to the investment management industry as </w:t>
      </w:r>
      <w:r w:rsidR="00861564" w:rsidRPr="00BF04E0">
        <w:t>managers</w:t>
      </w:r>
      <w:r w:rsidR="00D95A74" w:rsidRPr="00BF04E0">
        <w:t xml:space="preserve"> have started</w:t>
      </w:r>
      <w:r w:rsidR="00BE7B1B" w:rsidRPr="00BF04E0">
        <w:t xml:space="preserve"> implementing such ideas (BlackRock, 2020)</w:t>
      </w:r>
      <w:r w:rsidR="00B75B39" w:rsidRPr="00BF04E0">
        <w:t>.</w:t>
      </w:r>
      <w:r w:rsidR="00BE7B1B" w:rsidRPr="00BF04E0">
        <w:t xml:space="preserve"> </w:t>
      </w:r>
    </w:p>
    <w:p w14:paraId="09976D30" w14:textId="65CBB9C1" w:rsidR="00E56FEE" w:rsidRPr="00BF04E0" w:rsidRDefault="00E56FEE" w:rsidP="00E56FEE">
      <w:pPr>
        <w:contextualSpacing/>
        <w:jc w:val="both"/>
      </w:pPr>
      <w:r w:rsidRPr="00BF04E0">
        <w:rPr>
          <w:color w:val="000000" w:themeColor="text1"/>
        </w:rPr>
        <w:lastRenderedPageBreak/>
        <w:t xml:space="preserve">Indeed, we found evidence that the outperformance of ESG integrated factors has become stronger in more recent time, suggesting that the market is starting to price in ESG systematically. </w:t>
      </w:r>
      <w:bookmarkStart w:id="0" w:name="_Hlk46501681"/>
      <w:r w:rsidRPr="00BF04E0">
        <w:rPr>
          <w:color w:val="000000" w:themeColor="text1"/>
        </w:rPr>
        <w:t xml:space="preserve">Theoretically, </w:t>
      </w:r>
      <w:r w:rsidRPr="00BF04E0">
        <w:t>good ESG practices can shelter firms from shocks to their underlying cash flows and provide improved investment and production opportunities</w:t>
      </w:r>
      <w:r w:rsidR="00670506" w:rsidRPr="00BF04E0">
        <w:t>, thereby creating value for shareholders</w:t>
      </w:r>
      <w:r w:rsidRPr="00BF04E0">
        <w:t xml:space="preserve"> (Cornell &amp; Shapiro, 1987; Flammer, 2015). However, costs of firms’ investments in ESG could outweigh the benefits, </w:t>
      </w:r>
      <w:r w:rsidR="00670506" w:rsidRPr="00BF04E0">
        <w:t>thereby</w:t>
      </w:r>
      <w:r w:rsidRPr="00BF04E0">
        <w:t xml:space="preserve"> resulting in the destruction of shareholder value (Statman &amp; </w:t>
      </w:r>
      <w:proofErr w:type="spellStart"/>
      <w:r w:rsidRPr="00BF04E0">
        <w:t>Glushkov</w:t>
      </w:r>
      <w:proofErr w:type="spellEnd"/>
      <w:r w:rsidRPr="00BF04E0">
        <w:t xml:space="preserve">, 2009; </w:t>
      </w:r>
      <w:proofErr w:type="spellStart"/>
      <w:r w:rsidRPr="00BF04E0">
        <w:t>Revelli</w:t>
      </w:r>
      <w:proofErr w:type="spellEnd"/>
      <w:r w:rsidRPr="00BF04E0">
        <w:t xml:space="preserve"> &amp; Viviani, 2015). Following this vein, the outperformance of ESG integrated factors suggests that viewing ESG and financial performance</w:t>
      </w:r>
      <w:r w:rsidR="00AF23B8" w:rsidRPr="00BF04E0">
        <w:t>s</w:t>
      </w:r>
      <w:r w:rsidRPr="00BF04E0">
        <w:t xml:space="preserve"> of a firm jointly better captures value than viewing ESG</w:t>
      </w:r>
      <w:r w:rsidR="005614EE" w:rsidRPr="00BF04E0">
        <w:t xml:space="preserve"> or financial performance</w:t>
      </w:r>
      <w:r w:rsidRPr="00BF04E0">
        <w:t xml:space="preserve"> in isolation, because financial performance helps prevent (or minimi</w:t>
      </w:r>
      <w:r w:rsidR="002946DC" w:rsidRPr="00BF04E0">
        <w:t>z</w:t>
      </w:r>
      <w:r w:rsidRPr="00BF04E0">
        <w:t xml:space="preserve">e) the allocation to </w:t>
      </w:r>
      <w:r w:rsidR="00670506" w:rsidRPr="00BF04E0">
        <w:t xml:space="preserve">potentially </w:t>
      </w:r>
      <w:r w:rsidRPr="00BF04E0">
        <w:t>value-destroying, but high ESG-rated stocks.</w:t>
      </w:r>
      <w:bookmarkEnd w:id="0"/>
    </w:p>
    <w:p w14:paraId="0E6B0B7B" w14:textId="3BA42A60" w:rsidR="00E56FEE" w:rsidRPr="00BF04E0" w:rsidRDefault="00E56FEE" w:rsidP="00E56FEE">
      <w:pPr>
        <w:contextualSpacing/>
        <w:jc w:val="both"/>
      </w:pPr>
    </w:p>
    <w:p w14:paraId="23FA83A9" w14:textId="18FE4EFF" w:rsidR="00E56FEE" w:rsidRPr="00BF04E0" w:rsidRDefault="00E56FEE" w:rsidP="00E56FEE">
      <w:pPr>
        <w:contextualSpacing/>
        <w:jc w:val="both"/>
      </w:pPr>
      <w:r w:rsidRPr="00BF04E0">
        <w:t>We are grateful to the referee for this constructive suggestion, the above paragraph</w:t>
      </w:r>
      <w:r w:rsidR="00AF23B8" w:rsidRPr="00BF04E0">
        <w:t xml:space="preserve"> has been inserted</w:t>
      </w:r>
      <w:r w:rsidRPr="00BF04E0">
        <w:t xml:space="preserve"> on page</w:t>
      </w:r>
      <w:r w:rsidR="00AF23B8" w:rsidRPr="00BF04E0">
        <w:t xml:space="preserve"> </w:t>
      </w:r>
      <w:r w:rsidR="005614EE" w:rsidRPr="00BF04E0">
        <w:t>22</w:t>
      </w:r>
      <w:r w:rsidR="00AF23B8" w:rsidRPr="00BF04E0">
        <w:t xml:space="preserve"> of the revised manuscript.</w:t>
      </w:r>
    </w:p>
    <w:p w14:paraId="5BC62A6A" w14:textId="77777777" w:rsidR="00A62F85" w:rsidRPr="00BF04E0" w:rsidRDefault="00A62F85" w:rsidP="009471C6">
      <w:pPr>
        <w:contextualSpacing/>
        <w:jc w:val="both"/>
        <w:rPr>
          <w:color w:val="000000" w:themeColor="text1"/>
        </w:rPr>
      </w:pPr>
    </w:p>
    <w:p w14:paraId="3E6F9C21" w14:textId="703D1459" w:rsidR="006F20D3" w:rsidRPr="00BF04E0" w:rsidRDefault="006F20D3" w:rsidP="009471C6">
      <w:pPr>
        <w:contextualSpacing/>
        <w:jc w:val="both"/>
      </w:pPr>
    </w:p>
    <w:p w14:paraId="72429E6E" w14:textId="00C4C4CC" w:rsidR="00255A3C" w:rsidRPr="00BF04E0" w:rsidRDefault="00255A3C" w:rsidP="009471C6">
      <w:pPr>
        <w:contextualSpacing/>
        <w:jc w:val="both"/>
      </w:pPr>
    </w:p>
    <w:p w14:paraId="072C6FE7" w14:textId="645898D5" w:rsidR="00160ADC" w:rsidRPr="00BF04E0" w:rsidRDefault="00160ADC" w:rsidP="009471C6">
      <w:pPr>
        <w:contextualSpacing/>
        <w:jc w:val="both"/>
        <w:rPr>
          <w:b/>
          <w:bCs/>
          <w:color w:val="000000" w:themeColor="text1"/>
        </w:rPr>
      </w:pPr>
      <w:r w:rsidRPr="00BF04E0">
        <w:rPr>
          <w:b/>
          <w:bCs/>
          <w:color w:val="000000" w:themeColor="text1"/>
        </w:rPr>
        <w:t>Comment 2:</w:t>
      </w:r>
    </w:p>
    <w:p w14:paraId="35EC163F" w14:textId="3D1E33D2" w:rsidR="00160ADC" w:rsidRPr="00BF04E0" w:rsidRDefault="00160ADC" w:rsidP="009471C6">
      <w:pPr>
        <w:contextualSpacing/>
        <w:jc w:val="both"/>
        <w:rPr>
          <w:i/>
          <w:iCs/>
          <w:color w:val="000000" w:themeColor="text1"/>
        </w:rPr>
      </w:pPr>
    </w:p>
    <w:p w14:paraId="2CE4BF8D" w14:textId="609ACF39" w:rsidR="00160ADC" w:rsidRPr="00BF04E0" w:rsidRDefault="00160ADC" w:rsidP="009471C6">
      <w:pPr>
        <w:contextualSpacing/>
        <w:jc w:val="both"/>
        <w:rPr>
          <w:i/>
          <w:iCs/>
          <w:color w:val="000000" w:themeColor="text1"/>
          <w:shd w:val="clear" w:color="auto" w:fill="FFFFFF"/>
        </w:rPr>
      </w:pPr>
      <w:r w:rsidRPr="00BF04E0">
        <w:rPr>
          <w:i/>
          <w:iCs/>
          <w:color w:val="000000" w:themeColor="text1"/>
          <w:shd w:val="clear" w:color="auto" w:fill="FFFFFF"/>
        </w:rPr>
        <w:t xml:space="preserve">Sample: The authors state that "To limit the exposure to micro-capitalization stocks and form investable portfolios consistent with the demand of institutional investors, we exclude stocks with market capitalization that are below 75th percentile." I understand the rationale to exclude micro-capitalization </w:t>
      </w:r>
      <w:proofErr w:type="gramStart"/>
      <w:r w:rsidRPr="00BF04E0">
        <w:rPr>
          <w:i/>
          <w:iCs/>
          <w:color w:val="000000" w:themeColor="text1"/>
          <w:shd w:val="clear" w:color="auto" w:fill="FFFFFF"/>
        </w:rPr>
        <w:t>stocks, but</w:t>
      </w:r>
      <w:proofErr w:type="gramEnd"/>
      <w:r w:rsidRPr="00BF04E0">
        <w:rPr>
          <w:i/>
          <w:iCs/>
          <w:color w:val="000000" w:themeColor="text1"/>
          <w:shd w:val="clear" w:color="auto" w:fill="FFFFFF"/>
        </w:rPr>
        <w:t xml:space="preserve"> classifying 75% of stocks as micro-cap seems too much. The author </w:t>
      </w:r>
      <w:proofErr w:type="gramStart"/>
      <w:r w:rsidRPr="00BF04E0">
        <w:rPr>
          <w:i/>
          <w:iCs/>
          <w:color w:val="000000" w:themeColor="text1"/>
          <w:shd w:val="clear" w:color="auto" w:fill="FFFFFF"/>
        </w:rPr>
        <w:t>need</w:t>
      </w:r>
      <w:proofErr w:type="gramEnd"/>
      <w:r w:rsidRPr="00BF04E0">
        <w:rPr>
          <w:i/>
          <w:iCs/>
          <w:color w:val="000000" w:themeColor="text1"/>
          <w:shd w:val="clear" w:color="auto" w:fill="FFFFFF"/>
        </w:rPr>
        <w:t xml:space="preserve"> to cite literatures that have excluded such a high percentage of stocks as micro-cap, or provide better logic for doing so.</w:t>
      </w:r>
    </w:p>
    <w:p w14:paraId="15120997" w14:textId="7006A59E" w:rsidR="00205F4B" w:rsidRPr="00BF04E0" w:rsidRDefault="00205F4B" w:rsidP="009471C6">
      <w:pPr>
        <w:contextualSpacing/>
        <w:jc w:val="both"/>
        <w:rPr>
          <w:i/>
          <w:iCs/>
          <w:color w:val="000000" w:themeColor="text1"/>
          <w:shd w:val="clear" w:color="auto" w:fill="FFFFFF"/>
        </w:rPr>
      </w:pPr>
    </w:p>
    <w:p w14:paraId="7C003E19" w14:textId="4285886B" w:rsidR="0099164E" w:rsidRPr="00BF04E0" w:rsidRDefault="00437168" w:rsidP="009471C6">
      <w:pPr>
        <w:contextualSpacing/>
        <w:jc w:val="both"/>
        <w:rPr>
          <w:color w:val="000000" w:themeColor="text1"/>
          <w:shd w:val="clear" w:color="auto" w:fill="FFFFFF"/>
        </w:rPr>
      </w:pPr>
      <w:r w:rsidRPr="00BF04E0">
        <w:rPr>
          <w:color w:val="000000" w:themeColor="text1"/>
          <w:shd w:val="clear" w:color="auto" w:fill="FFFFFF"/>
        </w:rPr>
        <w:t>We thank the referee for raising the point on size breakpoints.</w:t>
      </w:r>
    </w:p>
    <w:p w14:paraId="3D6B5138" w14:textId="42127409" w:rsidR="00DF6B28" w:rsidRPr="00BF04E0" w:rsidRDefault="00205F4B" w:rsidP="009471C6">
      <w:pPr>
        <w:contextualSpacing/>
        <w:jc w:val="both"/>
        <w:rPr>
          <w:color w:val="000000" w:themeColor="text1"/>
          <w:shd w:val="clear" w:color="auto" w:fill="FFFFFF"/>
        </w:rPr>
      </w:pPr>
      <w:r w:rsidRPr="00BF04E0">
        <w:rPr>
          <w:color w:val="000000" w:themeColor="text1"/>
          <w:shd w:val="clear" w:color="auto" w:fill="FFFFFF"/>
        </w:rPr>
        <w:br/>
      </w:r>
      <w:r w:rsidR="00BB2906" w:rsidRPr="00BF04E0">
        <w:rPr>
          <w:color w:val="000000" w:themeColor="text1"/>
          <w:shd w:val="clear" w:color="auto" w:fill="FFFFFF"/>
        </w:rPr>
        <w:t>The number of micro-cap stocks is a prominent feature of the Australian stock market.</w:t>
      </w:r>
      <w:r w:rsidR="00A22349" w:rsidRPr="00BF04E0">
        <w:rPr>
          <w:color w:val="000000" w:themeColor="text1"/>
          <w:shd w:val="clear" w:color="auto" w:fill="FFFFFF"/>
        </w:rPr>
        <w:t xml:space="preserve"> </w:t>
      </w:r>
      <w:r w:rsidR="000B4181" w:rsidRPr="00BF04E0">
        <w:rPr>
          <w:color w:val="000000" w:themeColor="text1"/>
          <w:shd w:val="clear" w:color="auto" w:fill="FFFFFF"/>
        </w:rPr>
        <w:t>Although the Australian market ranks the 9</w:t>
      </w:r>
      <w:r w:rsidR="000B4181" w:rsidRPr="00BF04E0">
        <w:rPr>
          <w:color w:val="000000" w:themeColor="text1"/>
          <w:shd w:val="clear" w:color="auto" w:fill="FFFFFF"/>
          <w:vertAlign w:val="superscript"/>
        </w:rPr>
        <w:t>th</w:t>
      </w:r>
      <w:r w:rsidR="000B4181" w:rsidRPr="00BF04E0">
        <w:rPr>
          <w:color w:val="000000" w:themeColor="text1"/>
          <w:shd w:val="clear" w:color="auto" w:fill="FFFFFF"/>
        </w:rPr>
        <w:t xml:space="preserve"> largest in the world by market-cap (Statista, 2020), its relative size to the US </w:t>
      </w:r>
      <w:r w:rsidR="00EC4FA3" w:rsidRPr="00BF04E0">
        <w:rPr>
          <w:color w:val="000000" w:themeColor="text1"/>
          <w:shd w:val="clear" w:color="auto" w:fill="FFFFFF"/>
        </w:rPr>
        <w:t xml:space="preserve">market </w:t>
      </w:r>
      <w:r w:rsidR="000B4181" w:rsidRPr="00BF04E0">
        <w:rPr>
          <w:color w:val="000000" w:themeColor="text1"/>
          <w:shd w:val="clear" w:color="auto" w:fill="FFFFFF"/>
        </w:rPr>
        <w:t>(4% of the US) present</w:t>
      </w:r>
      <w:r w:rsidR="00646521" w:rsidRPr="00BF04E0">
        <w:rPr>
          <w:color w:val="000000" w:themeColor="text1"/>
          <w:shd w:val="clear" w:color="auto" w:fill="FFFFFF"/>
        </w:rPr>
        <w:t>s</w:t>
      </w:r>
      <w:r w:rsidR="000B4181" w:rsidRPr="00BF04E0">
        <w:rPr>
          <w:color w:val="000000" w:themeColor="text1"/>
          <w:shd w:val="clear" w:color="auto" w:fill="FFFFFF"/>
        </w:rPr>
        <w:t xml:space="preserve"> a challenge for institutional investors with large </w:t>
      </w:r>
      <w:r w:rsidR="00646521" w:rsidRPr="00BF04E0">
        <w:rPr>
          <w:color w:val="000000" w:themeColor="text1"/>
          <w:shd w:val="clear" w:color="auto" w:fill="FFFFFF"/>
        </w:rPr>
        <w:t>mandates</w:t>
      </w:r>
      <w:r w:rsidR="000B4181" w:rsidRPr="00BF04E0">
        <w:rPr>
          <w:color w:val="000000" w:themeColor="text1"/>
          <w:shd w:val="clear" w:color="auto" w:fill="FFFFFF"/>
        </w:rPr>
        <w:t xml:space="preserve">. To address this, the S&amp;P/ASX indices </w:t>
      </w:r>
      <w:r w:rsidR="00A22349" w:rsidRPr="00BF04E0">
        <w:rPr>
          <w:color w:val="000000" w:themeColor="text1"/>
          <w:shd w:val="clear" w:color="auto" w:fill="FFFFFF"/>
        </w:rPr>
        <w:t xml:space="preserve">only </w:t>
      </w:r>
      <w:r w:rsidR="000B4181" w:rsidRPr="00BF04E0">
        <w:rPr>
          <w:color w:val="000000" w:themeColor="text1"/>
          <w:shd w:val="clear" w:color="auto" w:fill="FFFFFF"/>
        </w:rPr>
        <w:t>include stocks</w:t>
      </w:r>
      <w:r w:rsidR="00A22349" w:rsidRPr="00BF04E0">
        <w:rPr>
          <w:color w:val="000000" w:themeColor="text1"/>
          <w:shd w:val="clear" w:color="auto" w:fill="FFFFFF"/>
        </w:rPr>
        <w:t xml:space="preserve"> which meet the liquidity requirement of institutional investors </w:t>
      </w:r>
      <w:r w:rsidR="000B4181" w:rsidRPr="00BF04E0">
        <w:rPr>
          <w:color w:val="000000" w:themeColor="text1"/>
          <w:shd w:val="clear" w:color="auto" w:fill="FFFFFF"/>
        </w:rPr>
        <w:t>(S&amp;P, 2020)</w:t>
      </w:r>
      <w:r w:rsidR="00A22349" w:rsidRPr="00BF04E0">
        <w:rPr>
          <w:color w:val="000000" w:themeColor="text1"/>
          <w:shd w:val="clear" w:color="auto" w:fill="FFFFFF"/>
        </w:rPr>
        <w:t xml:space="preserve">. </w:t>
      </w:r>
      <w:r w:rsidR="00BB2906" w:rsidRPr="00BF04E0">
        <w:rPr>
          <w:color w:val="000000" w:themeColor="text1"/>
          <w:shd w:val="clear" w:color="auto" w:fill="FFFFFF"/>
        </w:rPr>
        <w:t>As at March 2020,</w:t>
      </w:r>
      <w:r w:rsidR="00A22349" w:rsidRPr="00BF04E0">
        <w:rPr>
          <w:color w:val="000000" w:themeColor="text1"/>
          <w:shd w:val="clear" w:color="auto" w:fill="FFFFFF"/>
        </w:rPr>
        <w:t xml:space="preserve"> the</w:t>
      </w:r>
      <w:r w:rsidR="00646521" w:rsidRPr="00BF04E0">
        <w:rPr>
          <w:color w:val="000000" w:themeColor="text1"/>
          <w:shd w:val="clear" w:color="auto" w:fill="FFFFFF"/>
        </w:rPr>
        <w:t xml:space="preserve"> widey-accepted market benchmark </w:t>
      </w:r>
      <w:r w:rsidR="00BB2906" w:rsidRPr="00BF04E0">
        <w:rPr>
          <w:color w:val="000000" w:themeColor="text1"/>
          <w:shd w:val="clear" w:color="auto" w:fill="FFFFFF"/>
        </w:rPr>
        <w:t>S&amp;P/ASX200 (ticker: XJO)</w:t>
      </w:r>
      <w:r w:rsidR="00A22349" w:rsidRPr="00BF04E0">
        <w:rPr>
          <w:color w:val="000000" w:themeColor="text1"/>
          <w:shd w:val="clear" w:color="auto" w:fill="FFFFFF"/>
        </w:rPr>
        <w:t xml:space="preserve"> </w:t>
      </w:r>
      <w:r w:rsidR="00646521" w:rsidRPr="00BF04E0">
        <w:rPr>
          <w:color w:val="000000" w:themeColor="text1"/>
          <w:shd w:val="clear" w:color="auto" w:fill="FFFFFF"/>
        </w:rPr>
        <w:t xml:space="preserve">index </w:t>
      </w:r>
      <w:r w:rsidR="00BB2906" w:rsidRPr="00BF04E0">
        <w:rPr>
          <w:color w:val="000000" w:themeColor="text1"/>
          <w:shd w:val="clear" w:color="auto" w:fill="FFFFFF"/>
        </w:rPr>
        <w:t>account</w:t>
      </w:r>
      <w:r w:rsidR="00646521" w:rsidRPr="00BF04E0">
        <w:rPr>
          <w:color w:val="000000" w:themeColor="text1"/>
          <w:shd w:val="clear" w:color="auto" w:fill="FFFFFF"/>
        </w:rPr>
        <w:t>s</w:t>
      </w:r>
      <w:r w:rsidR="00BB2906" w:rsidRPr="00BF04E0">
        <w:rPr>
          <w:color w:val="000000" w:themeColor="text1"/>
          <w:shd w:val="clear" w:color="auto" w:fill="FFFFFF"/>
        </w:rPr>
        <w:t xml:space="preserve"> for</w:t>
      </w:r>
      <w:r w:rsidR="000B4181" w:rsidRPr="00BF04E0">
        <w:rPr>
          <w:color w:val="000000" w:themeColor="text1"/>
          <w:shd w:val="clear" w:color="auto" w:fill="FFFFFF"/>
        </w:rPr>
        <w:t xml:space="preserve"> approximately</w:t>
      </w:r>
      <w:r w:rsidR="00BB2906" w:rsidRPr="00BF04E0">
        <w:rPr>
          <w:color w:val="000000" w:themeColor="text1"/>
          <w:shd w:val="clear" w:color="auto" w:fill="FFFFFF"/>
        </w:rPr>
        <w:t xml:space="preserve"> </w:t>
      </w:r>
      <w:r w:rsidR="000B4181" w:rsidRPr="00BF04E0">
        <w:rPr>
          <w:color w:val="000000" w:themeColor="text1"/>
          <w:shd w:val="clear" w:color="auto" w:fill="FFFFFF"/>
        </w:rPr>
        <w:t>8</w:t>
      </w:r>
      <w:r w:rsidR="00A22349" w:rsidRPr="00BF04E0">
        <w:rPr>
          <w:color w:val="000000" w:themeColor="text1"/>
          <w:shd w:val="clear" w:color="auto" w:fill="FFFFFF"/>
        </w:rPr>
        <w:t>0</w:t>
      </w:r>
      <w:r w:rsidR="000B4181" w:rsidRPr="00BF04E0">
        <w:rPr>
          <w:color w:val="000000" w:themeColor="text1"/>
          <w:shd w:val="clear" w:color="auto" w:fill="FFFFFF"/>
        </w:rPr>
        <w:t xml:space="preserve">% </w:t>
      </w:r>
      <w:r w:rsidR="00BB2906" w:rsidRPr="00BF04E0">
        <w:rPr>
          <w:color w:val="000000" w:themeColor="text1"/>
          <w:shd w:val="clear" w:color="auto" w:fill="FFFFFF"/>
        </w:rPr>
        <w:t>of the Australian equity market</w:t>
      </w:r>
      <w:r w:rsidR="000B4181" w:rsidRPr="00BF04E0">
        <w:rPr>
          <w:color w:val="000000" w:themeColor="text1"/>
          <w:shd w:val="clear" w:color="auto" w:fill="FFFFFF"/>
        </w:rPr>
        <w:t>.</w:t>
      </w:r>
      <w:r w:rsidR="00A22349" w:rsidRPr="00BF04E0">
        <w:rPr>
          <w:color w:val="000000" w:themeColor="text1"/>
          <w:shd w:val="clear" w:color="auto" w:fill="FFFFFF"/>
        </w:rPr>
        <w:t xml:space="preserve"> The S&amp;P/ASX300 (ticker: XKO), the largest index maintained by the S&amp;P, accounts for 84% of the total </w:t>
      </w:r>
      <w:r w:rsidR="00EC4FA3" w:rsidRPr="00BF04E0">
        <w:rPr>
          <w:color w:val="000000" w:themeColor="text1"/>
          <w:shd w:val="clear" w:color="auto" w:fill="FFFFFF"/>
        </w:rPr>
        <w:t xml:space="preserve">Australian </w:t>
      </w:r>
      <w:r w:rsidR="00A22349" w:rsidRPr="00BF04E0">
        <w:rPr>
          <w:color w:val="000000" w:themeColor="text1"/>
          <w:shd w:val="clear" w:color="auto" w:fill="FFFFFF"/>
        </w:rPr>
        <w:t>market cap, only 4% more than the ASX200</w:t>
      </w:r>
      <w:r w:rsidR="0040039F" w:rsidRPr="00BF04E0">
        <w:rPr>
          <w:color w:val="000000" w:themeColor="text1"/>
          <w:shd w:val="clear" w:color="auto" w:fill="FFFFFF"/>
        </w:rPr>
        <w:t xml:space="preserve"> (Market Index, 2020)</w:t>
      </w:r>
      <w:r w:rsidR="00A22349" w:rsidRPr="00BF04E0">
        <w:rPr>
          <w:color w:val="000000" w:themeColor="text1"/>
          <w:shd w:val="clear" w:color="auto" w:fill="FFFFFF"/>
        </w:rPr>
        <w:t xml:space="preserve">. For this reason, the </w:t>
      </w:r>
      <w:r w:rsidRPr="00BF04E0">
        <w:rPr>
          <w:color w:val="000000" w:themeColor="text1"/>
          <w:shd w:val="clear" w:color="auto" w:fill="FFFFFF"/>
        </w:rPr>
        <w:t>literature</w:t>
      </w:r>
      <w:r w:rsidR="000E5C79" w:rsidRPr="00BF04E0">
        <w:rPr>
          <w:color w:val="000000" w:themeColor="text1"/>
          <w:shd w:val="clear" w:color="auto" w:fill="FFFFFF"/>
        </w:rPr>
        <w:t xml:space="preserve"> often </w:t>
      </w:r>
      <w:r w:rsidR="00DF6B28" w:rsidRPr="00BF04E0">
        <w:rPr>
          <w:color w:val="000000" w:themeColor="text1"/>
          <w:shd w:val="clear" w:color="auto" w:fill="FFFFFF"/>
        </w:rPr>
        <w:t>examines</w:t>
      </w:r>
      <w:r w:rsidR="000E5C79" w:rsidRPr="00BF04E0">
        <w:rPr>
          <w:color w:val="000000" w:themeColor="text1"/>
          <w:shd w:val="clear" w:color="auto" w:fill="FFFFFF"/>
        </w:rPr>
        <w:t xml:space="preserve"> ASX200 </w:t>
      </w:r>
      <w:r w:rsidR="004D0386" w:rsidRPr="00BF04E0">
        <w:rPr>
          <w:color w:val="000000" w:themeColor="text1"/>
          <w:shd w:val="clear" w:color="auto" w:fill="FFFFFF"/>
        </w:rPr>
        <w:t>or</w:t>
      </w:r>
      <w:r w:rsidR="000E5C79" w:rsidRPr="00BF04E0">
        <w:rPr>
          <w:color w:val="000000" w:themeColor="text1"/>
          <w:shd w:val="clear" w:color="auto" w:fill="FFFFFF"/>
        </w:rPr>
        <w:t xml:space="preserve"> ASX300</w:t>
      </w:r>
      <w:r w:rsidR="004D0386" w:rsidRPr="00BF04E0">
        <w:rPr>
          <w:color w:val="000000" w:themeColor="text1"/>
          <w:shd w:val="clear" w:color="auto" w:fill="FFFFFF"/>
        </w:rPr>
        <w:t xml:space="preserve"> </w:t>
      </w:r>
      <w:r w:rsidR="00A22349" w:rsidRPr="00BF04E0">
        <w:rPr>
          <w:color w:val="000000" w:themeColor="text1"/>
          <w:shd w:val="clear" w:color="auto" w:fill="FFFFFF"/>
        </w:rPr>
        <w:t>constituents, because stocks outside of this universe are considered not investable from an institutional perspective (</w:t>
      </w:r>
      <w:bookmarkStart w:id="1" w:name="_Hlk46491017"/>
      <w:proofErr w:type="spellStart"/>
      <w:r w:rsidR="004D0386" w:rsidRPr="00BF04E0">
        <w:rPr>
          <w:color w:val="000000" w:themeColor="text1"/>
          <w:shd w:val="clear" w:color="auto" w:fill="FFFFFF"/>
        </w:rPr>
        <w:t>Limkriangkrai</w:t>
      </w:r>
      <w:proofErr w:type="spellEnd"/>
      <w:r w:rsidR="004D0386" w:rsidRPr="00BF04E0">
        <w:rPr>
          <w:color w:val="000000" w:themeColor="text1"/>
          <w:shd w:val="clear" w:color="auto" w:fill="FFFFFF"/>
        </w:rPr>
        <w:t>, Koh &amp; Durand</w:t>
      </w:r>
      <w:r w:rsidR="00A22349" w:rsidRPr="00BF04E0">
        <w:rPr>
          <w:color w:val="000000" w:themeColor="text1"/>
          <w:shd w:val="clear" w:color="auto" w:fill="FFFFFF"/>
        </w:rPr>
        <w:t xml:space="preserve">, </w:t>
      </w:r>
      <w:r w:rsidR="004D0386" w:rsidRPr="00BF04E0">
        <w:rPr>
          <w:color w:val="000000" w:themeColor="text1"/>
          <w:shd w:val="clear" w:color="auto" w:fill="FFFFFF"/>
        </w:rPr>
        <w:t>2017</w:t>
      </w:r>
      <w:r w:rsidR="00A22349" w:rsidRPr="00BF04E0">
        <w:rPr>
          <w:color w:val="000000" w:themeColor="text1"/>
          <w:shd w:val="clear" w:color="auto" w:fill="FFFFFF"/>
        </w:rPr>
        <w:t xml:space="preserve">; </w:t>
      </w:r>
      <w:r w:rsidR="0099164E" w:rsidRPr="00BF04E0">
        <w:rPr>
          <w:color w:val="000000" w:themeColor="text1"/>
          <w:shd w:val="clear" w:color="auto" w:fill="FFFFFF"/>
        </w:rPr>
        <w:t>Lim &amp; Coggins</w:t>
      </w:r>
      <w:r w:rsidR="00A22349" w:rsidRPr="00BF04E0">
        <w:rPr>
          <w:color w:val="000000" w:themeColor="text1"/>
          <w:shd w:val="clear" w:color="auto" w:fill="FFFFFF"/>
        </w:rPr>
        <w:t xml:space="preserve">, </w:t>
      </w:r>
      <w:r w:rsidR="0099164E" w:rsidRPr="00BF04E0">
        <w:rPr>
          <w:color w:val="000000" w:themeColor="text1"/>
          <w:shd w:val="clear" w:color="auto" w:fill="FFFFFF"/>
        </w:rPr>
        <w:t>2005</w:t>
      </w:r>
      <w:r w:rsidR="00A22349" w:rsidRPr="00BF04E0">
        <w:rPr>
          <w:color w:val="000000" w:themeColor="text1"/>
          <w:shd w:val="clear" w:color="auto" w:fill="FFFFFF"/>
        </w:rPr>
        <w:t>;</w:t>
      </w:r>
      <w:r w:rsidR="0099164E" w:rsidRPr="00BF04E0">
        <w:rPr>
          <w:color w:val="000000" w:themeColor="text1"/>
          <w:shd w:val="clear" w:color="auto" w:fill="FFFFFF"/>
        </w:rPr>
        <w:t xml:space="preserve"> Doan, Lin &amp; </w:t>
      </w:r>
      <w:proofErr w:type="spellStart"/>
      <w:r w:rsidR="0099164E" w:rsidRPr="00BF04E0">
        <w:rPr>
          <w:color w:val="000000" w:themeColor="text1"/>
          <w:shd w:val="clear" w:color="auto" w:fill="FFFFFF"/>
        </w:rPr>
        <w:t>Zurbruegg</w:t>
      </w:r>
      <w:proofErr w:type="spellEnd"/>
      <w:r w:rsidR="00A22349" w:rsidRPr="00BF04E0">
        <w:rPr>
          <w:color w:val="000000" w:themeColor="text1"/>
          <w:shd w:val="clear" w:color="auto" w:fill="FFFFFF"/>
        </w:rPr>
        <w:t xml:space="preserve">, </w:t>
      </w:r>
      <w:r w:rsidR="0099164E" w:rsidRPr="00BF04E0">
        <w:rPr>
          <w:color w:val="000000" w:themeColor="text1"/>
          <w:shd w:val="clear" w:color="auto" w:fill="FFFFFF"/>
        </w:rPr>
        <w:t>2010</w:t>
      </w:r>
      <w:r w:rsidR="00A22349" w:rsidRPr="00BF04E0">
        <w:rPr>
          <w:color w:val="000000" w:themeColor="text1"/>
          <w:shd w:val="clear" w:color="auto" w:fill="FFFFFF"/>
        </w:rPr>
        <w:t>;</w:t>
      </w:r>
      <w:r w:rsidR="0099164E" w:rsidRPr="00BF04E0">
        <w:rPr>
          <w:color w:val="000000" w:themeColor="text1"/>
          <w:shd w:val="clear" w:color="auto" w:fill="FFFFFF"/>
        </w:rPr>
        <w:t xml:space="preserve"> Galbreath</w:t>
      </w:r>
      <w:r w:rsidR="00A22349" w:rsidRPr="00BF04E0">
        <w:rPr>
          <w:color w:val="000000" w:themeColor="text1"/>
          <w:shd w:val="clear" w:color="auto" w:fill="FFFFFF"/>
        </w:rPr>
        <w:t xml:space="preserve">, </w:t>
      </w:r>
      <w:r w:rsidR="0099164E" w:rsidRPr="00BF04E0">
        <w:rPr>
          <w:color w:val="000000" w:themeColor="text1"/>
          <w:shd w:val="clear" w:color="auto" w:fill="FFFFFF"/>
        </w:rPr>
        <w:t>2013</w:t>
      </w:r>
      <w:bookmarkEnd w:id="1"/>
      <w:r w:rsidR="0099164E" w:rsidRPr="00BF04E0">
        <w:rPr>
          <w:color w:val="000000" w:themeColor="text1"/>
          <w:shd w:val="clear" w:color="auto" w:fill="FFFFFF"/>
        </w:rPr>
        <w:t>)</w:t>
      </w:r>
      <w:r w:rsidR="00A22349" w:rsidRPr="00BF04E0">
        <w:rPr>
          <w:color w:val="000000" w:themeColor="text1"/>
          <w:shd w:val="clear" w:color="auto" w:fill="FFFFFF"/>
        </w:rPr>
        <w:t xml:space="preserve">. </w:t>
      </w:r>
    </w:p>
    <w:p w14:paraId="7C767716" w14:textId="77777777" w:rsidR="00DF6B28" w:rsidRPr="00BF04E0" w:rsidRDefault="00DF6B28" w:rsidP="009471C6">
      <w:pPr>
        <w:contextualSpacing/>
        <w:jc w:val="both"/>
        <w:rPr>
          <w:color w:val="000000" w:themeColor="text1"/>
          <w:shd w:val="clear" w:color="auto" w:fill="FFFFFF"/>
        </w:rPr>
      </w:pPr>
    </w:p>
    <w:p w14:paraId="49AEB183" w14:textId="50D7FEFB" w:rsidR="009C56B0" w:rsidRPr="00BF04E0" w:rsidRDefault="00EC4FA3" w:rsidP="009471C6">
      <w:pPr>
        <w:contextualSpacing/>
        <w:jc w:val="both"/>
        <w:rPr>
          <w:color w:val="000000" w:themeColor="text1"/>
          <w:sz w:val="22"/>
          <w:szCs w:val="22"/>
          <w:shd w:val="clear" w:color="auto" w:fill="FFFFFF"/>
        </w:rPr>
      </w:pPr>
      <w:r w:rsidRPr="00BF04E0">
        <w:rPr>
          <w:color w:val="000000" w:themeColor="text1"/>
          <w:shd w:val="clear" w:color="auto" w:fill="FFFFFF"/>
        </w:rPr>
        <w:t>In light of these facts</w:t>
      </w:r>
      <w:r w:rsidR="00A22349" w:rsidRPr="00BF04E0">
        <w:rPr>
          <w:color w:val="000000" w:themeColor="text1"/>
          <w:shd w:val="clear" w:color="auto" w:fill="FFFFFF"/>
        </w:rPr>
        <w:t>,</w:t>
      </w:r>
      <w:r w:rsidR="0099164E" w:rsidRPr="00BF04E0">
        <w:rPr>
          <w:color w:val="000000" w:themeColor="text1"/>
          <w:shd w:val="clear" w:color="auto" w:fill="FFFFFF"/>
        </w:rPr>
        <w:t xml:space="preserve"> </w:t>
      </w:r>
      <w:r w:rsidR="00A22349" w:rsidRPr="00BF04E0">
        <w:rPr>
          <w:color w:val="000000" w:themeColor="text1"/>
          <w:shd w:val="clear" w:color="auto" w:fill="FFFFFF"/>
        </w:rPr>
        <w:t>i</w:t>
      </w:r>
      <w:r w:rsidR="00437168" w:rsidRPr="00BF04E0">
        <w:rPr>
          <w:color w:val="000000" w:themeColor="text1"/>
          <w:shd w:val="clear" w:color="auto" w:fill="FFFFFF"/>
        </w:rPr>
        <w:t xml:space="preserve">t is important to point out that even after </w:t>
      </w:r>
      <w:r w:rsidR="00503C59" w:rsidRPr="00BF04E0">
        <w:rPr>
          <w:color w:val="000000" w:themeColor="text1"/>
          <w:shd w:val="clear" w:color="auto" w:fill="FFFFFF"/>
        </w:rPr>
        <w:t>excluding</w:t>
      </w:r>
      <w:r w:rsidR="00437168" w:rsidRPr="00BF04E0">
        <w:rPr>
          <w:color w:val="000000" w:themeColor="text1"/>
          <w:shd w:val="clear" w:color="auto" w:fill="FFFFFF"/>
        </w:rPr>
        <w:t xml:space="preserve"> stocks </w:t>
      </w:r>
      <w:r w:rsidRPr="00BF04E0">
        <w:rPr>
          <w:color w:val="000000" w:themeColor="text1"/>
          <w:shd w:val="clear" w:color="auto" w:fill="FFFFFF"/>
        </w:rPr>
        <w:t xml:space="preserve">with </w:t>
      </w:r>
      <w:r w:rsidR="00437168" w:rsidRPr="00BF04E0">
        <w:rPr>
          <w:color w:val="000000" w:themeColor="text1"/>
          <w:shd w:val="clear" w:color="auto" w:fill="FFFFFF"/>
        </w:rPr>
        <w:t>market</w:t>
      </w:r>
      <w:r w:rsidR="00A22349" w:rsidRPr="00BF04E0">
        <w:rPr>
          <w:color w:val="000000" w:themeColor="text1"/>
          <w:shd w:val="clear" w:color="auto" w:fill="FFFFFF"/>
        </w:rPr>
        <w:t>-</w:t>
      </w:r>
      <w:r w:rsidR="00437168" w:rsidRPr="00BF04E0">
        <w:rPr>
          <w:color w:val="000000" w:themeColor="text1"/>
          <w:shd w:val="clear" w:color="auto" w:fill="FFFFFF"/>
        </w:rPr>
        <w:t>cap below 75</w:t>
      </w:r>
      <w:r w:rsidR="00437168" w:rsidRPr="00BF04E0">
        <w:rPr>
          <w:color w:val="000000" w:themeColor="text1"/>
          <w:shd w:val="clear" w:color="auto" w:fill="FFFFFF"/>
          <w:vertAlign w:val="superscript"/>
        </w:rPr>
        <w:t>th</w:t>
      </w:r>
      <w:r w:rsidR="00437168" w:rsidRPr="00BF04E0">
        <w:rPr>
          <w:color w:val="000000" w:themeColor="text1"/>
          <w:shd w:val="clear" w:color="auto" w:fill="FFFFFF"/>
        </w:rPr>
        <w:t xml:space="preserve"> percentile,</w:t>
      </w:r>
      <w:r w:rsidR="00503C59" w:rsidRPr="00BF04E0">
        <w:rPr>
          <w:color w:val="000000" w:themeColor="text1"/>
          <w:shd w:val="clear" w:color="auto" w:fill="FFFFFF"/>
        </w:rPr>
        <w:t xml:space="preserve"> our sample is</w:t>
      </w:r>
      <w:r w:rsidR="00A22349" w:rsidRPr="00BF04E0">
        <w:rPr>
          <w:color w:val="000000" w:themeColor="text1"/>
          <w:shd w:val="clear" w:color="auto" w:fill="FFFFFF"/>
        </w:rPr>
        <w:t xml:space="preserve"> </w:t>
      </w:r>
      <w:r w:rsidR="00503C59" w:rsidRPr="00BF04E0">
        <w:rPr>
          <w:color w:val="000000" w:themeColor="text1"/>
          <w:shd w:val="clear" w:color="auto" w:fill="FFFFFF"/>
        </w:rPr>
        <w:t xml:space="preserve">considerably larger compared to the </w:t>
      </w:r>
      <w:r w:rsidR="009C56B0" w:rsidRPr="00BF04E0">
        <w:rPr>
          <w:color w:val="000000" w:themeColor="text1"/>
          <w:shd w:val="clear" w:color="auto" w:fill="FFFFFF"/>
        </w:rPr>
        <w:t>above-mentioned</w:t>
      </w:r>
      <w:r w:rsidR="00503C59" w:rsidRPr="00BF04E0">
        <w:rPr>
          <w:color w:val="000000" w:themeColor="text1"/>
          <w:shd w:val="clear" w:color="auto" w:fill="FFFFFF"/>
        </w:rPr>
        <w:t xml:space="preserve"> studies, with 295 (</w:t>
      </w:r>
      <w:r w:rsidR="0067307F" w:rsidRPr="00BF04E0">
        <w:rPr>
          <w:color w:val="000000" w:themeColor="text1"/>
          <w:shd w:val="clear" w:color="auto" w:fill="FFFFFF"/>
        </w:rPr>
        <w:t>495</w:t>
      </w:r>
      <w:r w:rsidR="00503C59" w:rsidRPr="00BF04E0">
        <w:rPr>
          <w:color w:val="000000" w:themeColor="text1"/>
          <w:shd w:val="clear" w:color="auto" w:fill="FFFFFF"/>
        </w:rPr>
        <w:t>)</w:t>
      </w:r>
      <w:r w:rsidR="00F60D61" w:rsidRPr="00BF04E0">
        <w:rPr>
          <w:color w:val="000000" w:themeColor="text1"/>
          <w:shd w:val="clear" w:color="auto" w:fill="FFFFFF"/>
        </w:rPr>
        <w:t xml:space="preserve"> </w:t>
      </w:r>
      <w:r w:rsidR="00503C59" w:rsidRPr="00BF04E0">
        <w:rPr>
          <w:color w:val="000000" w:themeColor="text1"/>
          <w:shd w:val="clear" w:color="auto" w:fill="FFFFFF"/>
        </w:rPr>
        <w:t>stocks remaining</w:t>
      </w:r>
      <w:r w:rsidR="00F60D61" w:rsidRPr="00BF04E0">
        <w:rPr>
          <w:color w:val="000000" w:themeColor="text1"/>
          <w:shd w:val="clear" w:color="auto" w:fill="FFFFFF"/>
        </w:rPr>
        <w:t xml:space="preserve"> in the </w:t>
      </w:r>
      <w:r w:rsidR="00503C59" w:rsidRPr="00BF04E0">
        <w:rPr>
          <w:color w:val="000000" w:themeColor="text1"/>
          <w:shd w:val="clear" w:color="auto" w:fill="FFFFFF"/>
        </w:rPr>
        <w:t>“R</w:t>
      </w:r>
      <w:r w:rsidR="004A13C6" w:rsidRPr="00BF04E0">
        <w:rPr>
          <w:color w:val="000000" w:themeColor="text1"/>
          <w:shd w:val="clear" w:color="auto" w:fill="FFFFFF"/>
        </w:rPr>
        <w:t>ated</w:t>
      </w:r>
      <w:r w:rsidR="00503C59" w:rsidRPr="00BF04E0">
        <w:rPr>
          <w:color w:val="000000" w:themeColor="text1"/>
          <w:shd w:val="clear" w:color="auto" w:fill="FFFFFF"/>
        </w:rPr>
        <w:t>” (</w:t>
      </w:r>
      <w:r w:rsidR="00646521" w:rsidRPr="00BF04E0">
        <w:rPr>
          <w:color w:val="000000" w:themeColor="text1"/>
          <w:shd w:val="clear" w:color="auto" w:fill="FFFFFF"/>
        </w:rPr>
        <w:t>“</w:t>
      </w:r>
      <w:r w:rsidR="00503C59" w:rsidRPr="00BF04E0">
        <w:rPr>
          <w:color w:val="000000" w:themeColor="text1"/>
          <w:shd w:val="clear" w:color="auto" w:fill="FFFFFF"/>
        </w:rPr>
        <w:t>All</w:t>
      </w:r>
      <w:r w:rsidR="00646521" w:rsidRPr="00BF04E0">
        <w:rPr>
          <w:color w:val="000000" w:themeColor="text1"/>
          <w:shd w:val="clear" w:color="auto" w:fill="FFFFFF"/>
        </w:rPr>
        <w:t>”</w:t>
      </w:r>
      <w:r w:rsidR="00503C59" w:rsidRPr="00BF04E0">
        <w:rPr>
          <w:color w:val="000000" w:themeColor="text1"/>
          <w:shd w:val="clear" w:color="auto" w:fill="FFFFFF"/>
        </w:rPr>
        <w:t>) sample</w:t>
      </w:r>
      <w:r w:rsidR="00A01EC1" w:rsidRPr="00BF04E0">
        <w:rPr>
          <w:color w:val="000000" w:themeColor="text1"/>
          <w:shd w:val="clear" w:color="auto" w:fill="FFFFFF"/>
        </w:rPr>
        <w:t xml:space="preserve"> in 2016</w:t>
      </w:r>
      <w:r w:rsidR="004A13C6" w:rsidRPr="00BF04E0">
        <w:rPr>
          <w:color w:val="000000" w:themeColor="text1"/>
          <w:shd w:val="clear" w:color="auto" w:fill="FFFFFF"/>
        </w:rPr>
        <w:t>.</w:t>
      </w:r>
      <w:r w:rsidR="00DF6B28" w:rsidRPr="00BF04E0">
        <w:rPr>
          <w:color w:val="000000" w:themeColor="text1"/>
          <w:shd w:val="clear" w:color="auto" w:fill="FFFFFF"/>
        </w:rPr>
        <w:t xml:space="preserve"> Thus, f</w:t>
      </w:r>
      <w:r w:rsidR="005E23B5" w:rsidRPr="00BF04E0">
        <w:rPr>
          <w:color w:val="000000" w:themeColor="text1"/>
          <w:shd w:val="clear" w:color="auto" w:fill="FFFFFF"/>
        </w:rPr>
        <w:t>ollowing the suggestion of the referee, we have inserted the above-mentioned literature in the revised manuscript to avoid confusion for future readers.</w:t>
      </w:r>
    </w:p>
    <w:p w14:paraId="4AB6DD53" w14:textId="7EE9DC94" w:rsidR="00160ADC" w:rsidRPr="00BF04E0" w:rsidRDefault="00160ADC" w:rsidP="009471C6">
      <w:pPr>
        <w:contextualSpacing/>
        <w:jc w:val="both"/>
        <w:rPr>
          <w:color w:val="000000" w:themeColor="text1"/>
        </w:rPr>
      </w:pPr>
    </w:p>
    <w:p w14:paraId="6CC01C53" w14:textId="173274D7" w:rsidR="00255A3C" w:rsidRPr="00BF04E0" w:rsidRDefault="00255A3C" w:rsidP="009471C6">
      <w:pPr>
        <w:contextualSpacing/>
        <w:jc w:val="both"/>
        <w:rPr>
          <w:color w:val="000000" w:themeColor="text1"/>
        </w:rPr>
      </w:pPr>
    </w:p>
    <w:p w14:paraId="05B91BA6" w14:textId="77777777" w:rsidR="009471C6" w:rsidRPr="00BF04E0" w:rsidRDefault="009471C6" w:rsidP="009471C6">
      <w:pPr>
        <w:contextualSpacing/>
        <w:jc w:val="both"/>
        <w:rPr>
          <w:color w:val="000000" w:themeColor="text1"/>
        </w:rPr>
      </w:pPr>
    </w:p>
    <w:p w14:paraId="0324A4AF" w14:textId="77777777" w:rsidR="0026367F" w:rsidRPr="00BF04E0" w:rsidRDefault="0026367F" w:rsidP="009471C6">
      <w:pPr>
        <w:contextualSpacing/>
        <w:jc w:val="both"/>
        <w:rPr>
          <w:b/>
          <w:bCs/>
          <w:color w:val="000000" w:themeColor="text1"/>
        </w:rPr>
      </w:pPr>
    </w:p>
    <w:p w14:paraId="1F2A4CD2" w14:textId="6139D81C" w:rsidR="00160ADC" w:rsidRPr="00BF04E0" w:rsidRDefault="00160ADC" w:rsidP="009471C6">
      <w:pPr>
        <w:contextualSpacing/>
        <w:jc w:val="both"/>
        <w:rPr>
          <w:b/>
          <w:bCs/>
          <w:color w:val="000000" w:themeColor="text1"/>
        </w:rPr>
      </w:pPr>
      <w:r w:rsidRPr="00BF04E0">
        <w:rPr>
          <w:b/>
          <w:bCs/>
          <w:color w:val="000000" w:themeColor="text1"/>
        </w:rPr>
        <w:lastRenderedPageBreak/>
        <w:t>Comment 3:</w:t>
      </w:r>
    </w:p>
    <w:p w14:paraId="7B7A1EC4" w14:textId="16FB3274" w:rsidR="00160ADC" w:rsidRPr="00BF04E0" w:rsidRDefault="00160ADC" w:rsidP="009471C6">
      <w:pPr>
        <w:contextualSpacing/>
        <w:jc w:val="both"/>
        <w:rPr>
          <w:color w:val="000000" w:themeColor="text1"/>
        </w:rPr>
      </w:pPr>
    </w:p>
    <w:p w14:paraId="6AA391B3" w14:textId="45E48414" w:rsidR="00160ADC" w:rsidRPr="00BF04E0" w:rsidRDefault="00160ADC" w:rsidP="009471C6">
      <w:pPr>
        <w:contextualSpacing/>
        <w:jc w:val="both"/>
        <w:rPr>
          <w:i/>
          <w:iCs/>
          <w:color w:val="000000" w:themeColor="text1"/>
          <w:shd w:val="clear" w:color="auto" w:fill="FFFFFF"/>
        </w:rPr>
      </w:pPr>
      <w:r w:rsidRPr="00BF04E0">
        <w:rPr>
          <w:i/>
          <w:iCs/>
          <w:color w:val="000000" w:themeColor="text1"/>
          <w:shd w:val="clear" w:color="auto" w:fill="FFFFFF"/>
        </w:rPr>
        <w:t xml:space="preserve">Methodology of ESG integrated strategy: Only M3 can be considered as ESG integrated. M1 and M2 are just ESG rated. Since the author does not provide theories why ESG rated stocks should perform better (or worse) than </w:t>
      </w:r>
      <w:proofErr w:type="gramStart"/>
      <w:r w:rsidRPr="00BF04E0">
        <w:rPr>
          <w:i/>
          <w:iCs/>
          <w:color w:val="000000" w:themeColor="text1"/>
          <w:shd w:val="clear" w:color="auto" w:fill="FFFFFF"/>
        </w:rPr>
        <w:t>others</w:t>
      </w:r>
      <w:proofErr w:type="gramEnd"/>
      <w:r w:rsidRPr="00BF04E0">
        <w:rPr>
          <w:i/>
          <w:iCs/>
          <w:color w:val="000000" w:themeColor="text1"/>
          <w:shd w:val="clear" w:color="auto" w:fill="FFFFFF"/>
        </w:rPr>
        <w:t xml:space="preserve"> stocks, M1 and M2 are not important for this paper. It can be put on a footnote or appendix. Including the information causes a lot of extra columns in tables and lines in figures which diluted the major issue.</w:t>
      </w:r>
    </w:p>
    <w:p w14:paraId="0A008FA6" w14:textId="3B05F5E6" w:rsidR="00160ADC" w:rsidRPr="00BF04E0" w:rsidRDefault="00160ADC" w:rsidP="009471C6">
      <w:pPr>
        <w:contextualSpacing/>
        <w:jc w:val="both"/>
        <w:rPr>
          <w:i/>
          <w:iCs/>
          <w:color w:val="000000" w:themeColor="text1"/>
        </w:rPr>
      </w:pPr>
    </w:p>
    <w:p w14:paraId="329FAC7C" w14:textId="77777777" w:rsidR="00255A3C" w:rsidRPr="00BF04E0" w:rsidRDefault="003D631B" w:rsidP="009471C6">
      <w:pPr>
        <w:contextualSpacing/>
        <w:jc w:val="both"/>
        <w:rPr>
          <w:color w:val="000000" w:themeColor="text1"/>
        </w:rPr>
      </w:pPr>
      <w:r w:rsidRPr="00BF04E0">
        <w:rPr>
          <w:color w:val="000000" w:themeColor="text1"/>
        </w:rPr>
        <w:t>We thank the referee for this comment.</w:t>
      </w:r>
    </w:p>
    <w:p w14:paraId="5170F3AA" w14:textId="77777777" w:rsidR="00CC42CE" w:rsidRPr="00BF04E0" w:rsidRDefault="002A73E2" w:rsidP="009471C6">
      <w:pPr>
        <w:contextualSpacing/>
        <w:jc w:val="both"/>
        <w:rPr>
          <w:color w:val="000000" w:themeColor="text1"/>
        </w:rPr>
      </w:pPr>
      <w:r w:rsidRPr="00BF04E0">
        <w:rPr>
          <w:color w:val="000000" w:themeColor="text1"/>
        </w:rPr>
        <w:br/>
        <w:t xml:space="preserve">As exclusionary ESG methods are often employed by </w:t>
      </w:r>
      <w:r w:rsidR="008D69E4" w:rsidRPr="00BF04E0">
        <w:rPr>
          <w:color w:val="000000" w:themeColor="text1"/>
        </w:rPr>
        <w:t>investment managers</w:t>
      </w:r>
      <w:r w:rsidRPr="00BF04E0">
        <w:rPr>
          <w:color w:val="000000" w:themeColor="text1"/>
        </w:rPr>
        <w:t>, M1 and M2 offer baseline</w:t>
      </w:r>
      <w:r w:rsidR="008D69E4" w:rsidRPr="00BF04E0">
        <w:rPr>
          <w:color w:val="000000" w:themeColor="text1"/>
        </w:rPr>
        <w:t xml:space="preserve"> results which M3</w:t>
      </w:r>
      <w:r w:rsidR="00CC42CE" w:rsidRPr="00BF04E0">
        <w:rPr>
          <w:color w:val="000000" w:themeColor="text1"/>
        </w:rPr>
        <w:t xml:space="preserve"> </w:t>
      </w:r>
      <w:r w:rsidR="008D69E4" w:rsidRPr="00BF04E0">
        <w:rPr>
          <w:color w:val="000000" w:themeColor="text1"/>
        </w:rPr>
        <w:t>is benchmarked against</w:t>
      </w:r>
      <w:r w:rsidRPr="00BF04E0">
        <w:rPr>
          <w:color w:val="000000" w:themeColor="text1"/>
        </w:rPr>
        <w:t xml:space="preserve">. Whilst ESG is not directly integrated with a factor strategy in M1 and M2, </w:t>
      </w:r>
      <w:r w:rsidR="00971EF7" w:rsidRPr="00BF04E0">
        <w:rPr>
          <w:color w:val="000000" w:themeColor="text1"/>
        </w:rPr>
        <w:t xml:space="preserve">direct integration is investigated in M3. </w:t>
      </w:r>
    </w:p>
    <w:p w14:paraId="48D6E402" w14:textId="77777777" w:rsidR="00CC42CE" w:rsidRPr="00BF04E0" w:rsidRDefault="00CC42CE" w:rsidP="009471C6">
      <w:pPr>
        <w:contextualSpacing/>
        <w:jc w:val="both"/>
        <w:rPr>
          <w:color w:val="000000" w:themeColor="text1"/>
        </w:rPr>
      </w:pPr>
    </w:p>
    <w:p w14:paraId="401A5EF5" w14:textId="31754396" w:rsidR="002A73E2" w:rsidRPr="00BF04E0" w:rsidRDefault="00CC42CE" w:rsidP="009471C6">
      <w:pPr>
        <w:contextualSpacing/>
        <w:jc w:val="both"/>
        <w:rPr>
          <w:color w:val="000000" w:themeColor="text1"/>
        </w:rPr>
      </w:pPr>
      <w:r w:rsidRPr="00BF04E0">
        <w:rPr>
          <w:color w:val="000000" w:themeColor="text1"/>
        </w:rPr>
        <w:t xml:space="preserve">Though we understand the referee’s concern, </w:t>
      </w:r>
      <w:r w:rsidR="00971EF7" w:rsidRPr="00BF04E0">
        <w:rPr>
          <w:color w:val="000000" w:themeColor="text1"/>
        </w:rPr>
        <w:t>we have ke</w:t>
      </w:r>
      <w:r w:rsidRPr="00BF04E0">
        <w:rPr>
          <w:color w:val="000000" w:themeColor="text1"/>
        </w:rPr>
        <w:t>pt the</w:t>
      </w:r>
      <w:r w:rsidR="00971EF7" w:rsidRPr="00BF04E0">
        <w:rPr>
          <w:color w:val="000000" w:themeColor="text1"/>
        </w:rPr>
        <w:t xml:space="preserve"> M1 and M2 in the revised manuscript</w:t>
      </w:r>
      <w:r w:rsidRPr="00BF04E0">
        <w:rPr>
          <w:color w:val="000000" w:themeColor="text1"/>
        </w:rPr>
        <w:t xml:space="preserve"> as instructed by the editor</w:t>
      </w:r>
      <w:r w:rsidR="00971EF7" w:rsidRPr="00BF04E0">
        <w:rPr>
          <w:color w:val="000000" w:themeColor="text1"/>
        </w:rPr>
        <w:t xml:space="preserve">. </w:t>
      </w:r>
    </w:p>
    <w:p w14:paraId="4D6C2CDB" w14:textId="3F2900F7" w:rsidR="00DF6A54" w:rsidRPr="00BF04E0" w:rsidRDefault="00DF6A54" w:rsidP="009471C6">
      <w:pPr>
        <w:contextualSpacing/>
        <w:jc w:val="both"/>
        <w:rPr>
          <w:color w:val="000000" w:themeColor="text1"/>
        </w:rPr>
      </w:pPr>
    </w:p>
    <w:p w14:paraId="2316E391" w14:textId="296663FB" w:rsidR="00255A3C" w:rsidRPr="00BF04E0" w:rsidRDefault="00255A3C" w:rsidP="009471C6">
      <w:pPr>
        <w:contextualSpacing/>
        <w:jc w:val="both"/>
        <w:rPr>
          <w:color w:val="000000" w:themeColor="text1"/>
        </w:rPr>
      </w:pPr>
    </w:p>
    <w:p w14:paraId="58166242" w14:textId="77777777" w:rsidR="009471C6" w:rsidRPr="00BF04E0" w:rsidRDefault="009471C6" w:rsidP="009471C6">
      <w:pPr>
        <w:contextualSpacing/>
        <w:jc w:val="both"/>
        <w:rPr>
          <w:color w:val="000000" w:themeColor="text1"/>
        </w:rPr>
      </w:pPr>
    </w:p>
    <w:p w14:paraId="5459F34E" w14:textId="2F993A42" w:rsidR="00160ADC" w:rsidRPr="00BF04E0" w:rsidRDefault="00160ADC" w:rsidP="009471C6">
      <w:pPr>
        <w:contextualSpacing/>
        <w:jc w:val="both"/>
        <w:rPr>
          <w:b/>
          <w:bCs/>
          <w:color w:val="000000" w:themeColor="text1"/>
        </w:rPr>
      </w:pPr>
      <w:r w:rsidRPr="00BF04E0">
        <w:rPr>
          <w:b/>
          <w:bCs/>
          <w:color w:val="000000" w:themeColor="text1"/>
        </w:rPr>
        <w:t>Comment 4:</w:t>
      </w:r>
    </w:p>
    <w:p w14:paraId="245CD091" w14:textId="17BA154F" w:rsidR="00160ADC" w:rsidRPr="00BF04E0" w:rsidRDefault="00160ADC" w:rsidP="009471C6">
      <w:pPr>
        <w:contextualSpacing/>
        <w:jc w:val="both"/>
        <w:rPr>
          <w:color w:val="000000" w:themeColor="text1"/>
        </w:rPr>
      </w:pPr>
    </w:p>
    <w:p w14:paraId="1E0BC8FF" w14:textId="6F0761F0" w:rsidR="00160ADC" w:rsidRPr="00BF04E0" w:rsidRDefault="00160ADC" w:rsidP="009471C6">
      <w:pPr>
        <w:contextualSpacing/>
        <w:jc w:val="both"/>
        <w:rPr>
          <w:i/>
          <w:iCs/>
          <w:color w:val="000000" w:themeColor="text1"/>
        </w:rPr>
      </w:pPr>
      <w:r w:rsidRPr="00BF04E0">
        <w:rPr>
          <w:i/>
          <w:iCs/>
          <w:color w:val="000000" w:themeColor="text1"/>
          <w:shd w:val="clear" w:color="auto" w:fill="FFFFFF"/>
        </w:rPr>
        <w:t>The author states that "Responsible investors seek companies with strong financial performance whilst integrating non-financial factors such as environmental (E), social (S) and governance (G) scores into the investment decision process". It seems suggesting other types of investing is not responsible. It is an opinion too strong.</w:t>
      </w:r>
    </w:p>
    <w:p w14:paraId="58D027E0" w14:textId="4220F3C7" w:rsidR="00160ADC" w:rsidRPr="00BF04E0" w:rsidRDefault="00160ADC" w:rsidP="009471C6">
      <w:pPr>
        <w:contextualSpacing/>
        <w:jc w:val="both"/>
        <w:rPr>
          <w:i/>
          <w:iCs/>
          <w:color w:val="000000" w:themeColor="text1"/>
        </w:rPr>
      </w:pPr>
    </w:p>
    <w:p w14:paraId="521021C8" w14:textId="77777777" w:rsidR="009368FD" w:rsidRPr="00BF04E0" w:rsidRDefault="00160ADC" w:rsidP="009471C6">
      <w:pPr>
        <w:contextualSpacing/>
        <w:jc w:val="both"/>
        <w:rPr>
          <w:color w:val="000000" w:themeColor="text1"/>
        </w:rPr>
      </w:pPr>
      <w:r w:rsidRPr="00BF04E0">
        <w:rPr>
          <w:color w:val="000000" w:themeColor="text1"/>
        </w:rPr>
        <w:t xml:space="preserve">This comment is well-taken. </w:t>
      </w:r>
    </w:p>
    <w:p w14:paraId="1683538D" w14:textId="6C750A69" w:rsidR="00160ADC" w:rsidRPr="00BF04E0" w:rsidRDefault="00160ADC" w:rsidP="009471C6">
      <w:pPr>
        <w:contextualSpacing/>
        <w:jc w:val="both"/>
        <w:rPr>
          <w:color w:val="000000" w:themeColor="text1"/>
        </w:rPr>
      </w:pPr>
      <w:r w:rsidRPr="00BF04E0">
        <w:rPr>
          <w:color w:val="000000" w:themeColor="text1"/>
        </w:rPr>
        <w:br/>
        <w:t xml:space="preserve">Indeed, utilizing the phrase “Responsible” may infer that other types of investing are not responsible. </w:t>
      </w:r>
      <w:r w:rsidR="00EB7F16" w:rsidRPr="00BF04E0">
        <w:rPr>
          <w:color w:val="000000" w:themeColor="text1"/>
        </w:rPr>
        <w:t>We have amended the text in the revised manuscript</w:t>
      </w:r>
      <w:r w:rsidR="00405FD5" w:rsidRPr="00BF04E0">
        <w:rPr>
          <w:color w:val="000000" w:themeColor="text1"/>
        </w:rPr>
        <w:t xml:space="preserve"> as “</w:t>
      </w:r>
      <w:r w:rsidR="00405FD5" w:rsidRPr="00BF04E0">
        <w:rPr>
          <w:color w:val="000000" w:themeColor="text1"/>
          <w:lang w:val="en-US"/>
        </w:rPr>
        <w:t>Investors are increasingly seeking</w:t>
      </w:r>
      <w:r w:rsidR="00405FD5" w:rsidRPr="00BF04E0">
        <w:rPr>
          <w:rFonts w:asciiTheme="majorBidi" w:hAnsiTheme="majorBidi" w:cstheme="majorBidi"/>
          <w:color w:val="000000" w:themeColor="text1"/>
          <w:lang w:val="en-US"/>
        </w:rPr>
        <w:t xml:space="preserve"> companies with strong non-financial factors such as environmental (Env), social (Soc) and governance (Gov) scores…”.</w:t>
      </w:r>
    </w:p>
    <w:p w14:paraId="3BD90D3A" w14:textId="61E8AFAC" w:rsidR="00DF6A54" w:rsidRPr="00BF04E0" w:rsidRDefault="00DF6A54" w:rsidP="009471C6">
      <w:pPr>
        <w:contextualSpacing/>
        <w:jc w:val="both"/>
        <w:rPr>
          <w:color w:val="000000" w:themeColor="text1"/>
        </w:rPr>
      </w:pPr>
    </w:p>
    <w:p w14:paraId="36A83E6A" w14:textId="6DC46227" w:rsidR="00255A3C" w:rsidRPr="00BF04E0" w:rsidRDefault="00255A3C" w:rsidP="009471C6">
      <w:pPr>
        <w:contextualSpacing/>
        <w:jc w:val="both"/>
        <w:rPr>
          <w:color w:val="000000" w:themeColor="text1"/>
        </w:rPr>
      </w:pPr>
    </w:p>
    <w:p w14:paraId="21F66CC1" w14:textId="77777777" w:rsidR="009471C6" w:rsidRPr="00BF04E0" w:rsidRDefault="009471C6" w:rsidP="009471C6">
      <w:pPr>
        <w:contextualSpacing/>
        <w:jc w:val="both"/>
        <w:rPr>
          <w:color w:val="000000" w:themeColor="text1"/>
        </w:rPr>
      </w:pPr>
    </w:p>
    <w:p w14:paraId="747B7B4B" w14:textId="35A2945C" w:rsidR="00160ADC" w:rsidRPr="00BF04E0" w:rsidRDefault="00160ADC" w:rsidP="009471C6">
      <w:pPr>
        <w:contextualSpacing/>
        <w:jc w:val="both"/>
        <w:rPr>
          <w:b/>
          <w:bCs/>
          <w:color w:val="000000" w:themeColor="text1"/>
        </w:rPr>
      </w:pPr>
      <w:r w:rsidRPr="00BF04E0">
        <w:rPr>
          <w:b/>
          <w:bCs/>
          <w:color w:val="000000" w:themeColor="text1"/>
        </w:rPr>
        <w:t xml:space="preserve">Comment 5: </w:t>
      </w:r>
    </w:p>
    <w:p w14:paraId="39226071" w14:textId="76DAB2C7" w:rsidR="00160ADC" w:rsidRPr="00BF04E0" w:rsidRDefault="00160ADC" w:rsidP="009471C6">
      <w:pPr>
        <w:contextualSpacing/>
        <w:jc w:val="both"/>
        <w:rPr>
          <w:color w:val="000000" w:themeColor="text1"/>
        </w:rPr>
      </w:pPr>
    </w:p>
    <w:p w14:paraId="4EE013C5" w14:textId="5536ACC2" w:rsidR="00160ADC" w:rsidRPr="00BF04E0" w:rsidRDefault="00160ADC" w:rsidP="009471C6">
      <w:pPr>
        <w:contextualSpacing/>
        <w:jc w:val="both"/>
        <w:rPr>
          <w:i/>
          <w:iCs/>
          <w:color w:val="000000" w:themeColor="text1"/>
          <w:shd w:val="clear" w:color="auto" w:fill="FFFFFF"/>
        </w:rPr>
      </w:pPr>
      <w:r w:rsidRPr="00BF04E0">
        <w:rPr>
          <w:i/>
          <w:iCs/>
          <w:color w:val="000000" w:themeColor="text1"/>
          <w:shd w:val="clear" w:color="auto" w:fill="FFFFFF"/>
        </w:rPr>
        <w:t xml:space="preserve">Table 1, the explanation of ∆ is unclear. </w:t>
      </w:r>
      <w:proofErr w:type="gramStart"/>
      <w:r w:rsidRPr="00BF04E0">
        <w:rPr>
          <w:i/>
          <w:iCs/>
          <w:color w:val="000000" w:themeColor="text1"/>
          <w:shd w:val="clear" w:color="auto" w:fill="FFFFFF"/>
        </w:rPr>
        <w:t>First</w:t>
      </w:r>
      <w:proofErr w:type="gramEnd"/>
      <w:r w:rsidRPr="00BF04E0">
        <w:rPr>
          <w:i/>
          <w:iCs/>
          <w:color w:val="000000" w:themeColor="text1"/>
          <w:shd w:val="clear" w:color="auto" w:fill="FFFFFF"/>
        </w:rPr>
        <w:t xml:space="preserve"> I thought it was annualized, then figured out it is the total change. Some are in %, while others in X.</w:t>
      </w:r>
    </w:p>
    <w:p w14:paraId="4F6AF49B" w14:textId="5A9EF14E" w:rsidR="00160ADC" w:rsidRPr="00BF04E0" w:rsidRDefault="00160ADC" w:rsidP="009471C6">
      <w:pPr>
        <w:contextualSpacing/>
        <w:jc w:val="both"/>
        <w:rPr>
          <w:i/>
          <w:iCs/>
          <w:color w:val="000000" w:themeColor="text1"/>
          <w:sz w:val="22"/>
          <w:szCs w:val="22"/>
        </w:rPr>
      </w:pPr>
    </w:p>
    <w:p w14:paraId="1E9C1E85" w14:textId="607DA82A" w:rsidR="00160ADC" w:rsidRPr="00BF04E0" w:rsidRDefault="00160ADC" w:rsidP="009471C6">
      <w:pPr>
        <w:contextualSpacing/>
        <w:jc w:val="both"/>
        <w:rPr>
          <w:color w:val="000000" w:themeColor="text1"/>
        </w:rPr>
      </w:pPr>
      <w:r w:rsidRPr="00BF04E0">
        <w:rPr>
          <w:color w:val="000000" w:themeColor="text1"/>
        </w:rPr>
        <w:t xml:space="preserve">We thank the referee for point out this confusion. </w:t>
      </w:r>
    </w:p>
    <w:p w14:paraId="4FA93184" w14:textId="77777777" w:rsidR="00160ADC" w:rsidRPr="00BF04E0" w:rsidRDefault="00160ADC" w:rsidP="009471C6">
      <w:pPr>
        <w:contextualSpacing/>
        <w:jc w:val="both"/>
        <w:rPr>
          <w:color w:val="000000" w:themeColor="text1"/>
        </w:rPr>
      </w:pPr>
    </w:p>
    <w:p w14:paraId="2F8D234B" w14:textId="07093377" w:rsidR="00160ADC" w:rsidRPr="00BF04E0" w:rsidRDefault="00160ADC" w:rsidP="009471C6">
      <w:pPr>
        <w:contextualSpacing/>
        <w:jc w:val="both"/>
        <w:rPr>
          <w:color w:val="000000" w:themeColor="text1"/>
        </w:rPr>
      </w:pPr>
      <w:r w:rsidRPr="00BF04E0">
        <w:rPr>
          <w:color w:val="000000" w:themeColor="text1"/>
        </w:rPr>
        <w:t>To address this, in the description of Table 1, the</w:t>
      </w:r>
      <w:r w:rsidRPr="00BF04E0">
        <w:rPr>
          <w:i/>
          <w:iCs/>
          <w:color w:val="000000" w:themeColor="text1"/>
        </w:rPr>
        <w:t xml:space="preserve"> </w:t>
      </w:r>
      <w:r w:rsidRPr="00BF04E0">
        <w:rPr>
          <w:color w:val="000000" w:themeColor="text1"/>
        </w:rPr>
        <w:t>following statement has been modified from:</w:t>
      </w:r>
    </w:p>
    <w:p w14:paraId="07080153" w14:textId="77777777" w:rsidR="009579DB" w:rsidRPr="00BF04E0" w:rsidRDefault="009579DB" w:rsidP="009471C6">
      <w:pPr>
        <w:contextualSpacing/>
        <w:jc w:val="both"/>
        <w:rPr>
          <w:color w:val="000000" w:themeColor="text1"/>
        </w:rPr>
      </w:pPr>
    </w:p>
    <w:p w14:paraId="5375D97B" w14:textId="3D79D417" w:rsidR="00160ADC" w:rsidRPr="00BF04E0" w:rsidRDefault="00160ADC" w:rsidP="009471C6">
      <w:pPr>
        <w:ind w:left="720"/>
        <w:contextualSpacing/>
        <w:jc w:val="both"/>
        <w:rPr>
          <w:color w:val="000000" w:themeColor="text1"/>
          <w:sz w:val="22"/>
          <w:szCs w:val="22"/>
        </w:rPr>
      </w:pPr>
      <w:r w:rsidRPr="00BF04E0">
        <w:rPr>
          <w:color w:val="000000" w:themeColor="text1"/>
          <w:sz w:val="22"/>
          <w:szCs w:val="22"/>
        </w:rPr>
        <w:t>“Δ represents the percentage change in stock counts and scores from 2007 for all industries with the exception of Utilities, which represents the percentage change from 2009.”</w:t>
      </w:r>
    </w:p>
    <w:p w14:paraId="56033AA8" w14:textId="05CA561E" w:rsidR="00160ADC" w:rsidRPr="00BF04E0" w:rsidRDefault="00160ADC" w:rsidP="009471C6">
      <w:pPr>
        <w:contextualSpacing/>
        <w:jc w:val="both"/>
        <w:rPr>
          <w:color w:val="000000" w:themeColor="text1"/>
        </w:rPr>
      </w:pPr>
      <w:r w:rsidRPr="00BF04E0">
        <w:rPr>
          <w:color w:val="000000" w:themeColor="text1"/>
        </w:rPr>
        <w:t>To:</w:t>
      </w:r>
    </w:p>
    <w:p w14:paraId="7940F562" w14:textId="537A0FD6" w:rsidR="00160ADC" w:rsidRPr="00BF04E0" w:rsidRDefault="00160ADC" w:rsidP="009471C6">
      <w:pPr>
        <w:ind w:left="720"/>
        <w:contextualSpacing/>
        <w:jc w:val="both"/>
        <w:rPr>
          <w:color w:val="000000" w:themeColor="text1"/>
          <w:sz w:val="22"/>
          <w:szCs w:val="22"/>
        </w:rPr>
      </w:pPr>
      <w:r w:rsidRPr="00BF04E0">
        <w:rPr>
          <w:color w:val="000000" w:themeColor="text1"/>
          <w:sz w:val="22"/>
          <w:szCs w:val="22"/>
        </w:rPr>
        <w:t>“Δ represents the percentage change in stock counts (x) and scores (%) from 2007 for all industries with the exception of Utilities, which represents the percentage change from 2009.”</w:t>
      </w:r>
    </w:p>
    <w:p w14:paraId="3DC2552F" w14:textId="6F6F35AE" w:rsidR="009368FD" w:rsidRPr="00BF04E0" w:rsidRDefault="009368FD" w:rsidP="009471C6">
      <w:pPr>
        <w:contextualSpacing/>
        <w:jc w:val="both"/>
        <w:rPr>
          <w:color w:val="000000" w:themeColor="text1"/>
        </w:rPr>
      </w:pPr>
    </w:p>
    <w:p w14:paraId="186B57DD" w14:textId="05B6E1E3" w:rsidR="00255A3C" w:rsidRPr="00BF04E0" w:rsidRDefault="00255A3C" w:rsidP="009471C6">
      <w:pPr>
        <w:contextualSpacing/>
        <w:jc w:val="both"/>
        <w:rPr>
          <w:color w:val="000000" w:themeColor="text1"/>
        </w:rPr>
      </w:pPr>
    </w:p>
    <w:p w14:paraId="7D8A3269" w14:textId="6D888CBF" w:rsidR="00160ADC" w:rsidRPr="00BF04E0" w:rsidRDefault="00160ADC" w:rsidP="009471C6">
      <w:pPr>
        <w:contextualSpacing/>
        <w:jc w:val="both"/>
        <w:rPr>
          <w:b/>
          <w:bCs/>
          <w:color w:val="000000" w:themeColor="text1"/>
        </w:rPr>
      </w:pPr>
      <w:r w:rsidRPr="00BF04E0">
        <w:rPr>
          <w:b/>
          <w:bCs/>
          <w:color w:val="000000" w:themeColor="text1"/>
        </w:rPr>
        <w:lastRenderedPageBreak/>
        <w:t>Comment 6:</w:t>
      </w:r>
    </w:p>
    <w:p w14:paraId="2321B0F0" w14:textId="1047DBE5" w:rsidR="00160ADC" w:rsidRPr="00BF04E0" w:rsidRDefault="00160ADC" w:rsidP="009471C6">
      <w:pPr>
        <w:contextualSpacing/>
        <w:jc w:val="both"/>
        <w:rPr>
          <w:color w:val="000000" w:themeColor="text1"/>
        </w:rPr>
      </w:pPr>
    </w:p>
    <w:p w14:paraId="22933CD1" w14:textId="48ADC92F" w:rsidR="00160ADC" w:rsidRPr="00BF04E0" w:rsidRDefault="00160ADC" w:rsidP="009471C6">
      <w:pPr>
        <w:contextualSpacing/>
        <w:jc w:val="both"/>
        <w:rPr>
          <w:i/>
          <w:iCs/>
          <w:color w:val="000000" w:themeColor="text1"/>
          <w:shd w:val="clear" w:color="auto" w:fill="FFFFFF"/>
        </w:rPr>
      </w:pPr>
      <w:r w:rsidRPr="00BF04E0">
        <w:rPr>
          <w:i/>
          <w:iCs/>
          <w:color w:val="000000" w:themeColor="text1"/>
          <w:shd w:val="clear" w:color="auto" w:fill="FFFFFF"/>
        </w:rPr>
        <w:t xml:space="preserve">Empirically, studies have found stocks with lower risk outperform stocks with higher risk in the long-run". (page 9) If risk is measured correctly, stocks with lower risk should have lower return in the </w:t>
      </w:r>
      <w:proofErr w:type="gramStart"/>
      <w:r w:rsidRPr="00BF04E0">
        <w:rPr>
          <w:i/>
          <w:iCs/>
          <w:color w:val="000000" w:themeColor="text1"/>
          <w:shd w:val="clear" w:color="auto" w:fill="FFFFFF"/>
        </w:rPr>
        <w:t>long-run</w:t>
      </w:r>
      <w:proofErr w:type="gramEnd"/>
      <w:r w:rsidRPr="00BF04E0">
        <w:rPr>
          <w:i/>
          <w:iCs/>
          <w:color w:val="000000" w:themeColor="text1"/>
          <w:shd w:val="clear" w:color="auto" w:fill="FFFFFF"/>
        </w:rPr>
        <w:t xml:space="preserve"> in an efficient market, according to standard finance theory. Claiming lower risk outperform higher risk stocks in the </w:t>
      </w:r>
      <w:proofErr w:type="gramStart"/>
      <w:r w:rsidRPr="00BF04E0">
        <w:rPr>
          <w:i/>
          <w:iCs/>
          <w:color w:val="000000" w:themeColor="text1"/>
          <w:shd w:val="clear" w:color="auto" w:fill="FFFFFF"/>
        </w:rPr>
        <w:t>long-run</w:t>
      </w:r>
      <w:proofErr w:type="gramEnd"/>
      <w:r w:rsidRPr="00BF04E0">
        <w:rPr>
          <w:i/>
          <w:iCs/>
          <w:color w:val="000000" w:themeColor="text1"/>
          <w:shd w:val="clear" w:color="auto" w:fill="FFFFFF"/>
        </w:rPr>
        <w:t xml:space="preserve"> based on several study seems a stretch too far.</w:t>
      </w:r>
    </w:p>
    <w:p w14:paraId="1BDDAEF4" w14:textId="228D7FAA" w:rsidR="00160ADC" w:rsidRPr="00BF04E0" w:rsidRDefault="00160ADC" w:rsidP="009471C6">
      <w:pPr>
        <w:contextualSpacing/>
        <w:jc w:val="both"/>
        <w:rPr>
          <w:i/>
          <w:iCs/>
          <w:color w:val="000000" w:themeColor="text1"/>
        </w:rPr>
      </w:pPr>
    </w:p>
    <w:p w14:paraId="330FC3E3" w14:textId="77777777" w:rsidR="00160ADC" w:rsidRPr="00BF04E0" w:rsidRDefault="00160ADC" w:rsidP="009471C6">
      <w:pPr>
        <w:contextualSpacing/>
        <w:jc w:val="both"/>
        <w:rPr>
          <w:color w:val="000000" w:themeColor="text1"/>
        </w:rPr>
      </w:pPr>
      <w:r w:rsidRPr="00BF04E0">
        <w:rPr>
          <w:color w:val="000000" w:themeColor="text1"/>
        </w:rPr>
        <w:t>We wish to thank the referee for this constructive feedback.</w:t>
      </w:r>
    </w:p>
    <w:p w14:paraId="5AFD17FA" w14:textId="1F2E50D4" w:rsidR="009579DB" w:rsidRPr="00BF04E0" w:rsidRDefault="00160ADC" w:rsidP="009471C6">
      <w:pPr>
        <w:contextualSpacing/>
        <w:jc w:val="both"/>
        <w:rPr>
          <w:i/>
          <w:iCs/>
          <w:color w:val="000000" w:themeColor="text1"/>
          <w:shd w:val="clear" w:color="auto" w:fill="FFFFFF"/>
        </w:rPr>
      </w:pPr>
      <w:r w:rsidRPr="00BF04E0">
        <w:rPr>
          <w:color w:val="000000" w:themeColor="text1"/>
        </w:rPr>
        <w:br/>
        <w:t xml:space="preserve">To improve the clarity and precision, the sentence, </w:t>
      </w:r>
      <w:r w:rsidR="009579DB" w:rsidRPr="00BF04E0">
        <w:rPr>
          <w:color w:val="000000" w:themeColor="text1"/>
        </w:rPr>
        <w:t>“</w:t>
      </w:r>
      <w:r w:rsidRPr="00BF04E0">
        <w:rPr>
          <w:color w:val="000000" w:themeColor="text1"/>
          <w:shd w:val="clear" w:color="auto" w:fill="FFFFFF"/>
        </w:rPr>
        <w:t>Empirically, studies have found stocks with lower risk outperform stocks with higher risk in the long-run</w:t>
      </w:r>
      <w:r w:rsidR="009579DB" w:rsidRPr="00BF04E0">
        <w:rPr>
          <w:color w:val="000000" w:themeColor="text1"/>
          <w:shd w:val="clear" w:color="auto" w:fill="FFFFFF"/>
        </w:rPr>
        <w:t>”</w:t>
      </w:r>
      <w:r w:rsidRPr="00BF04E0">
        <w:rPr>
          <w:color w:val="000000" w:themeColor="text1"/>
          <w:shd w:val="clear" w:color="auto" w:fill="FFFFFF"/>
        </w:rPr>
        <w:t xml:space="preserve"> is amended.</w:t>
      </w:r>
      <w:r w:rsidRPr="00BF04E0">
        <w:rPr>
          <w:i/>
          <w:iCs/>
          <w:color w:val="000000" w:themeColor="text1"/>
          <w:shd w:val="clear" w:color="auto" w:fill="FFFFFF"/>
        </w:rPr>
        <w:t xml:space="preserve"> </w:t>
      </w:r>
    </w:p>
    <w:p w14:paraId="6CB96D9E" w14:textId="77777777" w:rsidR="009579DB" w:rsidRPr="00BF04E0" w:rsidRDefault="009579DB" w:rsidP="009471C6">
      <w:pPr>
        <w:contextualSpacing/>
        <w:jc w:val="both"/>
        <w:rPr>
          <w:i/>
          <w:iCs/>
          <w:color w:val="000000" w:themeColor="text1"/>
          <w:shd w:val="clear" w:color="auto" w:fill="FFFFFF"/>
        </w:rPr>
      </w:pPr>
    </w:p>
    <w:p w14:paraId="76553C8C" w14:textId="4EDF9022" w:rsidR="00160ADC" w:rsidRPr="00BF04E0" w:rsidRDefault="00160ADC" w:rsidP="009471C6">
      <w:pPr>
        <w:contextualSpacing/>
        <w:jc w:val="both"/>
        <w:rPr>
          <w:color w:val="000000" w:themeColor="text1"/>
        </w:rPr>
      </w:pPr>
      <w:r w:rsidRPr="00BF04E0">
        <w:rPr>
          <w:color w:val="000000" w:themeColor="text1"/>
          <w:shd w:val="clear" w:color="auto" w:fill="FFFFFF"/>
        </w:rPr>
        <w:t>The sentence now reads as “Traditional finance theory suggests that riskier securities, on average, deliver higher return as compensation for holding that risk. Black, Jensen and Scholes (1972) first identified the anomaly that being long low beta securities and short high beta securities generated significant positive returns. The notion of low and/or minimum volatility has since expanded in the literature as this factor provides an investor a more defensive approach on the downside while capturing most of the upside”</w:t>
      </w:r>
      <w:r w:rsidR="009579DB" w:rsidRPr="00BF04E0">
        <w:rPr>
          <w:color w:val="000000" w:themeColor="text1"/>
          <w:shd w:val="clear" w:color="auto" w:fill="FFFFFF"/>
        </w:rPr>
        <w:t>.</w:t>
      </w:r>
      <w:r w:rsidRPr="00BF04E0">
        <w:rPr>
          <w:color w:val="000000" w:themeColor="text1"/>
          <w:shd w:val="clear" w:color="auto" w:fill="FFFFFF"/>
        </w:rPr>
        <w:t xml:space="preserve"> </w:t>
      </w:r>
    </w:p>
    <w:p w14:paraId="29675900" w14:textId="4C432F55" w:rsidR="00160ADC" w:rsidRPr="00BF04E0" w:rsidRDefault="00160ADC" w:rsidP="009471C6">
      <w:pPr>
        <w:contextualSpacing/>
        <w:jc w:val="both"/>
        <w:rPr>
          <w:color w:val="000000" w:themeColor="text1"/>
        </w:rPr>
      </w:pPr>
    </w:p>
    <w:p w14:paraId="487BB568" w14:textId="77777777" w:rsidR="00BB7948" w:rsidRPr="00BF04E0" w:rsidRDefault="00BB7948" w:rsidP="009471C6">
      <w:pPr>
        <w:contextualSpacing/>
        <w:jc w:val="both"/>
        <w:rPr>
          <w:color w:val="000000" w:themeColor="text1"/>
        </w:rPr>
      </w:pPr>
    </w:p>
    <w:p w14:paraId="300163AF" w14:textId="72372740" w:rsidR="00160ADC" w:rsidRPr="00BF04E0" w:rsidRDefault="00160ADC" w:rsidP="009471C6">
      <w:pPr>
        <w:contextualSpacing/>
        <w:jc w:val="both"/>
        <w:rPr>
          <w:b/>
          <w:bCs/>
          <w:color w:val="000000" w:themeColor="text1"/>
        </w:rPr>
      </w:pPr>
      <w:r w:rsidRPr="00BF04E0">
        <w:rPr>
          <w:b/>
          <w:bCs/>
          <w:color w:val="000000" w:themeColor="text1"/>
        </w:rPr>
        <w:t>Comment 7:</w:t>
      </w:r>
    </w:p>
    <w:p w14:paraId="2FCCAB64" w14:textId="77777777" w:rsidR="00160ADC" w:rsidRPr="00BF04E0" w:rsidRDefault="00160ADC" w:rsidP="009471C6">
      <w:pPr>
        <w:contextualSpacing/>
        <w:jc w:val="both"/>
        <w:rPr>
          <w:color w:val="000000" w:themeColor="text1"/>
        </w:rPr>
      </w:pPr>
    </w:p>
    <w:p w14:paraId="2D4728AF" w14:textId="1BD01596" w:rsidR="00160ADC" w:rsidRPr="00BF04E0" w:rsidRDefault="00160ADC" w:rsidP="009471C6">
      <w:pPr>
        <w:contextualSpacing/>
        <w:jc w:val="both"/>
        <w:rPr>
          <w:i/>
          <w:iCs/>
          <w:color w:val="000000" w:themeColor="text1"/>
          <w:shd w:val="clear" w:color="auto" w:fill="FFFFFF"/>
        </w:rPr>
      </w:pPr>
      <w:r w:rsidRPr="00BF04E0">
        <w:rPr>
          <w:i/>
          <w:iCs/>
          <w:color w:val="000000" w:themeColor="text1"/>
          <w:shd w:val="clear" w:color="auto" w:fill="FFFFFF"/>
        </w:rPr>
        <w:t xml:space="preserve">Equation 1 is a measure of volatility. The paper does not refer to the </w:t>
      </w:r>
      <w:proofErr w:type="gramStart"/>
      <w:r w:rsidRPr="00BF04E0">
        <w:rPr>
          <w:i/>
          <w:iCs/>
          <w:color w:val="000000" w:themeColor="text1"/>
          <w:shd w:val="clear" w:color="auto" w:fill="FFFFFF"/>
        </w:rPr>
        <w:t>equation, and</w:t>
      </w:r>
      <w:proofErr w:type="gramEnd"/>
      <w:r w:rsidRPr="00BF04E0">
        <w:rPr>
          <w:i/>
          <w:iCs/>
          <w:color w:val="000000" w:themeColor="text1"/>
          <w:shd w:val="clear" w:color="auto" w:fill="FFFFFF"/>
        </w:rPr>
        <w:t xml:space="preserve"> did not provide an explanation of variables. Even it is a simple equation, a basic note is still needed. </w:t>
      </w:r>
      <w:proofErr w:type="gramStart"/>
      <w:r w:rsidRPr="00BF04E0">
        <w:rPr>
          <w:i/>
          <w:iCs/>
          <w:color w:val="000000" w:themeColor="text1"/>
          <w:shd w:val="clear" w:color="auto" w:fill="FFFFFF"/>
        </w:rPr>
        <w:t>Also</w:t>
      </w:r>
      <w:proofErr w:type="gramEnd"/>
      <w:r w:rsidRPr="00BF04E0">
        <w:rPr>
          <w:i/>
          <w:iCs/>
          <w:color w:val="000000" w:themeColor="text1"/>
          <w:shd w:val="clear" w:color="auto" w:fill="FFFFFF"/>
        </w:rPr>
        <w:t xml:space="preserve"> the "Minimum volatility" strategy should be named as "low volatility" strategy. Minimum is a little misleading.</w:t>
      </w:r>
    </w:p>
    <w:p w14:paraId="18D8D869" w14:textId="51F30178" w:rsidR="00160ADC" w:rsidRPr="00BF04E0" w:rsidRDefault="00160ADC" w:rsidP="009471C6">
      <w:pPr>
        <w:contextualSpacing/>
        <w:jc w:val="both"/>
        <w:rPr>
          <w:i/>
          <w:iCs/>
          <w:color w:val="000000" w:themeColor="text1"/>
          <w:shd w:val="clear" w:color="auto" w:fill="FFFFFF"/>
        </w:rPr>
      </w:pPr>
    </w:p>
    <w:p w14:paraId="728C43D0" w14:textId="7679A2DB" w:rsidR="00160ADC" w:rsidRPr="00BF04E0" w:rsidRDefault="00160ADC" w:rsidP="009471C6">
      <w:pPr>
        <w:contextualSpacing/>
        <w:jc w:val="both"/>
        <w:rPr>
          <w:color w:val="000000" w:themeColor="text1"/>
          <w:shd w:val="clear" w:color="auto" w:fill="FFFFFF"/>
        </w:rPr>
      </w:pPr>
      <w:r w:rsidRPr="00BF04E0">
        <w:rPr>
          <w:color w:val="000000" w:themeColor="text1"/>
          <w:shd w:val="clear" w:color="auto" w:fill="FFFFFF"/>
        </w:rPr>
        <w:t xml:space="preserve">This comment is well-taken. </w:t>
      </w:r>
    </w:p>
    <w:p w14:paraId="760A7953" w14:textId="0099698D" w:rsidR="00160ADC" w:rsidRPr="00BF04E0" w:rsidRDefault="00160ADC" w:rsidP="009471C6">
      <w:pPr>
        <w:contextualSpacing/>
        <w:jc w:val="both"/>
        <w:rPr>
          <w:color w:val="000000" w:themeColor="text1"/>
          <w:shd w:val="clear" w:color="auto" w:fill="FFFFFF"/>
        </w:rPr>
      </w:pPr>
    </w:p>
    <w:p w14:paraId="26EAF6FE" w14:textId="6B4D294D" w:rsidR="00FE622D" w:rsidRPr="00BF04E0" w:rsidRDefault="00FE622D" w:rsidP="009471C6">
      <w:pPr>
        <w:contextualSpacing/>
        <w:jc w:val="both"/>
        <w:rPr>
          <w:color w:val="000000" w:themeColor="text1"/>
          <w:shd w:val="clear" w:color="auto" w:fill="FFFFFF"/>
        </w:rPr>
      </w:pPr>
      <w:r w:rsidRPr="00BF04E0">
        <w:rPr>
          <w:color w:val="000000" w:themeColor="text1"/>
          <w:shd w:val="clear" w:color="auto" w:fill="FFFFFF"/>
        </w:rPr>
        <w:t xml:space="preserve">We think </w:t>
      </w:r>
      <w:r w:rsidR="00160ADC" w:rsidRPr="00BF04E0">
        <w:rPr>
          <w:color w:val="000000" w:themeColor="text1"/>
          <w:shd w:val="clear" w:color="auto" w:fill="FFFFFF"/>
        </w:rPr>
        <w:t xml:space="preserve">there </w:t>
      </w:r>
      <w:r w:rsidRPr="00BF04E0">
        <w:rPr>
          <w:color w:val="000000" w:themeColor="text1"/>
          <w:shd w:val="clear" w:color="auto" w:fill="FFFFFF"/>
        </w:rPr>
        <w:t>may have</w:t>
      </w:r>
      <w:r w:rsidR="00160ADC" w:rsidRPr="00BF04E0">
        <w:rPr>
          <w:color w:val="000000" w:themeColor="text1"/>
          <w:shd w:val="clear" w:color="auto" w:fill="FFFFFF"/>
        </w:rPr>
        <w:t xml:space="preserve"> been some confusion when reading equation 1 as there is an explanation defining the variables in the</w:t>
      </w:r>
      <w:r w:rsidR="00590E3E" w:rsidRPr="00BF04E0">
        <w:rPr>
          <w:color w:val="000000" w:themeColor="text1"/>
          <w:shd w:val="clear" w:color="auto" w:fill="FFFFFF"/>
        </w:rPr>
        <w:t xml:space="preserve"> previous version of the</w:t>
      </w:r>
      <w:r w:rsidR="00160ADC" w:rsidRPr="00BF04E0">
        <w:rPr>
          <w:color w:val="000000" w:themeColor="text1"/>
          <w:shd w:val="clear" w:color="auto" w:fill="FFFFFF"/>
        </w:rPr>
        <w:t xml:space="preserve"> manuscript.</w:t>
      </w:r>
      <w:r w:rsidRPr="00BF04E0">
        <w:rPr>
          <w:color w:val="000000" w:themeColor="text1"/>
          <w:shd w:val="clear" w:color="auto" w:fill="FFFFFF"/>
        </w:rPr>
        <w:t xml:space="preserve"> However, we have improved the description and made direct reference to equation (1)</w:t>
      </w:r>
      <w:r w:rsidR="00590E3E" w:rsidRPr="00BF04E0">
        <w:rPr>
          <w:color w:val="000000" w:themeColor="text1"/>
          <w:shd w:val="clear" w:color="auto" w:fill="FFFFFF"/>
        </w:rPr>
        <w:t xml:space="preserve"> in the revised manuscript</w:t>
      </w:r>
      <w:r w:rsidRPr="00BF04E0">
        <w:rPr>
          <w:color w:val="000000" w:themeColor="text1"/>
          <w:shd w:val="clear" w:color="auto" w:fill="FFFFFF"/>
        </w:rPr>
        <w:t>.</w:t>
      </w:r>
    </w:p>
    <w:p w14:paraId="6B470E28" w14:textId="1FF70813" w:rsidR="00FE622D" w:rsidRPr="00BF04E0" w:rsidRDefault="00FE622D" w:rsidP="009471C6">
      <w:pPr>
        <w:contextualSpacing/>
        <w:jc w:val="both"/>
        <w:rPr>
          <w:color w:val="000000" w:themeColor="text1"/>
          <w:shd w:val="clear" w:color="auto" w:fill="FFFFFF"/>
        </w:rPr>
      </w:pPr>
    </w:p>
    <w:p w14:paraId="1873005F" w14:textId="4DB35DE2" w:rsidR="00160ADC" w:rsidRPr="00BF04E0" w:rsidRDefault="00FE622D" w:rsidP="009471C6">
      <w:pPr>
        <w:contextualSpacing/>
        <w:jc w:val="both"/>
        <w:rPr>
          <w:color w:val="000000" w:themeColor="text1"/>
          <w:shd w:val="clear" w:color="auto" w:fill="FFFFFF"/>
        </w:rPr>
      </w:pPr>
      <w:r w:rsidRPr="00BF04E0">
        <w:rPr>
          <w:color w:val="000000" w:themeColor="text1"/>
          <w:shd w:val="clear" w:color="auto" w:fill="FFFFFF"/>
        </w:rPr>
        <w:t>As for the term “</w:t>
      </w:r>
      <w:r w:rsidR="00DF6B28" w:rsidRPr="00BF04E0">
        <w:rPr>
          <w:color w:val="000000" w:themeColor="text1"/>
          <w:shd w:val="clear" w:color="auto" w:fill="FFFFFF"/>
        </w:rPr>
        <w:t>m</w:t>
      </w:r>
      <w:r w:rsidRPr="00BF04E0">
        <w:rPr>
          <w:color w:val="000000" w:themeColor="text1"/>
          <w:shd w:val="clear" w:color="auto" w:fill="FFFFFF"/>
        </w:rPr>
        <w:t xml:space="preserve">inimum volatility”, we followed BlackRock’s terminology (see </w:t>
      </w:r>
      <w:hyperlink r:id="rId8" w:history="1">
        <w:r w:rsidRPr="00BF04E0">
          <w:rPr>
            <w:rStyle w:val="Hyperlink"/>
          </w:rPr>
          <w:t>https://www.blackrock.com/us/individual/investment-ideas/what-is-factor-investing</w:t>
        </w:r>
      </w:hyperlink>
      <w:r w:rsidRPr="00BF04E0">
        <w:t>). However, upon reflecting on</w:t>
      </w:r>
      <w:r w:rsidR="00302A2A" w:rsidRPr="00BF04E0">
        <w:t xml:space="preserve"> the</w:t>
      </w:r>
      <w:r w:rsidRPr="00BF04E0">
        <w:t xml:space="preserve"> referee’s comment, we understand that “</w:t>
      </w:r>
      <w:r w:rsidR="00DF6B28" w:rsidRPr="00BF04E0">
        <w:t>l</w:t>
      </w:r>
      <w:r w:rsidRPr="00BF04E0">
        <w:t xml:space="preserve">ow </w:t>
      </w:r>
      <w:r w:rsidR="00DF6B28" w:rsidRPr="00BF04E0">
        <w:t>v</w:t>
      </w:r>
      <w:r w:rsidRPr="00BF04E0">
        <w:t>olatility” may be better suited to the readership of the journal. Therefore, the term</w:t>
      </w:r>
      <w:r w:rsidR="00160ADC" w:rsidRPr="00BF04E0">
        <w:rPr>
          <w:color w:val="000000" w:themeColor="text1"/>
          <w:shd w:val="clear" w:color="auto" w:fill="FFFFFF"/>
        </w:rPr>
        <w:t xml:space="preserve"> “minimum volatility” has been </w:t>
      </w:r>
      <w:r w:rsidR="00302A2A" w:rsidRPr="00BF04E0">
        <w:rPr>
          <w:color w:val="000000" w:themeColor="text1"/>
          <w:shd w:val="clear" w:color="auto" w:fill="FFFFFF"/>
        </w:rPr>
        <w:t>changed</w:t>
      </w:r>
      <w:r w:rsidR="00160ADC" w:rsidRPr="00BF04E0">
        <w:rPr>
          <w:color w:val="000000" w:themeColor="text1"/>
          <w:shd w:val="clear" w:color="auto" w:fill="FFFFFF"/>
        </w:rPr>
        <w:t xml:space="preserve"> to “low volatility” </w:t>
      </w:r>
      <w:r w:rsidRPr="00BF04E0">
        <w:rPr>
          <w:color w:val="000000" w:themeColor="text1"/>
          <w:shd w:val="clear" w:color="auto" w:fill="FFFFFF"/>
        </w:rPr>
        <w:t>throughout the revised manuscript</w:t>
      </w:r>
      <w:r w:rsidR="00160ADC" w:rsidRPr="00BF04E0">
        <w:rPr>
          <w:color w:val="000000" w:themeColor="text1"/>
          <w:shd w:val="clear" w:color="auto" w:fill="FFFFFF"/>
        </w:rPr>
        <w:t xml:space="preserve">. </w:t>
      </w:r>
    </w:p>
    <w:p w14:paraId="2E7F119C" w14:textId="6916724E" w:rsidR="00160ADC" w:rsidRPr="00BF04E0" w:rsidRDefault="00160ADC" w:rsidP="009471C6">
      <w:pPr>
        <w:contextualSpacing/>
        <w:jc w:val="both"/>
        <w:rPr>
          <w:color w:val="000000" w:themeColor="text1"/>
        </w:rPr>
      </w:pPr>
    </w:p>
    <w:p w14:paraId="1D2BFCF2" w14:textId="4A49303F" w:rsidR="00255A3C" w:rsidRPr="00BF04E0" w:rsidRDefault="00255A3C" w:rsidP="009471C6">
      <w:pPr>
        <w:contextualSpacing/>
        <w:jc w:val="both"/>
        <w:rPr>
          <w:color w:val="000000" w:themeColor="text1"/>
        </w:rPr>
      </w:pPr>
    </w:p>
    <w:p w14:paraId="74CCCE94" w14:textId="77777777" w:rsidR="009471C6" w:rsidRPr="00BF04E0" w:rsidRDefault="009471C6" w:rsidP="009471C6">
      <w:pPr>
        <w:contextualSpacing/>
        <w:jc w:val="both"/>
        <w:rPr>
          <w:color w:val="000000" w:themeColor="text1"/>
        </w:rPr>
      </w:pPr>
    </w:p>
    <w:p w14:paraId="36139EA5" w14:textId="2904C4BC" w:rsidR="00160ADC" w:rsidRPr="00BF04E0" w:rsidRDefault="00160ADC" w:rsidP="009471C6">
      <w:pPr>
        <w:contextualSpacing/>
        <w:jc w:val="both"/>
        <w:rPr>
          <w:b/>
          <w:bCs/>
          <w:color w:val="000000" w:themeColor="text1"/>
        </w:rPr>
      </w:pPr>
      <w:r w:rsidRPr="00BF04E0">
        <w:rPr>
          <w:b/>
          <w:bCs/>
          <w:color w:val="000000" w:themeColor="text1"/>
        </w:rPr>
        <w:t>Comment 8:</w:t>
      </w:r>
    </w:p>
    <w:p w14:paraId="36FC3B56" w14:textId="057D2052" w:rsidR="00160ADC" w:rsidRPr="00BF04E0" w:rsidRDefault="00160ADC" w:rsidP="009471C6">
      <w:pPr>
        <w:contextualSpacing/>
        <w:jc w:val="both"/>
        <w:rPr>
          <w:color w:val="000000" w:themeColor="text1"/>
        </w:rPr>
      </w:pPr>
    </w:p>
    <w:p w14:paraId="4CB51912" w14:textId="0932106E" w:rsidR="00160ADC" w:rsidRPr="00BF04E0" w:rsidRDefault="00160ADC" w:rsidP="009471C6">
      <w:pPr>
        <w:contextualSpacing/>
        <w:jc w:val="both"/>
        <w:rPr>
          <w:i/>
          <w:iCs/>
          <w:color w:val="000000" w:themeColor="text1"/>
          <w:shd w:val="clear" w:color="auto" w:fill="FFFFFF"/>
        </w:rPr>
      </w:pPr>
      <w:r w:rsidRPr="00BF04E0">
        <w:rPr>
          <w:i/>
          <w:iCs/>
          <w:color w:val="000000" w:themeColor="text1"/>
          <w:shd w:val="clear" w:color="auto" w:fill="FFFFFF"/>
        </w:rPr>
        <w:t>According to equation 2, the momentum strategy is based on cumulative past returns (adding up monthly returns instead of compounding them), not holding period past returns. Cumulative return often overstates the true return for stocks with high volatility. Why not using the holding period return?</w:t>
      </w:r>
    </w:p>
    <w:p w14:paraId="0117C8C4" w14:textId="7BE7BC1A" w:rsidR="00AF23BA" w:rsidRPr="00BF04E0" w:rsidRDefault="00160ADC" w:rsidP="009471C6">
      <w:pPr>
        <w:contextualSpacing/>
        <w:jc w:val="both"/>
        <w:rPr>
          <w:color w:val="000000" w:themeColor="text1"/>
          <w:shd w:val="clear" w:color="auto" w:fill="FFFFFF"/>
        </w:rPr>
      </w:pPr>
      <w:r w:rsidRPr="00BF04E0">
        <w:rPr>
          <w:i/>
          <w:iCs/>
          <w:color w:val="000000" w:themeColor="text1"/>
          <w:shd w:val="clear" w:color="auto" w:fill="FFFFFF"/>
        </w:rPr>
        <w:br/>
      </w:r>
      <w:r w:rsidRPr="00BF04E0">
        <w:rPr>
          <w:color w:val="000000" w:themeColor="text1"/>
          <w:shd w:val="clear" w:color="auto" w:fill="FFFFFF"/>
        </w:rPr>
        <w:t>This comment is well-taken.</w:t>
      </w:r>
    </w:p>
    <w:p w14:paraId="255DE26A" w14:textId="649E770D" w:rsidR="00255A3C" w:rsidRPr="00BF04E0" w:rsidRDefault="00AF23BA" w:rsidP="009471C6">
      <w:pPr>
        <w:contextualSpacing/>
        <w:jc w:val="both"/>
        <w:rPr>
          <w:color w:val="000000" w:themeColor="text1"/>
          <w:shd w:val="clear" w:color="auto" w:fill="FFFFFF"/>
        </w:rPr>
      </w:pPr>
      <w:r w:rsidRPr="00BF04E0">
        <w:rPr>
          <w:color w:val="000000" w:themeColor="text1"/>
          <w:shd w:val="clear" w:color="auto" w:fill="FFFFFF"/>
        </w:rPr>
        <w:lastRenderedPageBreak/>
        <w:t>To clarify, we have employed cumulative returns which are computed over the holding period to measure momentum. The previous equation would</w:t>
      </w:r>
      <w:r w:rsidR="00975640" w:rsidRPr="00BF04E0">
        <w:rPr>
          <w:color w:val="000000" w:themeColor="text1"/>
          <w:shd w:val="clear" w:color="auto" w:fill="FFFFFF"/>
        </w:rPr>
        <w:t xml:space="preserve"> have been</w:t>
      </w:r>
      <w:r w:rsidRPr="00BF04E0">
        <w:rPr>
          <w:color w:val="000000" w:themeColor="text1"/>
          <w:shd w:val="clear" w:color="auto" w:fill="FFFFFF"/>
        </w:rPr>
        <w:t xml:space="preserve"> appropriate if our returns </w:t>
      </w:r>
      <w:r w:rsidR="00975640" w:rsidRPr="00BF04E0">
        <w:rPr>
          <w:color w:val="000000" w:themeColor="text1"/>
          <w:shd w:val="clear" w:color="auto" w:fill="FFFFFF"/>
        </w:rPr>
        <w:t>were</w:t>
      </w:r>
      <w:r w:rsidRPr="00BF04E0">
        <w:rPr>
          <w:color w:val="000000" w:themeColor="text1"/>
          <w:shd w:val="clear" w:color="auto" w:fill="FFFFFF"/>
        </w:rPr>
        <w:t xml:space="preserve"> in logarithmic forms. Frankly speaking, we copied the equation from another project</w:t>
      </w:r>
      <w:r w:rsidR="00B213B4" w:rsidRPr="00BF04E0">
        <w:rPr>
          <w:color w:val="000000" w:themeColor="text1"/>
          <w:shd w:val="clear" w:color="auto" w:fill="FFFFFF"/>
        </w:rPr>
        <w:t xml:space="preserve"> (which employs log returns)</w:t>
      </w:r>
      <w:r w:rsidRPr="00BF04E0">
        <w:rPr>
          <w:color w:val="000000" w:themeColor="text1"/>
          <w:shd w:val="clear" w:color="auto" w:fill="FFFFFF"/>
        </w:rPr>
        <w:t xml:space="preserve"> and neglected to update the equation.</w:t>
      </w:r>
      <w:r w:rsidR="008D5D5A" w:rsidRPr="00BF04E0">
        <w:rPr>
          <w:color w:val="000000" w:themeColor="text1"/>
          <w:shd w:val="clear" w:color="auto" w:fill="FFFFFF"/>
        </w:rPr>
        <w:t xml:space="preserve"> To avoid confusion, equation 2 has been modified to accurately reflect the momentum signal employed in the study. We are very grateful to the referee for point out this inconsistency.</w:t>
      </w:r>
    </w:p>
    <w:p w14:paraId="6D7B9046" w14:textId="29C770ED" w:rsidR="000D139D" w:rsidRPr="00BF04E0" w:rsidRDefault="00160ADC" w:rsidP="009471C6">
      <w:pPr>
        <w:contextualSpacing/>
        <w:jc w:val="both"/>
        <w:rPr>
          <w:color w:val="000000" w:themeColor="text1"/>
          <w:shd w:val="clear" w:color="auto" w:fill="FFFFFF"/>
        </w:rPr>
      </w:pPr>
      <w:r w:rsidRPr="00BF04E0">
        <w:rPr>
          <w:color w:val="000000" w:themeColor="text1"/>
          <w:shd w:val="clear" w:color="auto" w:fill="FFFFFF"/>
        </w:rPr>
        <w:br/>
      </w:r>
      <w:proofErr w:type="gramStart"/>
      <w:r w:rsidR="00B213B4" w:rsidRPr="00BF04E0">
        <w:rPr>
          <w:color w:val="000000" w:themeColor="text1"/>
          <w:shd w:val="clear" w:color="auto" w:fill="FFFFFF"/>
        </w:rPr>
        <w:t>Also</w:t>
      </w:r>
      <w:proofErr w:type="gramEnd"/>
      <w:r w:rsidR="00B213B4" w:rsidRPr="00BF04E0">
        <w:rPr>
          <w:color w:val="000000" w:themeColor="text1"/>
          <w:shd w:val="clear" w:color="auto" w:fill="FFFFFF"/>
        </w:rPr>
        <w:t xml:space="preserve"> worth clarifying is that i</w:t>
      </w:r>
      <w:r w:rsidR="000D139D" w:rsidRPr="00BF04E0">
        <w:rPr>
          <w:color w:val="000000" w:themeColor="text1"/>
          <w:shd w:val="clear" w:color="auto" w:fill="FFFFFF"/>
        </w:rPr>
        <w:t>n section 2.1</w:t>
      </w:r>
      <w:r w:rsidR="00B213B4" w:rsidRPr="00BF04E0">
        <w:rPr>
          <w:color w:val="000000" w:themeColor="text1"/>
          <w:shd w:val="clear" w:color="auto" w:fill="FFFFFF"/>
        </w:rPr>
        <w:t xml:space="preserve"> </w:t>
      </w:r>
      <w:r w:rsidR="00534B6F" w:rsidRPr="00BF04E0">
        <w:rPr>
          <w:color w:val="000000" w:themeColor="text1"/>
          <w:shd w:val="clear" w:color="auto" w:fill="FFFFFF"/>
        </w:rPr>
        <w:t>of the manuscript</w:t>
      </w:r>
      <w:r w:rsidR="000D139D" w:rsidRPr="00BF04E0">
        <w:rPr>
          <w:color w:val="000000" w:themeColor="text1"/>
          <w:shd w:val="clear" w:color="auto" w:fill="FFFFFF"/>
        </w:rPr>
        <w:t xml:space="preserve"> “</w:t>
      </w:r>
      <w:r w:rsidR="000D139D" w:rsidRPr="00BF04E0">
        <w:rPr>
          <w:i/>
          <w:iCs/>
          <w:color w:val="000000" w:themeColor="text1"/>
        </w:rPr>
        <w:t>We obtain price-relatives, market-capitalization, Global Industry Classification Standard (GICS) sectors, dividends, trading volume and risk-free rate on Australian stocks from the Share Price &amp; Price Relatives</w:t>
      </w:r>
      <w:r w:rsidR="000D139D" w:rsidRPr="00BF04E0">
        <w:rPr>
          <w:i/>
          <w:iCs/>
          <w:color w:val="000000" w:themeColor="text1"/>
          <w:shd w:val="clear" w:color="auto" w:fill="FFFFFF"/>
        </w:rPr>
        <w:t xml:space="preserve"> (SPPR) database</w:t>
      </w:r>
      <w:r w:rsidR="000D139D" w:rsidRPr="00BF04E0">
        <w:rPr>
          <w:color w:val="000000" w:themeColor="text1"/>
          <w:shd w:val="clear" w:color="auto" w:fill="FFFFFF"/>
        </w:rPr>
        <w:t xml:space="preserve">”. </w:t>
      </w:r>
      <w:r w:rsidR="008D5D5A" w:rsidRPr="00BF04E0">
        <w:rPr>
          <w:color w:val="000000" w:themeColor="text1"/>
          <w:shd w:val="clear" w:color="auto" w:fill="FFFFFF"/>
        </w:rPr>
        <w:t>P</w:t>
      </w:r>
      <w:r w:rsidR="000D139D" w:rsidRPr="00BF04E0">
        <w:rPr>
          <w:color w:val="000000" w:themeColor="text1"/>
          <w:shd w:val="clear" w:color="auto" w:fill="FFFFFF"/>
        </w:rPr>
        <w:t>rice-relatives take into account all distributions received by stockholders and assumes reinvestment of any distributions.</w:t>
      </w:r>
    </w:p>
    <w:p w14:paraId="3E3B3832" w14:textId="20B0A2B8" w:rsidR="00160ADC" w:rsidRPr="00BF04E0" w:rsidRDefault="00160ADC" w:rsidP="009471C6">
      <w:pPr>
        <w:contextualSpacing/>
        <w:jc w:val="both"/>
        <w:rPr>
          <w:color w:val="000000" w:themeColor="text1"/>
          <w:shd w:val="clear" w:color="auto" w:fill="FFFFFF"/>
        </w:rPr>
      </w:pPr>
    </w:p>
    <w:p w14:paraId="335F42CA" w14:textId="701E00F8" w:rsidR="00255A3C" w:rsidRPr="00BF04E0" w:rsidRDefault="00255A3C" w:rsidP="009471C6">
      <w:pPr>
        <w:contextualSpacing/>
        <w:jc w:val="both"/>
        <w:rPr>
          <w:color w:val="000000" w:themeColor="text1"/>
          <w:shd w:val="clear" w:color="auto" w:fill="FFFFFF"/>
        </w:rPr>
      </w:pPr>
    </w:p>
    <w:p w14:paraId="4A181803" w14:textId="77777777" w:rsidR="009471C6" w:rsidRPr="00BF04E0" w:rsidRDefault="009471C6" w:rsidP="009471C6">
      <w:pPr>
        <w:contextualSpacing/>
        <w:jc w:val="both"/>
        <w:rPr>
          <w:color w:val="000000" w:themeColor="text1"/>
          <w:shd w:val="clear" w:color="auto" w:fill="FFFFFF"/>
        </w:rPr>
      </w:pPr>
    </w:p>
    <w:p w14:paraId="1B34957C" w14:textId="61347426" w:rsidR="00160ADC" w:rsidRPr="00BF04E0" w:rsidRDefault="00160ADC" w:rsidP="009471C6">
      <w:pPr>
        <w:contextualSpacing/>
        <w:jc w:val="both"/>
        <w:rPr>
          <w:b/>
          <w:bCs/>
          <w:color w:val="000000" w:themeColor="text1"/>
          <w:shd w:val="clear" w:color="auto" w:fill="FFFFFF"/>
        </w:rPr>
      </w:pPr>
      <w:r w:rsidRPr="00BF04E0">
        <w:rPr>
          <w:b/>
          <w:bCs/>
          <w:color w:val="000000" w:themeColor="text1"/>
          <w:shd w:val="clear" w:color="auto" w:fill="FFFFFF"/>
        </w:rPr>
        <w:t>Comment 9:</w:t>
      </w:r>
    </w:p>
    <w:p w14:paraId="3458CFA4" w14:textId="4E228764" w:rsidR="00160ADC" w:rsidRPr="00BF04E0" w:rsidRDefault="00160ADC" w:rsidP="009471C6">
      <w:pPr>
        <w:contextualSpacing/>
        <w:jc w:val="both"/>
        <w:rPr>
          <w:color w:val="000000" w:themeColor="text1"/>
          <w:shd w:val="clear" w:color="auto" w:fill="FFFFFF"/>
        </w:rPr>
      </w:pPr>
    </w:p>
    <w:p w14:paraId="4415BCF6" w14:textId="77777777" w:rsidR="00255A3C" w:rsidRPr="00BF04E0" w:rsidRDefault="00160ADC" w:rsidP="009471C6">
      <w:pPr>
        <w:contextualSpacing/>
        <w:jc w:val="both"/>
        <w:rPr>
          <w:i/>
          <w:iCs/>
          <w:color w:val="000000" w:themeColor="text1"/>
          <w:shd w:val="clear" w:color="auto" w:fill="FFFFFF"/>
        </w:rPr>
      </w:pPr>
      <w:r w:rsidRPr="00BF04E0">
        <w:rPr>
          <w:i/>
          <w:iCs/>
          <w:color w:val="000000" w:themeColor="text1"/>
          <w:shd w:val="clear" w:color="auto" w:fill="FFFFFF"/>
        </w:rPr>
        <w:t>M2: not having equal number of stocks in long vs. short portfolio does not necessarily lead to unbalanced portfolio, as long as the total investment of long vs. short is the same. For example, long position can have 2 stocks with $1 million total investment while short position can have negative $1 million position with 3 stocks.</w:t>
      </w:r>
    </w:p>
    <w:p w14:paraId="4A117F9C" w14:textId="77777777" w:rsidR="004E2455" w:rsidRPr="00BF04E0" w:rsidRDefault="000D139D" w:rsidP="009471C6">
      <w:pPr>
        <w:contextualSpacing/>
        <w:jc w:val="both"/>
        <w:rPr>
          <w:color w:val="000000" w:themeColor="text1"/>
        </w:rPr>
      </w:pPr>
      <w:r w:rsidRPr="00BF04E0">
        <w:rPr>
          <w:i/>
          <w:iCs/>
          <w:color w:val="000000" w:themeColor="text1"/>
          <w:shd w:val="clear" w:color="auto" w:fill="FFFFFF"/>
        </w:rPr>
        <w:br/>
      </w:r>
      <w:r w:rsidR="0000241C" w:rsidRPr="00BF04E0">
        <w:rPr>
          <w:color w:val="000000" w:themeColor="text1"/>
        </w:rPr>
        <w:t>We thank the referee for raising this fair point.</w:t>
      </w:r>
    </w:p>
    <w:p w14:paraId="2A6287E7" w14:textId="77777777" w:rsidR="004E2455" w:rsidRPr="00BF04E0" w:rsidRDefault="004E2455" w:rsidP="009471C6">
      <w:pPr>
        <w:contextualSpacing/>
        <w:jc w:val="both"/>
        <w:rPr>
          <w:color w:val="000000" w:themeColor="text1"/>
        </w:rPr>
      </w:pPr>
    </w:p>
    <w:p w14:paraId="78295162" w14:textId="3E8878F9" w:rsidR="004E2455" w:rsidRPr="00BF04E0" w:rsidRDefault="004E2455" w:rsidP="009471C6">
      <w:pPr>
        <w:contextualSpacing/>
        <w:jc w:val="both"/>
        <w:rPr>
          <w:color w:val="000000" w:themeColor="text1"/>
        </w:rPr>
      </w:pPr>
      <w:r w:rsidRPr="00BF04E0">
        <w:rPr>
          <w:color w:val="000000" w:themeColor="text1"/>
        </w:rPr>
        <w:t>We agree with the referee that one can manage the long vs. short exposure in a long-short portfolio.</w:t>
      </w:r>
      <w:r w:rsidR="00940B03" w:rsidRPr="00BF04E0">
        <w:rPr>
          <w:color w:val="000000" w:themeColor="text1"/>
        </w:rPr>
        <w:t xml:space="preserve"> </w:t>
      </w:r>
      <w:r w:rsidR="009405BA" w:rsidRPr="00BF04E0">
        <w:rPr>
          <w:color w:val="000000" w:themeColor="text1"/>
        </w:rPr>
        <w:t>However</w:t>
      </w:r>
      <w:bookmarkStart w:id="2" w:name="_Hlk46477889"/>
      <w:r w:rsidR="009405BA" w:rsidRPr="00BF04E0">
        <w:rPr>
          <w:color w:val="000000" w:themeColor="text1"/>
        </w:rPr>
        <w:t>, e</w:t>
      </w:r>
      <w:r w:rsidR="00940B03" w:rsidRPr="00BF04E0">
        <w:rPr>
          <w:color w:val="000000" w:themeColor="text1"/>
        </w:rPr>
        <w:t>ven if the dollar exposures are actively managed to be the same between long and short legs,</w:t>
      </w:r>
      <w:r w:rsidRPr="00BF04E0">
        <w:rPr>
          <w:color w:val="000000" w:themeColor="text1"/>
        </w:rPr>
        <w:t xml:space="preserve"> </w:t>
      </w:r>
      <w:r w:rsidR="009405BA" w:rsidRPr="00BF04E0">
        <w:rPr>
          <w:color w:val="000000" w:themeColor="text1"/>
        </w:rPr>
        <w:t>our intension is to stress the fact that</w:t>
      </w:r>
      <w:r w:rsidR="00940B03" w:rsidRPr="00BF04E0">
        <w:rPr>
          <w:color w:val="000000" w:themeColor="text1"/>
        </w:rPr>
        <w:t xml:space="preserve"> long-short </w:t>
      </w:r>
      <w:r w:rsidRPr="00BF04E0">
        <w:rPr>
          <w:color w:val="000000" w:themeColor="text1"/>
        </w:rPr>
        <w:t xml:space="preserve">M2 portfolios would no longer be market-neutral, </w:t>
      </w:r>
      <w:r w:rsidR="00940B03" w:rsidRPr="00BF04E0">
        <w:rPr>
          <w:color w:val="000000" w:themeColor="text1"/>
        </w:rPr>
        <w:t xml:space="preserve">because the “unbalanced” positions (i.e., </w:t>
      </w:r>
      <w:r w:rsidRPr="00BF04E0">
        <w:rPr>
          <w:color w:val="000000" w:themeColor="text1"/>
        </w:rPr>
        <w:t>net-long or net-short</w:t>
      </w:r>
      <w:r w:rsidR="008C194D" w:rsidRPr="00BF04E0">
        <w:rPr>
          <w:color w:val="000000" w:themeColor="text1"/>
        </w:rPr>
        <w:t>)</w:t>
      </w:r>
      <w:r w:rsidRPr="00BF04E0">
        <w:rPr>
          <w:color w:val="000000" w:themeColor="text1"/>
        </w:rPr>
        <w:t xml:space="preserve"> would likely result in time-varying exposures to the market</w:t>
      </w:r>
      <w:bookmarkEnd w:id="2"/>
      <w:r w:rsidR="008C194D" w:rsidRPr="00BF04E0">
        <w:rPr>
          <w:color w:val="000000" w:themeColor="text1"/>
        </w:rPr>
        <w:t>.</w:t>
      </w:r>
      <w:r w:rsidRPr="00BF04E0">
        <w:rPr>
          <w:color w:val="000000" w:themeColor="text1"/>
        </w:rPr>
        <w:t xml:space="preserve"> </w:t>
      </w:r>
    </w:p>
    <w:p w14:paraId="597A50AF" w14:textId="77777777" w:rsidR="004E2455" w:rsidRPr="00BF04E0" w:rsidRDefault="004E2455" w:rsidP="009471C6">
      <w:pPr>
        <w:contextualSpacing/>
        <w:jc w:val="both"/>
        <w:rPr>
          <w:color w:val="000000" w:themeColor="text1"/>
        </w:rPr>
      </w:pPr>
    </w:p>
    <w:p w14:paraId="5C54BEDE" w14:textId="5C774004" w:rsidR="00160ADC" w:rsidRPr="00BF04E0" w:rsidRDefault="00577508" w:rsidP="009471C6">
      <w:pPr>
        <w:contextualSpacing/>
        <w:jc w:val="both"/>
        <w:rPr>
          <w:color w:val="000000" w:themeColor="text1"/>
        </w:rPr>
      </w:pPr>
      <w:r w:rsidRPr="00BF04E0">
        <w:rPr>
          <w:color w:val="000000" w:themeColor="text1"/>
        </w:rPr>
        <w:t>T</w:t>
      </w:r>
      <w:r w:rsidR="004E2455" w:rsidRPr="00BF04E0">
        <w:rPr>
          <w:color w:val="000000" w:themeColor="text1"/>
        </w:rPr>
        <w:t>o improve the precision of our communication,</w:t>
      </w:r>
      <w:r w:rsidRPr="00BF04E0">
        <w:rPr>
          <w:color w:val="000000" w:themeColor="text1"/>
        </w:rPr>
        <w:t xml:space="preserve"> we have amended the </w:t>
      </w:r>
      <w:r w:rsidR="009405BA" w:rsidRPr="00BF04E0">
        <w:rPr>
          <w:color w:val="000000" w:themeColor="text1"/>
        </w:rPr>
        <w:t>statement</w:t>
      </w:r>
      <w:r w:rsidRPr="00BF04E0">
        <w:rPr>
          <w:color w:val="000000" w:themeColor="text1"/>
        </w:rPr>
        <w:t xml:space="preserve"> on page </w:t>
      </w:r>
      <w:r w:rsidR="002073A5" w:rsidRPr="00BF04E0">
        <w:rPr>
          <w:color w:val="000000" w:themeColor="text1"/>
        </w:rPr>
        <w:t xml:space="preserve">11 </w:t>
      </w:r>
      <w:r w:rsidRPr="00BF04E0">
        <w:rPr>
          <w:color w:val="000000" w:themeColor="text1"/>
        </w:rPr>
        <w:t>to reflect the above discussions.</w:t>
      </w:r>
    </w:p>
    <w:p w14:paraId="6C1281CE" w14:textId="1D0AB5F9" w:rsidR="004B4779" w:rsidRPr="00BF04E0" w:rsidRDefault="004B4779" w:rsidP="009471C6">
      <w:pPr>
        <w:contextualSpacing/>
        <w:jc w:val="both"/>
        <w:rPr>
          <w:color w:val="000000" w:themeColor="text1"/>
        </w:rPr>
      </w:pPr>
    </w:p>
    <w:p w14:paraId="3EF3C7EE" w14:textId="77777777" w:rsidR="004B4779" w:rsidRPr="00BF04E0" w:rsidRDefault="004B4779" w:rsidP="009471C6">
      <w:pPr>
        <w:contextualSpacing/>
        <w:jc w:val="both"/>
        <w:rPr>
          <w:color w:val="000000" w:themeColor="text1"/>
        </w:rPr>
      </w:pPr>
    </w:p>
    <w:p w14:paraId="07E96225" w14:textId="77777777" w:rsidR="008B4D56" w:rsidRPr="00BF04E0" w:rsidRDefault="008B4D56" w:rsidP="009471C6">
      <w:pPr>
        <w:contextualSpacing/>
        <w:jc w:val="both"/>
        <w:rPr>
          <w:color w:val="000000" w:themeColor="text1"/>
        </w:rPr>
      </w:pPr>
    </w:p>
    <w:p w14:paraId="2C4DA79B" w14:textId="48D324F6" w:rsidR="00160ADC" w:rsidRPr="00BF04E0" w:rsidRDefault="00160ADC" w:rsidP="009471C6">
      <w:pPr>
        <w:contextualSpacing/>
        <w:jc w:val="both"/>
        <w:rPr>
          <w:b/>
          <w:bCs/>
          <w:color w:val="000000" w:themeColor="text1"/>
        </w:rPr>
      </w:pPr>
      <w:r w:rsidRPr="00BF04E0">
        <w:rPr>
          <w:b/>
          <w:bCs/>
          <w:color w:val="000000" w:themeColor="text1"/>
        </w:rPr>
        <w:t>Comment 10:</w:t>
      </w:r>
    </w:p>
    <w:p w14:paraId="43946D30" w14:textId="302D9FC8" w:rsidR="00160ADC" w:rsidRPr="00BF04E0" w:rsidRDefault="00160ADC" w:rsidP="009471C6">
      <w:pPr>
        <w:contextualSpacing/>
        <w:jc w:val="both"/>
        <w:rPr>
          <w:color w:val="000000" w:themeColor="text1"/>
        </w:rPr>
      </w:pPr>
    </w:p>
    <w:p w14:paraId="5C2B1334" w14:textId="6626B59F" w:rsidR="00160ADC" w:rsidRPr="00BF04E0" w:rsidRDefault="00160ADC" w:rsidP="009471C6">
      <w:pPr>
        <w:contextualSpacing/>
        <w:jc w:val="both"/>
        <w:rPr>
          <w:i/>
          <w:iCs/>
          <w:color w:val="000000" w:themeColor="text1"/>
          <w:shd w:val="clear" w:color="auto" w:fill="FFFFFF"/>
        </w:rPr>
      </w:pPr>
      <w:r w:rsidRPr="00BF04E0">
        <w:rPr>
          <w:i/>
          <w:iCs/>
          <w:color w:val="000000" w:themeColor="text1"/>
          <w:shd w:val="clear" w:color="auto" w:fill="FFFFFF"/>
        </w:rPr>
        <w:t>The short sampling period (only 10 years) is a weakness. Factor based portfolio performance tend to vary from time to time. If possible, I would like to see a much longer sample period. The author can also use a different period as an out-of-sample test. This is a suggestion because I understand it might be very time consuming to address this.</w:t>
      </w:r>
    </w:p>
    <w:p w14:paraId="76128BE5" w14:textId="408DC90D" w:rsidR="000D139D" w:rsidRPr="00BF04E0" w:rsidRDefault="000D139D" w:rsidP="009471C6">
      <w:pPr>
        <w:contextualSpacing/>
        <w:jc w:val="both"/>
        <w:rPr>
          <w:color w:val="000000" w:themeColor="text1"/>
          <w:shd w:val="clear" w:color="auto" w:fill="FFFFFF"/>
        </w:rPr>
      </w:pPr>
    </w:p>
    <w:p w14:paraId="1A66D11D" w14:textId="57310F10" w:rsidR="000D139D" w:rsidRPr="00BF04E0" w:rsidRDefault="000D139D" w:rsidP="009471C6">
      <w:pPr>
        <w:contextualSpacing/>
        <w:jc w:val="both"/>
        <w:rPr>
          <w:color w:val="000000" w:themeColor="text1"/>
          <w:shd w:val="clear" w:color="auto" w:fill="FFFFFF"/>
        </w:rPr>
      </w:pPr>
      <w:r w:rsidRPr="00BF04E0">
        <w:rPr>
          <w:color w:val="000000" w:themeColor="text1"/>
          <w:shd w:val="clear" w:color="auto" w:fill="FFFFFF"/>
        </w:rPr>
        <w:t xml:space="preserve">We thank the referee for this constructive feedback. </w:t>
      </w:r>
    </w:p>
    <w:p w14:paraId="101BBC65" w14:textId="13173188" w:rsidR="000D139D" w:rsidRPr="00BF04E0" w:rsidRDefault="000D139D" w:rsidP="009471C6">
      <w:pPr>
        <w:contextualSpacing/>
        <w:jc w:val="both"/>
        <w:rPr>
          <w:color w:val="000000" w:themeColor="text1"/>
          <w:shd w:val="clear" w:color="auto" w:fill="FFFFFF"/>
        </w:rPr>
      </w:pPr>
    </w:p>
    <w:p w14:paraId="03B45CDF" w14:textId="3C91EB3A" w:rsidR="00974EEE" w:rsidRPr="00BF04E0" w:rsidRDefault="00B935B7" w:rsidP="009471C6">
      <w:pPr>
        <w:contextualSpacing/>
        <w:jc w:val="both"/>
        <w:rPr>
          <w:iCs/>
          <w:color w:val="000000" w:themeColor="text1"/>
        </w:rPr>
      </w:pPr>
      <w:r w:rsidRPr="00BF04E0">
        <w:rPr>
          <w:iCs/>
          <w:color w:val="000000" w:themeColor="text1"/>
        </w:rPr>
        <w:t>O</w:t>
      </w:r>
      <w:r w:rsidR="000D139D" w:rsidRPr="00BF04E0">
        <w:rPr>
          <w:iCs/>
          <w:color w:val="000000" w:themeColor="text1"/>
        </w:rPr>
        <w:t>ur sample period is dictated by the availability of Bloomberg ESG ratings data</w:t>
      </w:r>
      <w:r w:rsidR="00951532" w:rsidRPr="00BF04E0">
        <w:rPr>
          <w:iCs/>
          <w:color w:val="000000" w:themeColor="text1"/>
        </w:rPr>
        <w:t xml:space="preserve"> which begins at the start of our sample period</w:t>
      </w:r>
      <w:r w:rsidR="000D139D" w:rsidRPr="00BF04E0">
        <w:rPr>
          <w:iCs/>
          <w:color w:val="000000" w:themeColor="text1"/>
        </w:rPr>
        <w:t>.</w:t>
      </w:r>
      <w:r w:rsidRPr="00BF04E0">
        <w:rPr>
          <w:iCs/>
          <w:color w:val="000000" w:themeColor="text1"/>
        </w:rPr>
        <w:t xml:space="preserve"> This is common for alternative ESG data providers such as Asset4 and Regan, whereas OWL and other ESG data sources start</w:t>
      </w:r>
      <w:r w:rsidR="00974EEE" w:rsidRPr="00BF04E0">
        <w:rPr>
          <w:iCs/>
          <w:color w:val="000000" w:themeColor="text1"/>
        </w:rPr>
        <w:t xml:space="preserve"> even later</w:t>
      </w:r>
      <w:r w:rsidRPr="00BF04E0">
        <w:rPr>
          <w:iCs/>
          <w:color w:val="000000" w:themeColor="text1"/>
        </w:rPr>
        <w:t xml:space="preserve"> from 2009.</w:t>
      </w:r>
      <w:r w:rsidR="00951532" w:rsidRPr="00BF04E0">
        <w:rPr>
          <w:iCs/>
          <w:color w:val="000000" w:themeColor="text1"/>
        </w:rPr>
        <w:t xml:space="preserve"> At the time when your comments</w:t>
      </w:r>
      <w:r w:rsidRPr="00BF04E0">
        <w:rPr>
          <w:iCs/>
          <w:color w:val="000000" w:themeColor="text1"/>
        </w:rPr>
        <w:t xml:space="preserve"> reached us</w:t>
      </w:r>
      <w:r w:rsidR="00951532" w:rsidRPr="00BF04E0">
        <w:rPr>
          <w:iCs/>
          <w:color w:val="000000" w:themeColor="text1"/>
        </w:rPr>
        <w:t xml:space="preserve">, the maximum out-of-sample period we could potentially include </w:t>
      </w:r>
      <w:r w:rsidR="00974EEE" w:rsidRPr="00BF04E0">
        <w:rPr>
          <w:iCs/>
          <w:color w:val="000000" w:themeColor="text1"/>
        </w:rPr>
        <w:t>was</w:t>
      </w:r>
      <w:r w:rsidR="00951532" w:rsidRPr="00BF04E0">
        <w:rPr>
          <w:iCs/>
          <w:color w:val="000000" w:themeColor="text1"/>
        </w:rPr>
        <w:t xml:space="preserve"> from 2017 to 2018, because the SPPR data are only updated once a year with a one-year lag.</w:t>
      </w:r>
      <w:r w:rsidRPr="00BF04E0">
        <w:rPr>
          <w:iCs/>
          <w:color w:val="000000" w:themeColor="text1"/>
        </w:rPr>
        <w:t xml:space="preserve"> </w:t>
      </w:r>
      <w:r w:rsidR="00974EEE" w:rsidRPr="00BF04E0">
        <w:rPr>
          <w:iCs/>
          <w:color w:val="000000" w:themeColor="text1"/>
        </w:rPr>
        <w:t>We would have loved to include this in the paper, but u</w:t>
      </w:r>
      <w:r w:rsidRPr="00BF04E0">
        <w:rPr>
          <w:iCs/>
          <w:color w:val="000000" w:themeColor="text1"/>
        </w:rPr>
        <w:t xml:space="preserve">nfortunately, </w:t>
      </w:r>
      <w:r w:rsidRPr="00BF04E0">
        <w:rPr>
          <w:iCs/>
          <w:color w:val="000000" w:themeColor="text1"/>
        </w:rPr>
        <w:lastRenderedPageBreak/>
        <w:t>we are unable to perform this analysis due to limitations on database subscription as a result of the COVID-19.</w:t>
      </w:r>
      <w:r w:rsidR="00974EEE" w:rsidRPr="00BF04E0">
        <w:rPr>
          <w:iCs/>
          <w:color w:val="000000" w:themeColor="text1"/>
        </w:rPr>
        <w:t xml:space="preserve"> To resolve this issue, we also reached out to colleagues at neighbouring universities, however, they too share the same challenges. To our best knowledge, the additional 24 data points (2017-2018) do not incorporate significant </w:t>
      </w:r>
      <w:r w:rsidRPr="00BF04E0">
        <w:rPr>
          <w:iCs/>
          <w:color w:val="000000" w:themeColor="text1"/>
        </w:rPr>
        <w:t>business cycle variations</w:t>
      </w:r>
      <w:r w:rsidR="00974EEE" w:rsidRPr="00BF04E0">
        <w:rPr>
          <w:iCs/>
          <w:color w:val="000000" w:themeColor="text1"/>
        </w:rPr>
        <w:t xml:space="preserve"> in Australia. We hope this partially address</w:t>
      </w:r>
      <w:r w:rsidR="00455132" w:rsidRPr="00BF04E0">
        <w:rPr>
          <w:iCs/>
          <w:color w:val="000000" w:themeColor="text1"/>
        </w:rPr>
        <w:t>es</w:t>
      </w:r>
      <w:r w:rsidR="00974EEE" w:rsidRPr="00BF04E0">
        <w:rPr>
          <w:iCs/>
          <w:color w:val="000000" w:themeColor="text1"/>
        </w:rPr>
        <w:t xml:space="preserve"> the referee’s concern</w:t>
      </w:r>
      <w:r w:rsidR="00455132" w:rsidRPr="00BF04E0">
        <w:rPr>
          <w:iCs/>
          <w:color w:val="000000" w:themeColor="text1"/>
        </w:rPr>
        <w:t xml:space="preserve"> and we would like to sincerely thank the referee for his/her understanding.</w:t>
      </w:r>
    </w:p>
    <w:p w14:paraId="0CB4343E" w14:textId="395B81DF" w:rsidR="00160ADC" w:rsidRPr="00BF04E0" w:rsidRDefault="00160ADC" w:rsidP="009471C6">
      <w:pPr>
        <w:contextualSpacing/>
        <w:jc w:val="both"/>
        <w:rPr>
          <w:iCs/>
          <w:color w:val="000000" w:themeColor="text1"/>
        </w:rPr>
      </w:pPr>
    </w:p>
    <w:p w14:paraId="29A551E2" w14:textId="195E16EA" w:rsidR="00255A3C" w:rsidRPr="00BF04E0" w:rsidRDefault="00255A3C" w:rsidP="009471C6">
      <w:pPr>
        <w:contextualSpacing/>
        <w:jc w:val="both"/>
        <w:rPr>
          <w:color w:val="000000" w:themeColor="text1"/>
          <w:shd w:val="clear" w:color="auto" w:fill="FFFFFF"/>
        </w:rPr>
      </w:pPr>
    </w:p>
    <w:p w14:paraId="49A1D118" w14:textId="77777777" w:rsidR="009471C6" w:rsidRPr="00BF04E0" w:rsidRDefault="009471C6" w:rsidP="009471C6">
      <w:pPr>
        <w:contextualSpacing/>
        <w:jc w:val="both"/>
        <w:rPr>
          <w:color w:val="000000" w:themeColor="text1"/>
          <w:shd w:val="clear" w:color="auto" w:fill="FFFFFF"/>
        </w:rPr>
      </w:pPr>
    </w:p>
    <w:p w14:paraId="06B2DF43" w14:textId="7FF35098" w:rsidR="00160ADC" w:rsidRPr="00BF04E0" w:rsidRDefault="00160ADC" w:rsidP="009471C6">
      <w:pPr>
        <w:contextualSpacing/>
        <w:jc w:val="both"/>
        <w:rPr>
          <w:b/>
          <w:bCs/>
          <w:color w:val="000000" w:themeColor="text1"/>
        </w:rPr>
      </w:pPr>
      <w:r w:rsidRPr="00BF04E0">
        <w:rPr>
          <w:b/>
          <w:bCs/>
          <w:color w:val="000000" w:themeColor="text1"/>
        </w:rPr>
        <w:t>Comment 11:</w:t>
      </w:r>
    </w:p>
    <w:p w14:paraId="41CD6827" w14:textId="53A2CF56" w:rsidR="00160ADC" w:rsidRPr="00BF04E0" w:rsidRDefault="00160ADC" w:rsidP="009471C6">
      <w:pPr>
        <w:contextualSpacing/>
        <w:jc w:val="both"/>
        <w:rPr>
          <w:i/>
          <w:iCs/>
          <w:color w:val="000000" w:themeColor="text1"/>
        </w:rPr>
      </w:pPr>
    </w:p>
    <w:p w14:paraId="27F8F002" w14:textId="2DE9E336" w:rsidR="00160ADC" w:rsidRPr="00BF04E0" w:rsidRDefault="00160ADC" w:rsidP="009471C6">
      <w:pPr>
        <w:contextualSpacing/>
        <w:jc w:val="both"/>
        <w:rPr>
          <w:i/>
          <w:iCs/>
          <w:color w:val="000000" w:themeColor="text1"/>
          <w:shd w:val="clear" w:color="auto" w:fill="FFFFFF"/>
        </w:rPr>
      </w:pPr>
      <w:r w:rsidRPr="00BF04E0">
        <w:rPr>
          <w:i/>
          <w:iCs/>
          <w:color w:val="000000" w:themeColor="text1"/>
          <w:shd w:val="clear" w:color="auto" w:fill="FFFFFF"/>
        </w:rPr>
        <w:t xml:space="preserve">Add </w:t>
      </w:r>
      <w:proofErr w:type="spellStart"/>
      <w:r w:rsidRPr="00BF04E0">
        <w:rPr>
          <w:i/>
          <w:iCs/>
          <w:color w:val="000000" w:themeColor="text1"/>
          <w:shd w:val="clear" w:color="auto" w:fill="FFFFFF"/>
        </w:rPr>
        <w:t>Fama</w:t>
      </w:r>
      <w:proofErr w:type="spellEnd"/>
      <w:r w:rsidRPr="00BF04E0">
        <w:rPr>
          <w:i/>
          <w:iCs/>
          <w:color w:val="000000" w:themeColor="text1"/>
          <w:shd w:val="clear" w:color="auto" w:fill="FFFFFF"/>
        </w:rPr>
        <w:t>-Macbeth regression to include ESG score as an additional factor to explain cross-sectional stock returns.</w:t>
      </w:r>
    </w:p>
    <w:p w14:paraId="00BE60AB" w14:textId="228F2FA1" w:rsidR="00252536" w:rsidRPr="00BF04E0" w:rsidRDefault="00252536" w:rsidP="009471C6">
      <w:pPr>
        <w:contextualSpacing/>
        <w:jc w:val="both"/>
        <w:rPr>
          <w:color w:val="000000" w:themeColor="text1"/>
          <w:shd w:val="clear" w:color="auto" w:fill="FFFFFF"/>
        </w:rPr>
      </w:pPr>
    </w:p>
    <w:p w14:paraId="1EEF54A1" w14:textId="3293345E" w:rsidR="008332C7" w:rsidRPr="00BF04E0" w:rsidRDefault="00455132" w:rsidP="009471C6">
      <w:pPr>
        <w:contextualSpacing/>
        <w:jc w:val="both"/>
        <w:rPr>
          <w:color w:val="000000" w:themeColor="text1"/>
        </w:rPr>
      </w:pPr>
      <w:r w:rsidRPr="00BF04E0">
        <w:rPr>
          <w:color w:val="000000" w:themeColor="text1"/>
        </w:rPr>
        <w:t>We</w:t>
      </w:r>
      <w:r w:rsidR="008332C7" w:rsidRPr="00BF04E0">
        <w:rPr>
          <w:color w:val="000000" w:themeColor="text1"/>
        </w:rPr>
        <w:t xml:space="preserve"> thank the </w:t>
      </w:r>
      <w:r w:rsidRPr="00BF04E0">
        <w:rPr>
          <w:color w:val="000000" w:themeColor="text1"/>
        </w:rPr>
        <w:t>referee</w:t>
      </w:r>
      <w:r w:rsidR="008332C7" w:rsidRPr="00BF04E0">
        <w:rPr>
          <w:color w:val="000000" w:themeColor="text1"/>
        </w:rPr>
        <w:t xml:space="preserve"> for this comment.</w:t>
      </w:r>
    </w:p>
    <w:p w14:paraId="198045FC" w14:textId="77777777" w:rsidR="008332C7" w:rsidRPr="00BF04E0" w:rsidRDefault="008332C7" w:rsidP="009471C6">
      <w:pPr>
        <w:contextualSpacing/>
        <w:jc w:val="both"/>
        <w:rPr>
          <w:color w:val="000000" w:themeColor="text1"/>
        </w:rPr>
      </w:pPr>
    </w:p>
    <w:p w14:paraId="495E083E" w14:textId="38627162" w:rsidR="00B01E23" w:rsidRPr="00BF04E0" w:rsidRDefault="00455132" w:rsidP="009471C6">
      <w:pPr>
        <w:contextualSpacing/>
        <w:jc w:val="both"/>
        <w:rPr>
          <w:color w:val="000000" w:themeColor="text1"/>
        </w:rPr>
      </w:pPr>
      <w:r w:rsidRPr="00BF04E0">
        <w:rPr>
          <w:color w:val="000000" w:themeColor="text1"/>
        </w:rPr>
        <w:t xml:space="preserve">Following the referee’s suggestion, we employ </w:t>
      </w:r>
      <w:proofErr w:type="spellStart"/>
      <w:r w:rsidRPr="00BF04E0">
        <w:rPr>
          <w:color w:val="000000" w:themeColor="text1"/>
        </w:rPr>
        <w:t>Fama-Mac</w:t>
      </w:r>
      <w:r w:rsidR="004265F8" w:rsidRPr="00BF04E0">
        <w:rPr>
          <w:color w:val="000000" w:themeColor="text1"/>
        </w:rPr>
        <w:t>B</w:t>
      </w:r>
      <w:r w:rsidRPr="00BF04E0">
        <w:rPr>
          <w:color w:val="000000" w:themeColor="text1"/>
        </w:rPr>
        <w:t>eth</w:t>
      </w:r>
      <w:proofErr w:type="spellEnd"/>
      <w:r w:rsidRPr="00BF04E0">
        <w:rPr>
          <w:color w:val="000000" w:themeColor="text1"/>
        </w:rPr>
        <w:t xml:space="preserve"> regression to investigate whether</w:t>
      </w:r>
      <w:r w:rsidR="003F64F6" w:rsidRPr="00BF04E0">
        <w:rPr>
          <w:color w:val="000000" w:themeColor="text1"/>
        </w:rPr>
        <w:t xml:space="preserve"> </w:t>
      </w:r>
      <w:r w:rsidR="004265F8" w:rsidRPr="00BF04E0">
        <w:rPr>
          <w:color w:val="000000" w:themeColor="text1"/>
        </w:rPr>
        <w:t>“</w:t>
      </w:r>
      <w:r w:rsidR="003F64F6" w:rsidRPr="00BF04E0">
        <w:rPr>
          <w:color w:val="000000" w:themeColor="text1"/>
        </w:rPr>
        <w:t>integrated</w:t>
      </w:r>
      <w:r w:rsidRPr="00BF04E0">
        <w:rPr>
          <w:color w:val="000000" w:themeColor="text1"/>
        </w:rPr>
        <w:t xml:space="preserve"> ESG</w:t>
      </w:r>
      <w:r w:rsidR="004265F8" w:rsidRPr="00BF04E0">
        <w:rPr>
          <w:color w:val="000000" w:themeColor="text1"/>
        </w:rPr>
        <w:t>”</w:t>
      </w:r>
      <w:r w:rsidRPr="00BF04E0">
        <w:rPr>
          <w:color w:val="000000" w:themeColor="text1"/>
        </w:rPr>
        <w:t xml:space="preserve"> </w:t>
      </w:r>
      <w:r w:rsidR="003F64F6" w:rsidRPr="00BF04E0">
        <w:rPr>
          <w:color w:val="000000" w:themeColor="text1"/>
        </w:rPr>
        <w:t xml:space="preserve">has </w:t>
      </w:r>
      <w:r w:rsidR="00E94692" w:rsidRPr="00BF04E0">
        <w:rPr>
          <w:color w:val="000000" w:themeColor="text1"/>
        </w:rPr>
        <w:t xml:space="preserve">cross-sectional </w:t>
      </w:r>
      <w:r w:rsidR="003F64F6" w:rsidRPr="00BF04E0">
        <w:rPr>
          <w:color w:val="000000" w:themeColor="text1"/>
        </w:rPr>
        <w:t xml:space="preserve">pricing power </w:t>
      </w:r>
      <w:r w:rsidR="00E94692" w:rsidRPr="00BF04E0">
        <w:rPr>
          <w:color w:val="000000" w:themeColor="text1"/>
        </w:rPr>
        <w:t xml:space="preserve">beyond benchmark </w:t>
      </w:r>
      <w:r w:rsidR="004265F8" w:rsidRPr="00BF04E0">
        <w:rPr>
          <w:color w:val="000000" w:themeColor="text1"/>
        </w:rPr>
        <w:t xml:space="preserve">asset pricing </w:t>
      </w:r>
      <w:r w:rsidR="00E94692" w:rsidRPr="00BF04E0">
        <w:rPr>
          <w:color w:val="000000" w:themeColor="text1"/>
        </w:rPr>
        <w:t>factors</w:t>
      </w:r>
      <w:r w:rsidR="003F64F6" w:rsidRPr="00BF04E0">
        <w:rPr>
          <w:color w:val="000000" w:themeColor="text1"/>
        </w:rPr>
        <w:t>.</w:t>
      </w:r>
      <w:r w:rsidR="008332C7" w:rsidRPr="00BF04E0">
        <w:rPr>
          <w:color w:val="000000" w:themeColor="text1"/>
        </w:rPr>
        <w:t xml:space="preserve"> </w:t>
      </w:r>
      <w:r w:rsidR="004265F8" w:rsidRPr="00BF04E0">
        <w:rPr>
          <w:color w:val="000000" w:themeColor="text1"/>
        </w:rPr>
        <w:t xml:space="preserve">In the </w:t>
      </w:r>
      <w:r w:rsidR="00B01E23" w:rsidRPr="00BF04E0">
        <w:rPr>
          <w:color w:val="000000" w:themeColor="text1"/>
        </w:rPr>
        <w:t>spirit</w:t>
      </w:r>
      <w:r w:rsidR="004265F8" w:rsidRPr="00BF04E0">
        <w:rPr>
          <w:color w:val="000000" w:themeColor="text1"/>
        </w:rPr>
        <w:t xml:space="preserve"> of </w:t>
      </w:r>
      <w:proofErr w:type="spellStart"/>
      <w:r w:rsidR="004265F8" w:rsidRPr="00BF04E0">
        <w:rPr>
          <w:color w:val="000000" w:themeColor="text1"/>
        </w:rPr>
        <w:t>Fama-MacBeth</w:t>
      </w:r>
      <w:proofErr w:type="spellEnd"/>
      <w:r w:rsidR="004265F8" w:rsidRPr="00BF04E0">
        <w:rPr>
          <w:color w:val="000000" w:themeColor="text1"/>
        </w:rPr>
        <w:t xml:space="preserve"> (1973) two-stage approach, we first measure the time-varying risk exposures of each stock</w:t>
      </w:r>
      <w:r w:rsidR="00B01E23" w:rsidRPr="00BF04E0">
        <w:rPr>
          <w:color w:val="000000" w:themeColor="text1"/>
        </w:rPr>
        <w:t xml:space="preserve"> </w:t>
      </w:r>
      <w:r w:rsidR="004265F8" w:rsidRPr="00BF04E0">
        <w:rPr>
          <w:color w:val="000000" w:themeColor="text1"/>
        </w:rPr>
        <w:t xml:space="preserve">by OLS estimation of </w:t>
      </w:r>
      <w:r w:rsidR="004265F8" w:rsidRPr="00BF04E0">
        <w:rPr>
          <w:i/>
          <w:iCs/>
          <w:color w:val="000000" w:themeColor="text1"/>
        </w:rPr>
        <w:t>N</w:t>
      </w:r>
      <w:r w:rsidR="004265F8" w:rsidRPr="00BF04E0">
        <w:rPr>
          <w:color w:val="000000" w:themeColor="text1"/>
        </w:rPr>
        <w:t xml:space="preserve"> time-series regression in a 36-month rolling window.</w:t>
      </w:r>
      <w:r w:rsidR="00B01E23" w:rsidRPr="00BF04E0">
        <w:rPr>
          <w:color w:val="000000" w:themeColor="text1"/>
        </w:rPr>
        <w:t xml:space="preserve"> O</w:t>
      </w:r>
      <w:r w:rsidR="004265F8" w:rsidRPr="00BF04E0">
        <w:rPr>
          <w:color w:val="000000" w:themeColor="text1"/>
        </w:rPr>
        <w:t xml:space="preserve">nly benchmark </w:t>
      </w:r>
      <w:r w:rsidR="00B01E23" w:rsidRPr="00BF04E0">
        <w:rPr>
          <w:color w:val="000000" w:themeColor="text1"/>
        </w:rPr>
        <w:t xml:space="preserve">risk </w:t>
      </w:r>
      <w:r w:rsidR="004265F8" w:rsidRPr="00BF04E0">
        <w:rPr>
          <w:color w:val="000000" w:themeColor="text1"/>
        </w:rPr>
        <w:t xml:space="preserve">factors (i.e., MKT, SMB, HML, UMD) </w:t>
      </w:r>
      <w:r w:rsidR="00B01E23" w:rsidRPr="00BF04E0">
        <w:rPr>
          <w:color w:val="000000" w:themeColor="text1"/>
        </w:rPr>
        <w:t xml:space="preserve">are included </w:t>
      </w:r>
      <w:r w:rsidR="004265F8" w:rsidRPr="00BF04E0">
        <w:rPr>
          <w:color w:val="000000" w:themeColor="text1"/>
        </w:rPr>
        <w:t>in the first stage. At stage two, we obtain the prices of risk through monthly cross-sectional OLS regression</w:t>
      </w:r>
      <w:r w:rsidR="00B01E23" w:rsidRPr="00BF04E0">
        <w:rPr>
          <w:color w:val="000000" w:themeColor="text1"/>
        </w:rPr>
        <w:t>s</w:t>
      </w:r>
      <w:r w:rsidR="004265F8" w:rsidRPr="00BF04E0">
        <w:rPr>
          <w:color w:val="000000" w:themeColor="text1"/>
        </w:rPr>
        <w:t xml:space="preserve">, while </w:t>
      </w:r>
      <w:r w:rsidR="00B01E23" w:rsidRPr="00BF04E0">
        <w:rPr>
          <w:color w:val="000000" w:themeColor="text1"/>
        </w:rPr>
        <w:t>controlling for</w:t>
      </w:r>
      <w:r w:rsidR="004265F8" w:rsidRPr="00BF04E0">
        <w:rPr>
          <w:color w:val="000000" w:themeColor="text1"/>
        </w:rPr>
        <w:t xml:space="preserve"> firm-level characteristics</w:t>
      </w:r>
      <w:r w:rsidR="00B01E23" w:rsidRPr="00BF04E0">
        <w:rPr>
          <w:color w:val="000000" w:themeColor="text1"/>
        </w:rPr>
        <w:t xml:space="preserve">, ESG scores and “ESG x fundamental” interaction terms. </w:t>
      </w:r>
      <w:r w:rsidR="00DE74C1" w:rsidRPr="00BF04E0">
        <w:rPr>
          <w:color w:val="000000" w:themeColor="text1"/>
        </w:rPr>
        <w:t>Table 1</w:t>
      </w:r>
      <w:r w:rsidR="003F64F6" w:rsidRPr="00BF04E0">
        <w:rPr>
          <w:color w:val="000000" w:themeColor="text1"/>
        </w:rPr>
        <w:t xml:space="preserve"> (below)</w:t>
      </w:r>
      <w:r w:rsidR="00DE74C1" w:rsidRPr="00BF04E0">
        <w:rPr>
          <w:color w:val="000000" w:themeColor="text1"/>
        </w:rPr>
        <w:t xml:space="preserve"> reports the results.</w:t>
      </w:r>
    </w:p>
    <w:p w14:paraId="3B2B9298" w14:textId="77777777" w:rsidR="00B01E23" w:rsidRPr="00BF04E0" w:rsidRDefault="00B01E23" w:rsidP="009471C6">
      <w:pPr>
        <w:contextualSpacing/>
        <w:jc w:val="both"/>
        <w:rPr>
          <w:color w:val="000000" w:themeColor="text1"/>
        </w:rPr>
      </w:pPr>
    </w:p>
    <w:p w14:paraId="3607C8CD" w14:textId="7C027AD8" w:rsidR="00652D6B" w:rsidRPr="00BF04E0" w:rsidRDefault="00D02AB1" w:rsidP="009471C6">
      <w:pPr>
        <w:contextualSpacing/>
        <w:jc w:val="both"/>
        <w:rPr>
          <w:color w:val="000000" w:themeColor="text1"/>
        </w:rPr>
      </w:pPr>
      <w:r w:rsidRPr="00BF04E0">
        <w:rPr>
          <w:color w:val="000000" w:themeColor="text1"/>
        </w:rPr>
        <w:t>C</w:t>
      </w:r>
      <w:r w:rsidR="00B01E23" w:rsidRPr="00BF04E0">
        <w:rPr>
          <w:color w:val="000000" w:themeColor="text1"/>
        </w:rPr>
        <w:t xml:space="preserve">onsistent with previous studies, we do not observe </w:t>
      </w:r>
      <w:r w:rsidRPr="00BF04E0">
        <w:rPr>
          <w:color w:val="000000" w:themeColor="text1"/>
        </w:rPr>
        <w:t xml:space="preserve">significance on </w:t>
      </w:r>
      <w:r w:rsidR="00DE74C1" w:rsidRPr="00BF04E0">
        <w:rPr>
          <w:color w:val="000000" w:themeColor="text1"/>
        </w:rPr>
        <w:t>MKT, SMB, HML and UMD factors</w:t>
      </w:r>
      <w:r w:rsidRPr="00BF04E0">
        <w:rPr>
          <w:color w:val="000000" w:themeColor="text1"/>
        </w:rPr>
        <w:t xml:space="preserve"> under the baseline model (1)</w:t>
      </w:r>
      <w:r w:rsidR="00DE74C1" w:rsidRPr="00BF04E0">
        <w:rPr>
          <w:color w:val="000000" w:themeColor="text1"/>
        </w:rPr>
        <w:t xml:space="preserve">. Model </w:t>
      </w:r>
      <w:r w:rsidRPr="00BF04E0">
        <w:rPr>
          <w:color w:val="000000" w:themeColor="text1"/>
        </w:rPr>
        <w:t>(</w:t>
      </w:r>
      <w:r w:rsidR="00DE74C1" w:rsidRPr="00BF04E0">
        <w:rPr>
          <w:color w:val="000000" w:themeColor="text1"/>
        </w:rPr>
        <w:t>2</w:t>
      </w:r>
      <w:r w:rsidRPr="00BF04E0">
        <w:rPr>
          <w:color w:val="000000" w:themeColor="text1"/>
        </w:rPr>
        <w:t>)</w:t>
      </w:r>
      <w:r w:rsidR="00DE74C1" w:rsidRPr="00BF04E0">
        <w:rPr>
          <w:color w:val="000000" w:themeColor="text1"/>
        </w:rPr>
        <w:t xml:space="preserve"> introduc</w:t>
      </w:r>
      <w:r w:rsidRPr="00BF04E0">
        <w:rPr>
          <w:color w:val="000000" w:themeColor="text1"/>
        </w:rPr>
        <w:t>es</w:t>
      </w:r>
      <w:r w:rsidR="00DE74C1" w:rsidRPr="00BF04E0">
        <w:rPr>
          <w:color w:val="000000" w:themeColor="text1"/>
        </w:rPr>
        <w:t xml:space="preserve"> </w:t>
      </w:r>
      <w:r w:rsidR="001032C2" w:rsidRPr="00BF04E0">
        <w:rPr>
          <w:color w:val="000000" w:themeColor="text1"/>
        </w:rPr>
        <w:t xml:space="preserve">firm-level </w:t>
      </w:r>
      <w:r w:rsidR="00DE74C1" w:rsidRPr="00BF04E0">
        <w:rPr>
          <w:color w:val="000000" w:themeColor="text1"/>
        </w:rPr>
        <w:t xml:space="preserve">ESG characteristics as an additional </w:t>
      </w:r>
      <w:r w:rsidRPr="00BF04E0">
        <w:rPr>
          <w:color w:val="000000" w:themeColor="text1"/>
        </w:rPr>
        <w:t>variable</w:t>
      </w:r>
      <w:r w:rsidR="00DE74C1" w:rsidRPr="00BF04E0">
        <w:rPr>
          <w:color w:val="000000" w:themeColor="text1"/>
        </w:rPr>
        <w:t xml:space="preserve"> to explain cross-sectional stock returns. After controlling for known risk factors, ESG</w:t>
      </w:r>
      <w:r w:rsidR="001032C2" w:rsidRPr="00BF04E0">
        <w:rPr>
          <w:color w:val="000000" w:themeColor="text1"/>
        </w:rPr>
        <w:t xml:space="preserve"> scores</w:t>
      </w:r>
      <w:r w:rsidR="00DE74C1" w:rsidRPr="00BF04E0">
        <w:rPr>
          <w:color w:val="000000" w:themeColor="text1"/>
        </w:rPr>
        <w:t xml:space="preserve"> </w:t>
      </w:r>
      <w:r w:rsidR="001032C2" w:rsidRPr="00BF04E0">
        <w:rPr>
          <w:color w:val="000000" w:themeColor="text1"/>
        </w:rPr>
        <w:t>report</w:t>
      </w:r>
      <w:r w:rsidR="00DE74C1" w:rsidRPr="00BF04E0">
        <w:rPr>
          <w:color w:val="000000" w:themeColor="text1"/>
        </w:rPr>
        <w:t xml:space="preserve"> </w:t>
      </w:r>
      <w:r w:rsidR="001032C2" w:rsidRPr="00BF04E0">
        <w:rPr>
          <w:color w:val="000000" w:themeColor="text1"/>
        </w:rPr>
        <w:t xml:space="preserve">an </w:t>
      </w:r>
      <w:r w:rsidR="00DE74C1" w:rsidRPr="00BF04E0">
        <w:rPr>
          <w:color w:val="000000" w:themeColor="text1"/>
        </w:rPr>
        <w:t xml:space="preserve">insignificant lambda. </w:t>
      </w:r>
      <w:r w:rsidR="001032C2" w:rsidRPr="00BF04E0">
        <w:rPr>
          <w:color w:val="000000" w:themeColor="text1"/>
        </w:rPr>
        <w:t>After controlling for m</w:t>
      </w:r>
      <w:r w:rsidR="00DE74C1" w:rsidRPr="00BF04E0">
        <w:rPr>
          <w:color w:val="000000" w:themeColor="text1"/>
        </w:rPr>
        <w:t>arket cap and book-to-market</w:t>
      </w:r>
      <w:r w:rsidR="001032C2" w:rsidRPr="00BF04E0">
        <w:rPr>
          <w:color w:val="000000" w:themeColor="text1"/>
        </w:rPr>
        <w:t xml:space="preserve"> under Model (3), ESG scores becomes </w:t>
      </w:r>
      <w:r w:rsidR="00DE74C1" w:rsidRPr="00BF04E0">
        <w:rPr>
          <w:color w:val="000000" w:themeColor="text1"/>
        </w:rPr>
        <w:t>statistical</w:t>
      </w:r>
      <w:r w:rsidR="001032C2" w:rsidRPr="00BF04E0">
        <w:rPr>
          <w:color w:val="000000" w:themeColor="text1"/>
        </w:rPr>
        <w:t>ly</w:t>
      </w:r>
      <w:r w:rsidR="00DE74C1" w:rsidRPr="00BF04E0">
        <w:rPr>
          <w:color w:val="000000" w:themeColor="text1"/>
        </w:rPr>
        <w:t xml:space="preserve"> significan</w:t>
      </w:r>
      <w:r w:rsidR="001032C2" w:rsidRPr="00BF04E0">
        <w:rPr>
          <w:color w:val="000000" w:themeColor="text1"/>
        </w:rPr>
        <w:t>t</w:t>
      </w:r>
      <w:r w:rsidR="00DE74C1" w:rsidRPr="00BF04E0">
        <w:rPr>
          <w:color w:val="000000" w:themeColor="text1"/>
        </w:rPr>
        <w:t>.</w:t>
      </w:r>
      <w:r w:rsidR="001032C2" w:rsidRPr="00BF04E0">
        <w:rPr>
          <w:color w:val="000000" w:themeColor="text1"/>
        </w:rPr>
        <w:t xml:space="preserve"> This is in line with our main results that excluding ESG leads to inferior performance. Meanwhile, improvements in adjusted R</w:t>
      </w:r>
      <w:r w:rsidR="001032C2" w:rsidRPr="00BF04E0">
        <w:rPr>
          <w:color w:val="000000" w:themeColor="text1"/>
          <w:vertAlign w:val="superscript"/>
        </w:rPr>
        <w:t>2</w:t>
      </w:r>
      <w:r w:rsidR="001032C2" w:rsidRPr="00BF04E0">
        <w:rPr>
          <w:color w:val="000000" w:themeColor="text1"/>
        </w:rPr>
        <w:t xml:space="preserve"> are negligible from Model</w:t>
      </w:r>
      <w:r w:rsidR="00C44359" w:rsidRPr="00BF04E0">
        <w:rPr>
          <w:color w:val="000000" w:themeColor="text1"/>
        </w:rPr>
        <w:t>s</w:t>
      </w:r>
      <w:r w:rsidR="001032C2" w:rsidRPr="00BF04E0">
        <w:rPr>
          <w:color w:val="000000" w:themeColor="text1"/>
        </w:rPr>
        <w:t xml:space="preserve"> (1) to (3). </w:t>
      </w:r>
    </w:p>
    <w:p w14:paraId="501B71C0" w14:textId="77777777" w:rsidR="00652D6B" w:rsidRPr="00BF04E0" w:rsidRDefault="00652D6B" w:rsidP="009471C6">
      <w:pPr>
        <w:contextualSpacing/>
        <w:jc w:val="both"/>
        <w:rPr>
          <w:color w:val="000000" w:themeColor="text1"/>
        </w:rPr>
      </w:pPr>
    </w:p>
    <w:p w14:paraId="2CA688F9" w14:textId="3CD00A47" w:rsidR="00BB7948" w:rsidRPr="00BF04E0" w:rsidRDefault="009D1A5A" w:rsidP="009471C6">
      <w:pPr>
        <w:contextualSpacing/>
        <w:jc w:val="both"/>
        <w:rPr>
          <w:color w:val="000000" w:themeColor="text1"/>
        </w:rPr>
      </w:pPr>
      <w:r w:rsidRPr="00BF04E0">
        <w:rPr>
          <w:color w:val="000000" w:themeColor="text1"/>
        </w:rPr>
        <w:t>Building on Model (3), w</w:t>
      </w:r>
      <w:r w:rsidR="001032C2" w:rsidRPr="00BF04E0">
        <w:rPr>
          <w:color w:val="000000" w:themeColor="text1"/>
        </w:rPr>
        <w:t>e introduce interaction effects between ESG and size (</w:t>
      </w:r>
      <w:r w:rsidR="00652D6B" w:rsidRPr="00BF04E0">
        <w:rPr>
          <w:color w:val="000000" w:themeColor="text1"/>
        </w:rPr>
        <w:t>Model (</w:t>
      </w:r>
      <w:r w:rsidR="001032C2" w:rsidRPr="00BF04E0">
        <w:rPr>
          <w:color w:val="000000" w:themeColor="text1"/>
        </w:rPr>
        <w:t>4a)</w:t>
      </w:r>
      <w:r w:rsidR="00652D6B" w:rsidRPr="00BF04E0">
        <w:rPr>
          <w:color w:val="000000" w:themeColor="text1"/>
        </w:rPr>
        <w:t>)</w:t>
      </w:r>
      <w:r w:rsidR="001032C2" w:rsidRPr="00BF04E0">
        <w:rPr>
          <w:color w:val="000000" w:themeColor="text1"/>
        </w:rPr>
        <w:t>, momentum (</w:t>
      </w:r>
      <w:r w:rsidR="00652D6B" w:rsidRPr="00BF04E0">
        <w:rPr>
          <w:color w:val="000000" w:themeColor="text1"/>
        </w:rPr>
        <w:t>Model (</w:t>
      </w:r>
      <w:r w:rsidR="001032C2" w:rsidRPr="00BF04E0">
        <w:rPr>
          <w:color w:val="000000" w:themeColor="text1"/>
        </w:rPr>
        <w:t>4b)</w:t>
      </w:r>
      <w:r w:rsidR="00652D6B" w:rsidRPr="00BF04E0">
        <w:rPr>
          <w:color w:val="000000" w:themeColor="text1"/>
        </w:rPr>
        <w:t>)</w:t>
      </w:r>
      <w:r w:rsidR="001032C2" w:rsidRPr="00BF04E0">
        <w:rPr>
          <w:color w:val="000000" w:themeColor="text1"/>
        </w:rPr>
        <w:t xml:space="preserve"> and quality (</w:t>
      </w:r>
      <w:r w:rsidR="00652D6B" w:rsidRPr="00BF04E0">
        <w:rPr>
          <w:color w:val="000000" w:themeColor="text1"/>
        </w:rPr>
        <w:t>Model (</w:t>
      </w:r>
      <w:r w:rsidR="001032C2" w:rsidRPr="00BF04E0">
        <w:rPr>
          <w:color w:val="000000" w:themeColor="text1"/>
        </w:rPr>
        <w:t>4c)</w:t>
      </w:r>
      <w:r w:rsidR="00652D6B" w:rsidRPr="00BF04E0">
        <w:rPr>
          <w:color w:val="000000" w:themeColor="text1"/>
        </w:rPr>
        <w:t>), respectively,</w:t>
      </w:r>
      <w:r w:rsidR="001032C2" w:rsidRPr="00BF04E0">
        <w:rPr>
          <w:color w:val="000000" w:themeColor="text1"/>
        </w:rPr>
        <w:t xml:space="preserve"> while controlling for </w:t>
      </w:r>
      <w:r w:rsidR="00652D6B" w:rsidRPr="00BF04E0">
        <w:rPr>
          <w:color w:val="000000" w:themeColor="text1"/>
        </w:rPr>
        <w:t>fundamentals with relevant to</w:t>
      </w:r>
      <w:r w:rsidRPr="00BF04E0">
        <w:rPr>
          <w:color w:val="000000" w:themeColor="text1"/>
        </w:rPr>
        <w:t xml:space="preserve"> each factor. </w:t>
      </w:r>
      <w:r w:rsidR="00652D6B" w:rsidRPr="00BF04E0">
        <w:rPr>
          <w:color w:val="000000" w:themeColor="text1"/>
        </w:rPr>
        <w:t>The results from Table 1 show that i</w:t>
      </w:r>
      <w:r w:rsidRPr="00BF04E0">
        <w:rPr>
          <w:color w:val="000000" w:themeColor="text1"/>
        </w:rPr>
        <w:t>nteraction terms for size (4a) and quality (4c)</w:t>
      </w:r>
      <w:r w:rsidR="001032C2" w:rsidRPr="00BF04E0">
        <w:rPr>
          <w:color w:val="000000" w:themeColor="text1"/>
        </w:rPr>
        <w:t xml:space="preserve"> remain statistically significant</w:t>
      </w:r>
      <w:r w:rsidRPr="00BF04E0">
        <w:rPr>
          <w:color w:val="000000" w:themeColor="text1"/>
        </w:rPr>
        <w:t>, suggesting that integrating ESG with size and quality fundamentals</w:t>
      </w:r>
      <w:r w:rsidR="001032C2" w:rsidRPr="00BF04E0">
        <w:rPr>
          <w:color w:val="000000" w:themeColor="text1"/>
        </w:rPr>
        <w:t xml:space="preserve"> positively predicts cross-sectional stock returns</w:t>
      </w:r>
      <w:r w:rsidR="00652D6B" w:rsidRPr="00BF04E0">
        <w:rPr>
          <w:color w:val="000000" w:themeColor="text1"/>
        </w:rPr>
        <w:t xml:space="preserve"> beyond well-established risk factors and firm-level fundamentals</w:t>
      </w:r>
      <w:r w:rsidRPr="00BF04E0">
        <w:rPr>
          <w:color w:val="000000" w:themeColor="text1"/>
        </w:rPr>
        <w:t>.</w:t>
      </w:r>
      <w:r w:rsidR="001032C2" w:rsidRPr="00BF04E0">
        <w:rPr>
          <w:color w:val="000000" w:themeColor="text1"/>
        </w:rPr>
        <w:t xml:space="preserve"> </w:t>
      </w:r>
      <w:r w:rsidR="00652D6B" w:rsidRPr="00BF04E0">
        <w:rPr>
          <w:color w:val="000000" w:themeColor="text1"/>
        </w:rPr>
        <w:t xml:space="preserve">Overall, Table 1 confirms </w:t>
      </w:r>
      <w:r w:rsidR="001032C2" w:rsidRPr="00BF04E0">
        <w:rPr>
          <w:color w:val="000000" w:themeColor="text1"/>
        </w:rPr>
        <w:t>the pricing power</w:t>
      </w:r>
      <w:r w:rsidR="00652D6B" w:rsidRPr="00BF04E0">
        <w:rPr>
          <w:color w:val="000000" w:themeColor="text1"/>
        </w:rPr>
        <w:t xml:space="preserve"> of ESG integrated factors in the cross-section of Australian stocks</w:t>
      </w:r>
      <w:r w:rsidR="001032C2" w:rsidRPr="00BF04E0">
        <w:rPr>
          <w:color w:val="000000" w:themeColor="text1"/>
        </w:rPr>
        <w:t>.</w:t>
      </w:r>
    </w:p>
    <w:p w14:paraId="2B93103C" w14:textId="305227C6" w:rsidR="009368FD" w:rsidRPr="00BF04E0" w:rsidRDefault="006E4AF2" w:rsidP="009471C6">
      <w:pPr>
        <w:contextualSpacing/>
        <w:jc w:val="both"/>
        <w:rPr>
          <w:color w:val="000000" w:themeColor="text1"/>
        </w:rPr>
      </w:pPr>
      <w:r w:rsidRPr="00BF04E0">
        <w:rPr>
          <w:color w:val="000000" w:themeColor="text1"/>
        </w:rPr>
        <w:br/>
        <w:t>We have thought long and hard</w:t>
      </w:r>
      <w:r w:rsidR="00166A0B" w:rsidRPr="00BF04E0">
        <w:rPr>
          <w:color w:val="000000" w:themeColor="text1"/>
        </w:rPr>
        <w:t xml:space="preserve"> about whether these results should be included in the revised manuscript. Although</w:t>
      </w:r>
      <w:r w:rsidR="00F03199" w:rsidRPr="00BF04E0">
        <w:rPr>
          <w:color w:val="000000" w:themeColor="text1"/>
        </w:rPr>
        <w:t xml:space="preserve"> these findings</w:t>
      </w:r>
      <w:r w:rsidR="00166A0B" w:rsidRPr="00BF04E0">
        <w:rPr>
          <w:color w:val="000000" w:themeColor="text1"/>
        </w:rPr>
        <w:t xml:space="preserve"> are supportive of our main findings in the paper, </w:t>
      </w:r>
      <w:r w:rsidR="00F03199" w:rsidRPr="00BF04E0">
        <w:rPr>
          <w:color w:val="000000" w:themeColor="text1"/>
        </w:rPr>
        <w:t>we feel that</w:t>
      </w:r>
      <w:r w:rsidR="00166A0B" w:rsidRPr="00BF04E0">
        <w:rPr>
          <w:color w:val="000000" w:themeColor="text1"/>
        </w:rPr>
        <w:t xml:space="preserve"> formal asset pricing tests</w:t>
      </w:r>
      <w:r w:rsidR="00F03199" w:rsidRPr="00BF04E0">
        <w:rPr>
          <w:color w:val="000000" w:themeColor="text1"/>
        </w:rPr>
        <w:t xml:space="preserve"> are</w:t>
      </w:r>
      <w:r w:rsidR="00166A0B" w:rsidRPr="00BF04E0">
        <w:rPr>
          <w:color w:val="000000" w:themeColor="text1"/>
        </w:rPr>
        <w:t xml:space="preserve"> beyond th</w:t>
      </w:r>
      <w:r w:rsidR="00F03199" w:rsidRPr="00BF04E0">
        <w:rPr>
          <w:color w:val="000000" w:themeColor="text1"/>
        </w:rPr>
        <w:t>e scope of the current paper</w:t>
      </w:r>
      <w:r w:rsidRPr="00BF04E0">
        <w:rPr>
          <w:color w:val="000000" w:themeColor="text1"/>
        </w:rPr>
        <w:t>.</w:t>
      </w:r>
      <w:r w:rsidR="00F03199" w:rsidRPr="00BF04E0">
        <w:rPr>
          <w:color w:val="000000" w:themeColor="text1"/>
        </w:rPr>
        <w:t xml:space="preserve"> We are encouraged by these results</w:t>
      </w:r>
      <w:r w:rsidR="002073A5" w:rsidRPr="00BF04E0">
        <w:rPr>
          <w:color w:val="000000" w:themeColor="text1"/>
        </w:rPr>
        <w:t xml:space="preserve"> </w:t>
      </w:r>
      <w:r w:rsidR="00F03199" w:rsidRPr="00BF04E0">
        <w:rPr>
          <w:color w:val="000000" w:themeColor="text1"/>
        </w:rPr>
        <w:t>and would like to investigate the full asset pricing implications of ESG integration in a follow</w:t>
      </w:r>
      <w:r w:rsidR="00E86FB8" w:rsidRPr="00BF04E0">
        <w:rPr>
          <w:color w:val="000000" w:themeColor="text1"/>
        </w:rPr>
        <w:t>-</w:t>
      </w:r>
      <w:r w:rsidR="00F03199" w:rsidRPr="00BF04E0">
        <w:rPr>
          <w:color w:val="000000" w:themeColor="text1"/>
        </w:rPr>
        <w:t xml:space="preserve">up paper. </w:t>
      </w:r>
      <w:r w:rsidR="0098712E" w:rsidRPr="00BF04E0">
        <w:rPr>
          <w:color w:val="000000" w:themeColor="text1"/>
        </w:rPr>
        <w:t xml:space="preserve">We thank the referee for her/his suggestion, </w:t>
      </w:r>
      <w:r w:rsidR="00F03199" w:rsidRPr="00BF04E0">
        <w:rPr>
          <w:color w:val="000000" w:themeColor="text1"/>
        </w:rPr>
        <w:t xml:space="preserve">a new </w:t>
      </w:r>
      <w:r w:rsidRPr="00BF04E0">
        <w:rPr>
          <w:color w:val="000000" w:themeColor="text1"/>
        </w:rPr>
        <w:t xml:space="preserve">footnote </w:t>
      </w:r>
      <w:r w:rsidR="00FE4917" w:rsidRPr="00BF04E0">
        <w:rPr>
          <w:color w:val="000000" w:themeColor="text1"/>
        </w:rPr>
        <w:t>17</w:t>
      </w:r>
      <w:r w:rsidRPr="00BF04E0">
        <w:rPr>
          <w:color w:val="000000" w:themeColor="text1"/>
        </w:rPr>
        <w:t xml:space="preserve"> </w:t>
      </w:r>
      <w:r w:rsidR="00F03199" w:rsidRPr="00BF04E0">
        <w:rPr>
          <w:color w:val="000000" w:themeColor="text1"/>
        </w:rPr>
        <w:t>has been inserted on</w:t>
      </w:r>
      <w:r w:rsidRPr="00BF04E0">
        <w:rPr>
          <w:color w:val="000000" w:themeColor="text1"/>
        </w:rPr>
        <w:t xml:space="preserve"> page </w:t>
      </w:r>
      <w:r w:rsidR="00FE4917" w:rsidRPr="00BF04E0">
        <w:rPr>
          <w:color w:val="000000" w:themeColor="text1"/>
        </w:rPr>
        <w:t>16</w:t>
      </w:r>
      <w:r w:rsidR="00F03199" w:rsidRPr="00BF04E0">
        <w:rPr>
          <w:color w:val="000000" w:themeColor="text1"/>
        </w:rPr>
        <w:t xml:space="preserve"> to summarise the above results. </w:t>
      </w:r>
    </w:p>
    <w:p w14:paraId="693A6A67" w14:textId="77777777" w:rsidR="009368FD" w:rsidRPr="00BF04E0" w:rsidRDefault="009368FD" w:rsidP="009368FD">
      <w:pPr>
        <w:rPr>
          <w:color w:val="000000" w:themeColor="text1"/>
          <w:sz w:val="22"/>
          <w:szCs w:val="22"/>
        </w:rPr>
      </w:pPr>
    </w:p>
    <w:p w14:paraId="7EB998F8" w14:textId="77777777" w:rsidR="009368FD" w:rsidRPr="00BF04E0" w:rsidRDefault="009368FD" w:rsidP="009368FD">
      <w:pPr>
        <w:rPr>
          <w:color w:val="000000" w:themeColor="text1"/>
          <w:sz w:val="22"/>
          <w:szCs w:val="22"/>
        </w:rPr>
      </w:pPr>
    </w:p>
    <w:p w14:paraId="2BFCA046" w14:textId="159D6B22" w:rsidR="008B4D56" w:rsidRPr="00BF04E0" w:rsidRDefault="008B4D56" w:rsidP="009368FD">
      <w:pPr>
        <w:rPr>
          <w:color w:val="000000" w:themeColor="text1"/>
          <w:sz w:val="22"/>
          <w:szCs w:val="22"/>
        </w:rPr>
      </w:pPr>
    </w:p>
    <w:p w14:paraId="3EE0B7F1" w14:textId="77777777" w:rsidR="00D2391F" w:rsidRPr="00BF04E0" w:rsidRDefault="00D2391F" w:rsidP="00B24356">
      <w:pPr>
        <w:spacing w:after="120"/>
        <w:jc w:val="center"/>
        <w:outlineLvl w:val="0"/>
        <w:rPr>
          <w:b/>
          <w:color w:val="000000" w:themeColor="text1"/>
        </w:rPr>
      </w:pPr>
    </w:p>
    <w:p w14:paraId="62B51701" w14:textId="07540F6F" w:rsidR="00B24356" w:rsidRPr="00BF04E0" w:rsidRDefault="00B24356" w:rsidP="00B24356">
      <w:pPr>
        <w:spacing w:after="120"/>
        <w:jc w:val="center"/>
        <w:outlineLvl w:val="0"/>
        <w:rPr>
          <w:b/>
          <w:color w:val="000000" w:themeColor="text1"/>
        </w:rPr>
      </w:pPr>
      <w:r w:rsidRPr="00BF04E0">
        <w:rPr>
          <w:b/>
          <w:color w:val="000000" w:themeColor="text1"/>
        </w:rPr>
        <w:t xml:space="preserve">Table </w:t>
      </w:r>
      <w:r w:rsidR="00CF1494" w:rsidRPr="00BF04E0">
        <w:rPr>
          <w:b/>
          <w:color w:val="000000" w:themeColor="text1"/>
        </w:rPr>
        <w:t>1</w:t>
      </w:r>
      <w:r w:rsidRPr="00BF04E0">
        <w:rPr>
          <w:b/>
          <w:color w:val="000000" w:themeColor="text1"/>
        </w:rPr>
        <w:t xml:space="preserve"> </w:t>
      </w:r>
      <w:proofErr w:type="spellStart"/>
      <w:r w:rsidR="00CF1494" w:rsidRPr="00BF04E0">
        <w:rPr>
          <w:b/>
          <w:color w:val="000000" w:themeColor="text1"/>
        </w:rPr>
        <w:t>Fama</w:t>
      </w:r>
      <w:proofErr w:type="spellEnd"/>
      <w:r w:rsidR="00CF1494" w:rsidRPr="00BF04E0">
        <w:rPr>
          <w:b/>
          <w:color w:val="000000" w:themeColor="text1"/>
        </w:rPr>
        <w:t>-Macbeth Regression</w:t>
      </w:r>
    </w:p>
    <w:p w14:paraId="59712810" w14:textId="09A74D26" w:rsidR="00E91AA2" w:rsidRPr="00BF04E0" w:rsidRDefault="00E91AA2" w:rsidP="0040508D">
      <w:pPr>
        <w:jc w:val="both"/>
        <w:rPr>
          <w:color w:val="000000" w:themeColor="text1"/>
          <w:sz w:val="22"/>
          <w:szCs w:val="22"/>
        </w:rPr>
      </w:pPr>
      <w:r w:rsidRPr="00BF04E0">
        <w:rPr>
          <w:color w:val="000000" w:themeColor="text1"/>
          <w:sz w:val="22"/>
          <w:szCs w:val="22"/>
        </w:rPr>
        <w:t xml:space="preserve">This table </w:t>
      </w:r>
      <w:r w:rsidR="00400804" w:rsidRPr="00BF04E0">
        <w:rPr>
          <w:color w:val="000000" w:themeColor="text1"/>
          <w:sz w:val="22"/>
          <w:szCs w:val="22"/>
        </w:rPr>
        <w:t>reports</w:t>
      </w:r>
      <w:r w:rsidRPr="00BF04E0">
        <w:rPr>
          <w:color w:val="000000" w:themeColor="text1"/>
          <w:sz w:val="22"/>
          <w:szCs w:val="22"/>
        </w:rPr>
        <w:t xml:space="preserve"> the results of </w:t>
      </w:r>
      <w:proofErr w:type="spellStart"/>
      <w:r w:rsidRPr="00BF04E0">
        <w:rPr>
          <w:color w:val="000000" w:themeColor="text1"/>
          <w:sz w:val="22"/>
          <w:szCs w:val="22"/>
        </w:rPr>
        <w:t>Fama-MacBeth</w:t>
      </w:r>
      <w:proofErr w:type="spellEnd"/>
      <w:r w:rsidRPr="00BF04E0">
        <w:rPr>
          <w:color w:val="000000" w:themeColor="text1"/>
          <w:sz w:val="22"/>
          <w:szCs w:val="22"/>
        </w:rPr>
        <w:t xml:space="preserve"> (1973) regressions of </w:t>
      </w:r>
      <w:r w:rsidR="00400804" w:rsidRPr="00BF04E0">
        <w:rPr>
          <w:color w:val="000000" w:themeColor="text1"/>
          <w:sz w:val="22"/>
          <w:szCs w:val="22"/>
        </w:rPr>
        <w:t>36</w:t>
      </w:r>
      <w:r w:rsidRPr="00BF04E0">
        <w:rPr>
          <w:color w:val="000000" w:themeColor="text1"/>
          <w:sz w:val="22"/>
          <w:szCs w:val="22"/>
        </w:rPr>
        <w:t>-month excess returns</w:t>
      </w:r>
      <w:r w:rsidR="00BE1FAD" w:rsidRPr="00BF04E0">
        <w:rPr>
          <w:color w:val="000000" w:themeColor="text1"/>
          <w:sz w:val="22"/>
          <w:szCs w:val="22"/>
        </w:rPr>
        <w:t xml:space="preserve"> of individual firms</w:t>
      </w:r>
      <w:r w:rsidRPr="00BF04E0">
        <w:rPr>
          <w:color w:val="000000" w:themeColor="text1"/>
          <w:sz w:val="22"/>
          <w:szCs w:val="22"/>
        </w:rPr>
        <w:t xml:space="preserve"> on realized-risk characteristics. </w:t>
      </w:r>
      <w:r w:rsidR="00400804" w:rsidRPr="00BF04E0">
        <w:rPr>
          <w:color w:val="000000" w:themeColor="text1"/>
          <w:sz w:val="22"/>
          <w:szCs w:val="22"/>
          <w:lang w:val="en-US"/>
        </w:rPr>
        <w:t>The sample period covers March 2006 through December 2016.</w:t>
      </w:r>
      <w:r w:rsidR="0040508D" w:rsidRPr="00BF04E0">
        <w:rPr>
          <w:color w:val="000000" w:themeColor="text1"/>
          <w:sz w:val="22"/>
          <w:szCs w:val="22"/>
        </w:rPr>
        <w:t xml:space="preserve"> </w:t>
      </w:r>
      <w:r w:rsidRPr="00BF04E0">
        <w:rPr>
          <w:color w:val="000000" w:themeColor="text1"/>
          <w:sz w:val="22"/>
          <w:szCs w:val="22"/>
        </w:rPr>
        <w:t>A</w:t>
      </w:r>
      <w:r w:rsidR="00400804" w:rsidRPr="00BF04E0">
        <w:rPr>
          <w:color w:val="000000" w:themeColor="text1"/>
          <w:sz w:val="22"/>
          <w:szCs w:val="22"/>
        </w:rPr>
        <w:t xml:space="preserve"> 36</w:t>
      </w:r>
      <w:r w:rsidRPr="00BF04E0">
        <w:rPr>
          <w:color w:val="000000" w:themeColor="text1"/>
          <w:sz w:val="22"/>
          <w:szCs w:val="22"/>
        </w:rPr>
        <w:t>-month rolling window is employed on</w:t>
      </w:r>
      <w:r w:rsidR="00400804" w:rsidRPr="00BF04E0">
        <w:rPr>
          <w:color w:val="000000" w:themeColor="text1"/>
          <w:sz w:val="22"/>
          <w:szCs w:val="22"/>
        </w:rPr>
        <w:t xml:space="preserve"> ESG rated firms within the ‘All’ sample for the Australian market. MKT is the CAPM beta, SMB and HML are formed through size and book-to-market bivariate sorts, UMD is the momentum factor, </w:t>
      </w:r>
      <w:r w:rsidR="00FF24BB" w:rsidRPr="00BF04E0">
        <w:rPr>
          <w:color w:val="000000" w:themeColor="text1"/>
          <w:sz w:val="22"/>
          <w:szCs w:val="22"/>
        </w:rPr>
        <w:t>size</w:t>
      </w:r>
      <w:r w:rsidR="00400804" w:rsidRPr="00BF04E0">
        <w:rPr>
          <w:color w:val="000000" w:themeColor="text1"/>
          <w:sz w:val="22"/>
          <w:szCs w:val="22"/>
        </w:rPr>
        <w:t xml:space="preserve"> is the log of the market capitalization characteristic, bm is the book-to-market characteristic, </w:t>
      </w:r>
      <w:r w:rsidR="00FF24BB" w:rsidRPr="00BF04E0">
        <w:rPr>
          <w:color w:val="000000" w:themeColor="text1"/>
          <w:sz w:val="22"/>
          <w:szCs w:val="22"/>
        </w:rPr>
        <w:t>mom</w:t>
      </w:r>
      <w:r w:rsidR="00400804" w:rsidRPr="00BF04E0">
        <w:rPr>
          <w:color w:val="000000" w:themeColor="text1"/>
          <w:sz w:val="22"/>
          <w:szCs w:val="22"/>
        </w:rPr>
        <w:t xml:space="preserve"> is </w:t>
      </w:r>
      <w:r w:rsidR="00AD6B41" w:rsidRPr="00BF04E0">
        <w:rPr>
          <w:color w:val="000000" w:themeColor="text1"/>
          <w:sz w:val="22"/>
          <w:szCs w:val="22"/>
        </w:rPr>
        <w:t xml:space="preserve">the </w:t>
      </w:r>
      <w:r w:rsidR="00400804" w:rsidRPr="00BF04E0">
        <w:rPr>
          <w:color w:val="000000" w:themeColor="text1"/>
          <w:sz w:val="22"/>
          <w:szCs w:val="22"/>
        </w:rPr>
        <w:t xml:space="preserve">previous 12 months </w:t>
      </w:r>
      <w:r w:rsidR="00AD6B41" w:rsidRPr="00BF04E0">
        <w:rPr>
          <w:color w:val="000000" w:themeColor="text1"/>
          <w:sz w:val="22"/>
          <w:szCs w:val="22"/>
        </w:rPr>
        <w:t>returns</w:t>
      </w:r>
      <w:r w:rsidR="00400804" w:rsidRPr="00BF04E0">
        <w:rPr>
          <w:color w:val="000000" w:themeColor="text1"/>
          <w:sz w:val="22"/>
          <w:szCs w:val="22"/>
        </w:rPr>
        <w:t xml:space="preserve"> characteristic, roe is the quality characteristic, ESG is the Bloomberg ESG characteristic, whilst </w:t>
      </w:r>
      <w:r w:rsidR="0026367F" w:rsidRPr="00BF04E0">
        <w:rPr>
          <w:color w:val="000000" w:themeColor="text1"/>
          <w:sz w:val="22"/>
          <w:szCs w:val="22"/>
        </w:rPr>
        <w:t>ESG x Ret</w:t>
      </w:r>
      <w:r w:rsidR="0026367F" w:rsidRPr="00BF04E0">
        <w:rPr>
          <w:color w:val="000000" w:themeColor="text1"/>
          <w:sz w:val="12"/>
          <w:szCs w:val="12"/>
        </w:rPr>
        <w:t>t-1, t-12</w:t>
      </w:r>
      <w:r w:rsidR="00400804" w:rsidRPr="00BF04E0">
        <w:rPr>
          <w:color w:val="000000" w:themeColor="text1"/>
          <w:sz w:val="22"/>
          <w:szCs w:val="22"/>
        </w:rPr>
        <w:t xml:space="preserve">, </w:t>
      </w:r>
      <w:r w:rsidR="0026367F" w:rsidRPr="00BF04E0">
        <w:rPr>
          <w:color w:val="000000" w:themeColor="text1"/>
          <w:sz w:val="22"/>
          <w:szCs w:val="22"/>
        </w:rPr>
        <w:t xml:space="preserve">ESG x ln(cap), </w:t>
      </w:r>
      <w:r w:rsidR="00400804" w:rsidRPr="00BF04E0">
        <w:rPr>
          <w:color w:val="000000" w:themeColor="text1"/>
          <w:sz w:val="22"/>
          <w:szCs w:val="22"/>
        </w:rPr>
        <w:t xml:space="preserve">and </w:t>
      </w:r>
      <w:r w:rsidR="0026367F" w:rsidRPr="00BF04E0">
        <w:rPr>
          <w:color w:val="000000" w:themeColor="text1"/>
          <w:sz w:val="22"/>
          <w:szCs w:val="22"/>
        </w:rPr>
        <w:t xml:space="preserve">ESG x ROE </w:t>
      </w:r>
      <w:r w:rsidR="00400804" w:rsidRPr="00BF04E0">
        <w:rPr>
          <w:color w:val="000000" w:themeColor="text1"/>
          <w:sz w:val="22"/>
          <w:szCs w:val="22"/>
        </w:rPr>
        <w:t xml:space="preserve">are interaction </w:t>
      </w:r>
      <w:r w:rsidR="0026367F" w:rsidRPr="00BF04E0">
        <w:rPr>
          <w:color w:val="000000" w:themeColor="text1"/>
          <w:sz w:val="22"/>
          <w:szCs w:val="22"/>
        </w:rPr>
        <w:t>terms</w:t>
      </w:r>
      <w:r w:rsidR="00400804" w:rsidRPr="00BF04E0">
        <w:rPr>
          <w:color w:val="000000" w:themeColor="text1"/>
          <w:sz w:val="22"/>
          <w:szCs w:val="22"/>
        </w:rPr>
        <w:t xml:space="preserve"> between ESG and the momentum, size and quality factor characteristics</w:t>
      </w:r>
      <w:r w:rsidR="0026367F" w:rsidRPr="00BF04E0">
        <w:rPr>
          <w:color w:val="000000" w:themeColor="text1"/>
          <w:sz w:val="22"/>
          <w:szCs w:val="22"/>
        </w:rPr>
        <w:t>, respectively</w:t>
      </w:r>
      <w:r w:rsidR="00400804" w:rsidRPr="00BF04E0">
        <w:rPr>
          <w:color w:val="000000" w:themeColor="text1"/>
          <w:sz w:val="22"/>
          <w:szCs w:val="22"/>
        </w:rPr>
        <w:t>. The average price (λ)</w:t>
      </w:r>
      <w:r w:rsidR="00A50E42" w:rsidRPr="00BF04E0">
        <w:rPr>
          <w:color w:val="000000" w:themeColor="text1"/>
          <w:sz w:val="22"/>
          <w:szCs w:val="22"/>
        </w:rPr>
        <w:t>, adjusted R</w:t>
      </w:r>
      <w:r w:rsidR="00A50E42" w:rsidRPr="00BF04E0">
        <w:rPr>
          <w:color w:val="000000" w:themeColor="text1"/>
          <w:sz w:val="22"/>
          <w:szCs w:val="22"/>
          <w:vertAlign w:val="superscript"/>
        </w:rPr>
        <w:t>2</w:t>
      </w:r>
      <w:r w:rsidR="00A50E42" w:rsidRPr="00BF04E0">
        <w:rPr>
          <w:color w:val="000000" w:themeColor="text1"/>
          <w:sz w:val="22"/>
          <w:szCs w:val="22"/>
          <w:lang w:val="en-US"/>
        </w:rPr>
        <w:t xml:space="preserve">, change in </w:t>
      </w:r>
      <w:r w:rsidR="00A50E42" w:rsidRPr="00BF04E0">
        <w:rPr>
          <w:color w:val="000000" w:themeColor="text1"/>
          <w:sz w:val="22"/>
          <w:szCs w:val="22"/>
        </w:rPr>
        <w:t>R</w:t>
      </w:r>
      <w:r w:rsidR="00A50E42" w:rsidRPr="00BF04E0">
        <w:rPr>
          <w:color w:val="000000" w:themeColor="text1"/>
          <w:sz w:val="22"/>
          <w:szCs w:val="22"/>
          <w:vertAlign w:val="superscript"/>
        </w:rPr>
        <w:t>2</w:t>
      </w:r>
      <w:r w:rsidR="00A50E42" w:rsidRPr="00BF04E0">
        <w:rPr>
          <w:color w:val="000000" w:themeColor="text1"/>
          <w:sz w:val="22"/>
          <w:szCs w:val="22"/>
          <w:lang w:val="en-US"/>
        </w:rPr>
        <w:t xml:space="preserve"> from baseline model (</w:t>
      </w:r>
      <w:r w:rsidR="00A50E42" w:rsidRPr="00BF04E0">
        <w:rPr>
          <w:color w:val="000000" w:themeColor="text1"/>
          <w:sz w:val="22"/>
          <w:szCs w:val="22"/>
        </w:rPr>
        <w:t>∆R</w:t>
      </w:r>
      <w:r w:rsidR="00A50E42" w:rsidRPr="00BF04E0">
        <w:rPr>
          <w:color w:val="000000" w:themeColor="text1"/>
          <w:sz w:val="22"/>
          <w:szCs w:val="22"/>
          <w:vertAlign w:val="superscript"/>
        </w:rPr>
        <w:t>2</w:t>
      </w:r>
      <w:r w:rsidR="00A50E42" w:rsidRPr="00BF04E0">
        <w:rPr>
          <w:color w:val="000000" w:themeColor="text1"/>
          <w:sz w:val="22"/>
          <w:szCs w:val="22"/>
          <w:lang w:val="en-US"/>
        </w:rPr>
        <w:t>) and N</w:t>
      </w:r>
      <w:r w:rsidR="00400804" w:rsidRPr="00BF04E0">
        <w:rPr>
          <w:color w:val="000000" w:themeColor="text1"/>
          <w:sz w:val="22"/>
          <w:szCs w:val="22"/>
          <w:lang w:val="en-US"/>
        </w:rPr>
        <w:t xml:space="preserve">ewey-West </w:t>
      </w:r>
      <w:r w:rsidR="00400804" w:rsidRPr="00BF04E0">
        <w:rPr>
          <w:color w:val="000000" w:themeColor="text1"/>
          <w:sz w:val="22"/>
          <w:szCs w:val="22"/>
        </w:rPr>
        <w:t xml:space="preserve">corrected </w:t>
      </w:r>
      <w:r w:rsidR="00400804" w:rsidRPr="00BF04E0">
        <w:rPr>
          <w:i/>
          <w:iCs/>
          <w:color w:val="000000" w:themeColor="text1"/>
          <w:sz w:val="22"/>
          <w:szCs w:val="22"/>
        </w:rPr>
        <w:t>t</w:t>
      </w:r>
      <w:r w:rsidR="0026367F" w:rsidRPr="00BF04E0">
        <w:rPr>
          <w:color w:val="000000" w:themeColor="text1"/>
          <w:sz w:val="22"/>
          <w:szCs w:val="22"/>
        </w:rPr>
        <w:t>-</w:t>
      </w:r>
      <w:r w:rsidR="00400804" w:rsidRPr="00BF04E0">
        <w:rPr>
          <w:color w:val="000000" w:themeColor="text1"/>
          <w:sz w:val="22"/>
          <w:szCs w:val="22"/>
        </w:rPr>
        <w:t xml:space="preserve">statistics in parentheses are </w:t>
      </w:r>
      <w:r w:rsidR="0040508D" w:rsidRPr="00BF04E0">
        <w:rPr>
          <w:color w:val="000000" w:themeColor="text1"/>
          <w:sz w:val="22"/>
          <w:szCs w:val="22"/>
        </w:rPr>
        <w:t xml:space="preserve">reported. </w:t>
      </w:r>
      <w:r w:rsidR="00AD6B41" w:rsidRPr="00BF04E0">
        <w:rPr>
          <w:color w:val="000000" w:themeColor="text1"/>
          <w:sz w:val="22"/>
          <w:szCs w:val="22"/>
        </w:rPr>
        <w:t>Six</w:t>
      </w:r>
      <w:r w:rsidR="0040508D" w:rsidRPr="00BF04E0">
        <w:rPr>
          <w:color w:val="000000" w:themeColor="text1"/>
          <w:sz w:val="22"/>
          <w:szCs w:val="22"/>
        </w:rPr>
        <w:t xml:space="preserve"> models are shown below: (1) baseline model including equities risk factors of MKT, SMB, HML and UMD; (2) baseline model augmented to include ESG as an explanatory variable; </w:t>
      </w:r>
      <w:r w:rsidR="00AD6B41" w:rsidRPr="00BF04E0">
        <w:rPr>
          <w:color w:val="000000" w:themeColor="text1"/>
          <w:sz w:val="22"/>
          <w:szCs w:val="22"/>
        </w:rPr>
        <w:t xml:space="preserve">(3) model 2 augmented to include firm characteristics of market cap (log) and bm; </w:t>
      </w:r>
      <w:r w:rsidR="0040508D" w:rsidRPr="00BF04E0">
        <w:rPr>
          <w:color w:val="000000" w:themeColor="text1"/>
          <w:sz w:val="22"/>
          <w:szCs w:val="22"/>
        </w:rPr>
        <w:t>(</w:t>
      </w:r>
      <w:r w:rsidR="00AD6B41" w:rsidRPr="00BF04E0">
        <w:rPr>
          <w:color w:val="000000" w:themeColor="text1"/>
          <w:sz w:val="22"/>
          <w:szCs w:val="22"/>
        </w:rPr>
        <w:t>4</w:t>
      </w:r>
      <w:r w:rsidR="0040508D" w:rsidRPr="00BF04E0">
        <w:rPr>
          <w:color w:val="000000" w:themeColor="text1"/>
          <w:sz w:val="22"/>
          <w:szCs w:val="22"/>
        </w:rPr>
        <w:t>a) model</w:t>
      </w:r>
      <w:r w:rsidR="00AD6B41" w:rsidRPr="00BF04E0">
        <w:rPr>
          <w:color w:val="000000" w:themeColor="text1"/>
          <w:sz w:val="22"/>
          <w:szCs w:val="22"/>
        </w:rPr>
        <w:t xml:space="preserve"> 3</w:t>
      </w:r>
      <w:r w:rsidR="0040508D" w:rsidRPr="00BF04E0">
        <w:rPr>
          <w:color w:val="000000" w:themeColor="text1"/>
          <w:sz w:val="22"/>
          <w:szCs w:val="22"/>
        </w:rPr>
        <w:t xml:space="preserve"> augmented to include</w:t>
      </w:r>
      <w:r w:rsidR="00AD6B41" w:rsidRPr="00BF04E0">
        <w:rPr>
          <w:color w:val="000000" w:themeColor="text1"/>
          <w:sz w:val="22"/>
          <w:szCs w:val="22"/>
        </w:rPr>
        <w:t xml:space="preserve"> </w:t>
      </w:r>
      <w:r w:rsidR="0040508D" w:rsidRPr="00BF04E0">
        <w:rPr>
          <w:color w:val="000000" w:themeColor="text1"/>
          <w:sz w:val="22"/>
          <w:szCs w:val="22"/>
        </w:rPr>
        <w:t>ESG and market cap interaction effect; (</w:t>
      </w:r>
      <w:r w:rsidR="00AD6B41" w:rsidRPr="00BF04E0">
        <w:rPr>
          <w:color w:val="000000" w:themeColor="text1"/>
          <w:sz w:val="22"/>
          <w:szCs w:val="22"/>
        </w:rPr>
        <w:t>4</w:t>
      </w:r>
      <w:r w:rsidR="0040508D" w:rsidRPr="00BF04E0">
        <w:rPr>
          <w:color w:val="000000" w:themeColor="text1"/>
          <w:sz w:val="22"/>
          <w:szCs w:val="22"/>
        </w:rPr>
        <w:t xml:space="preserve">b) </w:t>
      </w:r>
      <w:r w:rsidR="00AD6B41" w:rsidRPr="00BF04E0">
        <w:rPr>
          <w:color w:val="000000" w:themeColor="text1"/>
          <w:sz w:val="22"/>
          <w:szCs w:val="22"/>
        </w:rPr>
        <w:t xml:space="preserve">model 3 </w:t>
      </w:r>
      <w:r w:rsidR="0040508D" w:rsidRPr="00BF04E0">
        <w:rPr>
          <w:color w:val="000000" w:themeColor="text1"/>
          <w:sz w:val="22"/>
          <w:szCs w:val="22"/>
        </w:rPr>
        <w:t xml:space="preserve">augmented to include ESG and momentum interaction effect; </w:t>
      </w:r>
      <w:r w:rsidR="00AD6B41" w:rsidRPr="00BF04E0">
        <w:rPr>
          <w:color w:val="000000" w:themeColor="text1"/>
          <w:sz w:val="22"/>
          <w:szCs w:val="22"/>
        </w:rPr>
        <w:t xml:space="preserve">and </w:t>
      </w:r>
      <w:r w:rsidR="0040508D" w:rsidRPr="00BF04E0">
        <w:rPr>
          <w:color w:val="000000" w:themeColor="text1"/>
          <w:sz w:val="22"/>
          <w:szCs w:val="22"/>
        </w:rPr>
        <w:t>(</w:t>
      </w:r>
      <w:r w:rsidR="00AD6B41" w:rsidRPr="00BF04E0">
        <w:rPr>
          <w:color w:val="000000" w:themeColor="text1"/>
          <w:sz w:val="22"/>
          <w:szCs w:val="22"/>
        </w:rPr>
        <w:t>4</w:t>
      </w:r>
      <w:r w:rsidR="0040508D" w:rsidRPr="00BF04E0">
        <w:rPr>
          <w:color w:val="000000" w:themeColor="text1"/>
          <w:sz w:val="22"/>
          <w:szCs w:val="22"/>
        </w:rPr>
        <w:t>c) model</w:t>
      </w:r>
      <w:r w:rsidR="00AD6B41" w:rsidRPr="00BF04E0">
        <w:rPr>
          <w:color w:val="000000" w:themeColor="text1"/>
          <w:sz w:val="22"/>
          <w:szCs w:val="22"/>
        </w:rPr>
        <w:t xml:space="preserve"> 3</w:t>
      </w:r>
      <w:r w:rsidR="0040508D" w:rsidRPr="00BF04E0">
        <w:rPr>
          <w:color w:val="000000" w:themeColor="text1"/>
          <w:sz w:val="22"/>
          <w:szCs w:val="22"/>
        </w:rPr>
        <w:t xml:space="preserve"> augmented to includ</w:t>
      </w:r>
      <w:r w:rsidR="00AD6B41" w:rsidRPr="00BF04E0">
        <w:rPr>
          <w:color w:val="000000" w:themeColor="text1"/>
          <w:sz w:val="22"/>
          <w:szCs w:val="22"/>
        </w:rPr>
        <w:t>e</w:t>
      </w:r>
      <w:r w:rsidR="0040508D" w:rsidRPr="00BF04E0">
        <w:rPr>
          <w:color w:val="000000" w:themeColor="text1"/>
          <w:sz w:val="22"/>
          <w:szCs w:val="22"/>
        </w:rPr>
        <w:t xml:space="preserve">, </w:t>
      </w:r>
      <w:r w:rsidR="0026367F" w:rsidRPr="00BF04E0">
        <w:rPr>
          <w:color w:val="000000" w:themeColor="text1"/>
          <w:sz w:val="22"/>
          <w:szCs w:val="22"/>
        </w:rPr>
        <w:t>ROE</w:t>
      </w:r>
      <w:r w:rsidR="0040508D" w:rsidRPr="00BF04E0">
        <w:rPr>
          <w:color w:val="000000" w:themeColor="text1"/>
          <w:sz w:val="22"/>
          <w:szCs w:val="22"/>
        </w:rPr>
        <w:t xml:space="preserve"> and ESG and roe interaction effect</w:t>
      </w:r>
      <w:r w:rsidR="00AD6B41" w:rsidRPr="00BF04E0">
        <w:rPr>
          <w:color w:val="000000" w:themeColor="text1"/>
          <w:sz w:val="22"/>
          <w:szCs w:val="22"/>
        </w:rPr>
        <w:t>.</w:t>
      </w:r>
    </w:p>
    <w:p w14:paraId="162142B3" w14:textId="0910372F" w:rsidR="00252536" w:rsidRPr="00BF04E0" w:rsidRDefault="00252536" w:rsidP="00B24356">
      <w:pPr>
        <w:widowControl w:val="0"/>
        <w:autoSpaceDE w:val="0"/>
        <w:autoSpaceDN w:val="0"/>
        <w:adjustRightInd w:val="0"/>
        <w:spacing w:after="120" w:line="276" w:lineRule="auto"/>
        <w:jc w:val="both"/>
        <w:rPr>
          <w:color w:val="000000" w:themeColor="text1"/>
          <w:sz w:val="20"/>
          <w:szCs w:val="20"/>
        </w:rPr>
      </w:pPr>
    </w:p>
    <w:tbl>
      <w:tblPr>
        <w:tblW w:w="8936" w:type="dxa"/>
        <w:tblLook w:val="04A0" w:firstRow="1" w:lastRow="0" w:firstColumn="1" w:lastColumn="0" w:noHBand="0" w:noVBand="1"/>
      </w:tblPr>
      <w:tblGrid>
        <w:gridCol w:w="1903"/>
        <w:gridCol w:w="1152"/>
        <w:gridCol w:w="1153"/>
        <w:gridCol w:w="1041"/>
        <w:gridCol w:w="138"/>
        <w:gridCol w:w="1015"/>
        <w:gridCol w:w="138"/>
        <w:gridCol w:w="1105"/>
        <w:gridCol w:w="138"/>
        <w:gridCol w:w="75"/>
        <w:gridCol w:w="940"/>
        <w:gridCol w:w="138"/>
      </w:tblGrid>
      <w:tr w:rsidR="009368FD" w:rsidRPr="00BF04E0" w14:paraId="4ED64B59" w14:textId="77777777" w:rsidTr="00D02AB1">
        <w:trPr>
          <w:gridAfter w:val="1"/>
          <w:wAfter w:w="138" w:type="dxa"/>
          <w:trHeight w:val="435"/>
        </w:trPr>
        <w:tc>
          <w:tcPr>
            <w:tcW w:w="1903" w:type="dxa"/>
            <w:tcBorders>
              <w:top w:val="single" w:sz="4" w:space="0" w:color="000000"/>
              <w:left w:val="nil"/>
              <w:bottom w:val="nil"/>
              <w:right w:val="nil"/>
            </w:tcBorders>
            <w:shd w:val="clear" w:color="auto" w:fill="auto"/>
            <w:noWrap/>
            <w:vAlign w:val="bottom"/>
            <w:hideMark/>
          </w:tcPr>
          <w:p w14:paraId="7D58E2CF" w14:textId="5712EDFF" w:rsidR="006E4AF2" w:rsidRPr="00BF04E0" w:rsidRDefault="006E4AF2" w:rsidP="00252536">
            <w:pPr>
              <w:jc w:val="center"/>
              <w:rPr>
                <w:color w:val="000000" w:themeColor="text1"/>
                <w:sz w:val="22"/>
                <w:szCs w:val="22"/>
              </w:rPr>
            </w:pPr>
          </w:p>
        </w:tc>
        <w:tc>
          <w:tcPr>
            <w:tcW w:w="1152" w:type="dxa"/>
            <w:tcBorders>
              <w:top w:val="single" w:sz="4" w:space="0" w:color="000000"/>
              <w:left w:val="nil"/>
              <w:bottom w:val="nil"/>
              <w:right w:val="nil"/>
            </w:tcBorders>
            <w:shd w:val="clear" w:color="auto" w:fill="auto"/>
            <w:noWrap/>
            <w:vAlign w:val="bottom"/>
            <w:hideMark/>
          </w:tcPr>
          <w:p w14:paraId="56021ECD" w14:textId="77777777" w:rsidR="006E4AF2" w:rsidRPr="00BF04E0" w:rsidRDefault="006E4AF2" w:rsidP="00252536">
            <w:pPr>
              <w:jc w:val="center"/>
              <w:rPr>
                <w:color w:val="000000" w:themeColor="text1"/>
                <w:sz w:val="22"/>
                <w:szCs w:val="22"/>
              </w:rPr>
            </w:pPr>
            <w:r w:rsidRPr="00BF04E0">
              <w:rPr>
                <w:color w:val="000000" w:themeColor="text1"/>
                <w:sz w:val="22"/>
                <w:szCs w:val="22"/>
              </w:rPr>
              <w:t>(1)</w:t>
            </w:r>
          </w:p>
        </w:tc>
        <w:tc>
          <w:tcPr>
            <w:tcW w:w="1153" w:type="dxa"/>
            <w:tcBorders>
              <w:top w:val="single" w:sz="4" w:space="0" w:color="000000"/>
              <w:left w:val="nil"/>
              <w:bottom w:val="nil"/>
              <w:right w:val="nil"/>
            </w:tcBorders>
            <w:shd w:val="clear" w:color="auto" w:fill="auto"/>
            <w:noWrap/>
            <w:vAlign w:val="bottom"/>
            <w:hideMark/>
          </w:tcPr>
          <w:p w14:paraId="2A648533" w14:textId="77777777" w:rsidR="006E4AF2" w:rsidRPr="00BF04E0" w:rsidRDefault="006E4AF2" w:rsidP="00252536">
            <w:pPr>
              <w:jc w:val="center"/>
              <w:rPr>
                <w:color w:val="000000" w:themeColor="text1"/>
                <w:sz w:val="22"/>
                <w:szCs w:val="22"/>
              </w:rPr>
            </w:pPr>
            <w:r w:rsidRPr="00BF04E0">
              <w:rPr>
                <w:color w:val="000000" w:themeColor="text1"/>
                <w:sz w:val="22"/>
                <w:szCs w:val="22"/>
              </w:rPr>
              <w:t>(2)</w:t>
            </w:r>
          </w:p>
        </w:tc>
        <w:tc>
          <w:tcPr>
            <w:tcW w:w="1041" w:type="dxa"/>
            <w:tcBorders>
              <w:top w:val="single" w:sz="4" w:space="0" w:color="000000"/>
              <w:left w:val="nil"/>
              <w:bottom w:val="nil"/>
              <w:right w:val="nil"/>
            </w:tcBorders>
            <w:vAlign w:val="bottom"/>
          </w:tcPr>
          <w:p w14:paraId="045A93CB" w14:textId="27E81333" w:rsidR="006E4AF2" w:rsidRPr="00BF04E0" w:rsidRDefault="006E4AF2" w:rsidP="00252536">
            <w:pPr>
              <w:jc w:val="center"/>
              <w:rPr>
                <w:color w:val="000000" w:themeColor="text1"/>
                <w:sz w:val="22"/>
                <w:szCs w:val="22"/>
              </w:rPr>
            </w:pPr>
            <w:r w:rsidRPr="00BF04E0">
              <w:rPr>
                <w:color w:val="000000" w:themeColor="text1"/>
                <w:sz w:val="22"/>
                <w:szCs w:val="22"/>
              </w:rPr>
              <w:t>(3)</w:t>
            </w:r>
          </w:p>
        </w:tc>
        <w:tc>
          <w:tcPr>
            <w:tcW w:w="1153" w:type="dxa"/>
            <w:gridSpan w:val="2"/>
            <w:tcBorders>
              <w:top w:val="single" w:sz="4" w:space="0" w:color="000000"/>
              <w:left w:val="nil"/>
              <w:bottom w:val="nil"/>
              <w:right w:val="nil"/>
            </w:tcBorders>
            <w:shd w:val="clear" w:color="auto" w:fill="auto"/>
            <w:noWrap/>
            <w:vAlign w:val="bottom"/>
            <w:hideMark/>
          </w:tcPr>
          <w:p w14:paraId="6D56D07D" w14:textId="7701F301" w:rsidR="006E4AF2" w:rsidRPr="00BF04E0" w:rsidRDefault="006E4AF2" w:rsidP="00252536">
            <w:pPr>
              <w:jc w:val="center"/>
              <w:rPr>
                <w:color w:val="000000" w:themeColor="text1"/>
                <w:sz w:val="22"/>
                <w:szCs w:val="22"/>
              </w:rPr>
            </w:pPr>
            <w:r w:rsidRPr="00BF04E0">
              <w:rPr>
                <w:color w:val="000000" w:themeColor="text1"/>
                <w:sz w:val="22"/>
                <w:szCs w:val="22"/>
              </w:rPr>
              <w:t>(4a)</w:t>
            </w:r>
          </w:p>
        </w:tc>
        <w:tc>
          <w:tcPr>
            <w:tcW w:w="1456" w:type="dxa"/>
            <w:gridSpan w:val="4"/>
            <w:tcBorders>
              <w:top w:val="single" w:sz="4" w:space="0" w:color="000000"/>
              <w:left w:val="nil"/>
              <w:bottom w:val="nil"/>
              <w:right w:val="nil"/>
            </w:tcBorders>
            <w:shd w:val="clear" w:color="auto" w:fill="auto"/>
            <w:noWrap/>
            <w:vAlign w:val="bottom"/>
            <w:hideMark/>
          </w:tcPr>
          <w:p w14:paraId="368938E2" w14:textId="0FBE6DF6" w:rsidR="006E4AF2" w:rsidRPr="00BF04E0" w:rsidRDefault="006E4AF2" w:rsidP="00DE74C1">
            <w:pPr>
              <w:jc w:val="center"/>
              <w:rPr>
                <w:color w:val="000000" w:themeColor="text1"/>
                <w:sz w:val="22"/>
                <w:szCs w:val="22"/>
              </w:rPr>
            </w:pPr>
            <w:r w:rsidRPr="00BF04E0">
              <w:rPr>
                <w:color w:val="000000" w:themeColor="text1"/>
                <w:sz w:val="22"/>
                <w:szCs w:val="22"/>
              </w:rPr>
              <w:t>(4b)</w:t>
            </w:r>
          </w:p>
        </w:tc>
        <w:tc>
          <w:tcPr>
            <w:tcW w:w="940" w:type="dxa"/>
            <w:tcBorders>
              <w:top w:val="single" w:sz="4" w:space="0" w:color="000000"/>
              <w:left w:val="nil"/>
              <w:bottom w:val="nil"/>
              <w:right w:val="nil"/>
            </w:tcBorders>
            <w:shd w:val="clear" w:color="auto" w:fill="auto"/>
            <w:noWrap/>
            <w:vAlign w:val="bottom"/>
            <w:hideMark/>
          </w:tcPr>
          <w:p w14:paraId="4957F81D" w14:textId="1F0963F1" w:rsidR="006E4AF2" w:rsidRPr="00BF04E0" w:rsidRDefault="006E4AF2" w:rsidP="00252536">
            <w:pPr>
              <w:jc w:val="center"/>
              <w:rPr>
                <w:color w:val="000000" w:themeColor="text1"/>
                <w:sz w:val="22"/>
                <w:szCs w:val="22"/>
              </w:rPr>
            </w:pPr>
            <w:r w:rsidRPr="00BF04E0">
              <w:rPr>
                <w:color w:val="000000" w:themeColor="text1"/>
                <w:sz w:val="22"/>
                <w:szCs w:val="22"/>
              </w:rPr>
              <w:t>(4c)</w:t>
            </w:r>
          </w:p>
        </w:tc>
      </w:tr>
      <w:tr w:rsidR="009368FD" w:rsidRPr="00BF04E0" w14:paraId="05EEF693" w14:textId="77777777" w:rsidTr="00D02AB1">
        <w:trPr>
          <w:gridAfter w:val="1"/>
          <w:wAfter w:w="138" w:type="dxa"/>
          <w:trHeight w:val="280"/>
        </w:trPr>
        <w:tc>
          <w:tcPr>
            <w:tcW w:w="1903" w:type="dxa"/>
            <w:tcBorders>
              <w:top w:val="single" w:sz="4" w:space="0" w:color="000000"/>
              <w:left w:val="nil"/>
              <w:bottom w:val="nil"/>
              <w:right w:val="nil"/>
            </w:tcBorders>
            <w:shd w:val="clear" w:color="auto" w:fill="auto"/>
            <w:noWrap/>
            <w:vAlign w:val="bottom"/>
            <w:hideMark/>
          </w:tcPr>
          <w:p w14:paraId="2A88F32C" w14:textId="0C413192" w:rsidR="006E4AF2" w:rsidRPr="00BF04E0" w:rsidRDefault="006E4AF2" w:rsidP="00252536">
            <w:pPr>
              <w:jc w:val="center"/>
              <w:rPr>
                <w:color w:val="000000" w:themeColor="text1"/>
                <w:sz w:val="22"/>
                <w:szCs w:val="22"/>
              </w:rPr>
            </w:pPr>
          </w:p>
        </w:tc>
        <w:tc>
          <w:tcPr>
            <w:tcW w:w="1152" w:type="dxa"/>
            <w:tcBorders>
              <w:top w:val="single" w:sz="4" w:space="0" w:color="000000"/>
              <w:left w:val="nil"/>
              <w:bottom w:val="nil"/>
              <w:right w:val="nil"/>
            </w:tcBorders>
            <w:shd w:val="clear" w:color="auto" w:fill="auto"/>
            <w:noWrap/>
            <w:vAlign w:val="bottom"/>
            <w:hideMark/>
          </w:tcPr>
          <w:p w14:paraId="62E5A304" w14:textId="3C177107" w:rsidR="006E4AF2" w:rsidRPr="00BF04E0" w:rsidRDefault="006E4AF2" w:rsidP="00252536">
            <w:pPr>
              <w:jc w:val="center"/>
              <w:rPr>
                <w:color w:val="000000" w:themeColor="text1"/>
                <w:sz w:val="22"/>
                <w:szCs w:val="22"/>
              </w:rPr>
            </w:pPr>
          </w:p>
        </w:tc>
        <w:tc>
          <w:tcPr>
            <w:tcW w:w="1153" w:type="dxa"/>
            <w:tcBorders>
              <w:top w:val="single" w:sz="4" w:space="0" w:color="000000"/>
              <w:left w:val="nil"/>
              <w:bottom w:val="nil"/>
              <w:right w:val="nil"/>
            </w:tcBorders>
            <w:shd w:val="clear" w:color="auto" w:fill="auto"/>
            <w:noWrap/>
            <w:vAlign w:val="bottom"/>
            <w:hideMark/>
          </w:tcPr>
          <w:p w14:paraId="1EABCDF6" w14:textId="6A57DBDA" w:rsidR="006E4AF2" w:rsidRPr="00BF04E0" w:rsidRDefault="006E4AF2" w:rsidP="00252536">
            <w:pPr>
              <w:jc w:val="center"/>
              <w:rPr>
                <w:color w:val="000000" w:themeColor="text1"/>
                <w:sz w:val="22"/>
                <w:szCs w:val="22"/>
              </w:rPr>
            </w:pPr>
          </w:p>
        </w:tc>
        <w:tc>
          <w:tcPr>
            <w:tcW w:w="1041" w:type="dxa"/>
            <w:tcBorders>
              <w:top w:val="single" w:sz="4" w:space="0" w:color="000000"/>
              <w:left w:val="nil"/>
              <w:bottom w:val="nil"/>
              <w:right w:val="nil"/>
            </w:tcBorders>
            <w:vAlign w:val="bottom"/>
          </w:tcPr>
          <w:p w14:paraId="5B48928C" w14:textId="4A7C46D7" w:rsidR="006E4AF2" w:rsidRPr="00BF04E0" w:rsidRDefault="006E4AF2" w:rsidP="00252536">
            <w:pPr>
              <w:jc w:val="center"/>
              <w:rPr>
                <w:color w:val="000000" w:themeColor="text1"/>
                <w:sz w:val="22"/>
                <w:szCs w:val="22"/>
              </w:rPr>
            </w:pPr>
          </w:p>
        </w:tc>
        <w:tc>
          <w:tcPr>
            <w:tcW w:w="1153" w:type="dxa"/>
            <w:gridSpan w:val="2"/>
            <w:tcBorders>
              <w:top w:val="single" w:sz="4" w:space="0" w:color="000000"/>
              <w:left w:val="nil"/>
              <w:bottom w:val="nil"/>
              <w:right w:val="nil"/>
            </w:tcBorders>
            <w:shd w:val="clear" w:color="auto" w:fill="auto"/>
            <w:noWrap/>
            <w:vAlign w:val="bottom"/>
            <w:hideMark/>
          </w:tcPr>
          <w:p w14:paraId="4009135C" w14:textId="0C0FF577" w:rsidR="006E4AF2" w:rsidRPr="00BF04E0" w:rsidRDefault="006E4AF2" w:rsidP="00252536">
            <w:pPr>
              <w:jc w:val="center"/>
              <w:rPr>
                <w:color w:val="000000" w:themeColor="text1"/>
                <w:sz w:val="22"/>
                <w:szCs w:val="22"/>
              </w:rPr>
            </w:pPr>
          </w:p>
        </w:tc>
        <w:tc>
          <w:tcPr>
            <w:tcW w:w="1243" w:type="dxa"/>
            <w:gridSpan w:val="2"/>
            <w:tcBorders>
              <w:top w:val="single" w:sz="4" w:space="0" w:color="000000"/>
              <w:left w:val="nil"/>
              <w:bottom w:val="nil"/>
              <w:right w:val="nil"/>
            </w:tcBorders>
            <w:shd w:val="clear" w:color="auto" w:fill="auto"/>
            <w:noWrap/>
            <w:vAlign w:val="bottom"/>
            <w:hideMark/>
          </w:tcPr>
          <w:p w14:paraId="373884B8" w14:textId="01521D28" w:rsidR="006E4AF2" w:rsidRPr="00BF04E0" w:rsidRDefault="006E4AF2" w:rsidP="00252536">
            <w:pPr>
              <w:jc w:val="center"/>
              <w:rPr>
                <w:color w:val="000000" w:themeColor="text1"/>
                <w:sz w:val="22"/>
                <w:szCs w:val="22"/>
              </w:rPr>
            </w:pPr>
          </w:p>
        </w:tc>
        <w:tc>
          <w:tcPr>
            <w:tcW w:w="1153" w:type="dxa"/>
            <w:gridSpan w:val="3"/>
            <w:tcBorders>
              <w:top w:val="single" w:sz="4" w:space="0" w:color="000000"/>
              <w:left w:val="nil"/>
              <w:bottom w:val="nil"/>
              <w:right w:val="nil"/>
            </w:tcBorders>
            <w:shd w:val="clear" w:color="auto" w:fill="auto"/>
            <w:noWrap/>
            <w:vAlign w:val="bottom"/>
            <w:hideMark/>
          </w:tcPr>
          <w:p w14:paraId="0E484796" w14:textId="46352CD8" w:rsidR="006E4AF2" w:rsidRPr="00BF04E0" w:rsidRDefault="006E4AF2" w:rsidP="00252536">
            <w:pPr>
              <w:jc w:val="center"/>
              <w:rPr>
                <w:color w:val="000000" w:themeColor="text1"/>
                <w:sz w:val="22"/>
                <w:szCs w:val="22"/>
              </w:rPr>
            </w:pPr>
          </w:p>
        </w:tc>
      </w:tr>
      <w:tr w:rsidR="009368FD" w:rsidRPr="00BF04E0" w14:paraId="0FEAEB9E" w14:textId="77777777" w:rsidTr="00D02AB1">
        <w:trPr>
          <w:gridAfter w:val="1"/>
          <w:wAfter w:w="138" w:type="dxa"/>
          <w:trHeight w:val="300"/>
        </w:trPr>
        <w:tc>
          <w:tcPr>
            <w:tcW w:w="1903" w:type="dxa"/>
            <w:tcBorders>
              <w:top w:val="nil"/>
              <w:left w:val="nil"/>
              <w:bottom w:val="nil"/>
              <w:right w:val="nil"/>
            </w:tcBorders>
            <w:shd w:val="clear" w:color="auto" w:fill="auto"/>
            <w:noWrap/>
            <w:vAlign w:val="bottom"/>
            <w:hideMark/>
          </w:tcPr>
          <w:p w14:paraId="4FC76733" w14:textId="77777777" w:rsidR="006E4AF2" w:rsidRPr="00BF04E0" w:rsidRDefault="006E4AF2" w:rsidP="006A4A7C">
            <w:pPr>
              <w:jc w:val="center"/>
              <w:rPr>
                <w:color w:val="000000" w:themeColor="text1"/>
                <w:sz w:val="22"/>
                <w:szCs w:val="22"/>
              </w:rPr>
            </w:pPr>
            <w:proofErr w:type="spellStart"/>
            <w:r w:rsidRPr="00BF04E0">
              <w:rPr>
                <w:color w:val="000000" w:themeColor="text1"/>
                <w:sz w:val="22"/>
                <w:szCs w:val="22"/>
              </w:rPr>
              <w:t>λ</w:t>
            </w:r>
            <w:r w:rsidRPr="00BF04E0">
              <w:rPr>
                <w:color w:val="000000" w:themeColor="text1"/>
                <w:sz w:val="22"/>
                <w:szCs w:val="22"/>
                <w:vertAlign w:val="subscript"/>
              </w:rPr>
              <w:t>MKT</w:t>
            </w:r>
            <w:proofErr w:type="spellEnd"/>
          </w:p>
        </w:tc>
        <w:tc>
          <w:tcPr>
            <w:tcW w:w="1152" w:type="dxa"/>
            <w:tcBorders>
              <w:top w:val="nil"/>
              <w:left w:val="nil"/>
              <w:bottom w:val="nil"/>
              <w:right w:val="nil"/>
            </w:tcBorders>
            <w:shd w:val="clear" w:color="auto" w:fill="auto"/>
            <w:noWrap/>
            <w:vAlign w:val="bottom"/>
            <w:hideMark/>
          </w:tcPr>
          <w:p w14:paraId="2FCEF282" w14:textId="6ED47C04" w:rsidR="006E4AF2" w:rsidRPr="00BF04E0" w:rsidRDefault="006E4AF2" w:rsidP="006A4A7C">
            <w:pPr>
              <w:jc w:val="center"/>
              <w:rPr>
                <w:color w:val="000000" w:themeColor="text1"/>
                <w:sz w:val="22"/>
                <w:szCs w:val="22"/>
              </w:rPr>
            </w:pPr>
            <w:r w:rsidRPr="00BF04E0">
              <w:rPr>
                <w:color w:val="000000" w:themeColor="text1"/>
                <w:sz w:val="22"/>
                <w:szCs w:val="22"/>
              </w:rPr>
              <w:t>0.006</w:t>
            </w:r>
          </w:p>
        </w:tc>
        <w:tc>
          <w:tcPr>
            <w:tcW w:w="1153" w:type="dxa"/>
            <w:tcBorders>
              <w:top w:val="nil"/>
              <w:left w:val="nil"/>
              <w:bottom w:val="nil"/>
              <w:right w:val="nil"/>
            </w:tcBorders>
            <w:shd w:val="clear" w:color="auto" w:fill="auto"/>
            <w:noWrap/>
            <w:vAlign w:val="bottom"/>
            <w:hideMark/>
          </w:tcPr>
          <w:p w14:paraId="313A3D0B" w14:textId="77777777" w:rsidR="006E4AF2" w:rsidRPr="00BF04E0" w:rsidRDefault="006E4AF2" w:rsidP="006A4A7C">
            <w:pPr>
              <w:jc w:val="center"/>
              <w:rPr>
                <w:color w:val="000000" w:themeColor="text1"/>
                <w:sz w:val="22"/>
                <w:szCs w:val="22"/>
              </w:rPr>
            </w:pPr>
            <w:r w:rsidRPr="00BF04E0">
              <w:rPr>
                <w:color w:val="000000" w:themeColor="text1"/>
                <w:sz w:val="22"/>
                <w:szCs w:val="22"/>
              </w:rPr>
              <w:t>0.002</w:t>
            </w:r>
          </w:p>
        </w:tc>
        <w:tc>
          <w:tcPr>
            <w:tcW w:w="1041" w:type="dxa"/>
            <w:tcBorders>
              <w:top w:val="nil"/>
              <w:left w:val="nil"/>
              <w:bottom w:val="nil"/>
              <w:right w:val="nil"/>
            </w:tcBorders>
            <w:vAlign w:val="bottom"/>
          </w:tcPr>
          <w:p w14:paraId="08651D27" w14:textId="7D6EC256" w:rsidR="006E4AF2" w:rsidRPr="00BF04E0" w:rsidRDefault="006E4AF2" w:rsidP="006A4A7C">
            <w:pPr>
              <w:jc w:val="center"/>
              <w:rPr>
                <w:color w:val="000000" w:themeColor="text1"/>
                <w:sz w:val="22"/>
                <w:szCs w:val="22"/>
              </w:rPr>
            </w:pPr>
            <w:r w:rsidRPr="00BF04E0">
              <w:rPr>
                <w:color w:val="000000" w:themeColor="text1"/>
                <w:sz w:val="22"/>
                <w:szCs w:val="22"/>
              </w:rPr>
              <w:t>0.001</w:t>
            </w:r>
          </w:p>
        </w:tc>
        <w:tc>
          <w:tcPr>
            <w:tcW w:w="1153" w:type="dxa"/>
            <w:gridSpan w:val="2"/>
            <w:tcBorders>
              <w:top w:val="nil"/>
              <w:left w:val="nil"/>
              <w:bottom w:val="nil"/>
              <w:right w:val="nil"/>
            </w:tcBorders>
            <w:shd w:val="clear" w:color="auto" w:fill="auto"/>
            <w:noWrap/>
            <w:vAlign w:val="bottom"/>
            <w:hideMark/>
          </w:tcPr>
          <w:p w14:paraId="2244A457" w14:textId="11CD3489" w:rsidR="006E4AF2" w:rsidRPr="00BF04E0" w:rsidRDefault="006E4AF2" w:rsidP="006A4A7C">
            <w:pPr>
              <w:jc w:val="center"/>
              <w:rPr>
                <w:color w:val="000000" w:themeColor="text1"/>
                <w:sz w:val="22"/>
                <w:szCs w:val="22"/>
              </w:rPr>
            </w:pPr>
            <w:r w:rsidRPr="00BF04E0">
              <w:rPr>
                <w:color w:val="000000" w:themeColor="text1"/>
                <w:sz w:val="22"/>
                <w:szCs w:val="22"/>
              </w:rPr>
              <w:t>0.003</w:t>
            </w:r>
          </w:p>
        </w:tc>
        <w:tc>
          <w:tcPr>
            <w:tcW w:w="1243" w:type="dxa"/>
            <w:gridSpan w:val="2"/>
            <w:tcBorders>
              <w:top w:val="nil"/>
              <w:left w:val="nil"/>
              <w:bottom w:val="nil"/>
              <w:right w:val="nil"/>
            </w:tcBorders>
            <w:shd w:val="clear" w:color="auto" w:fill="auto"/>
            <w:noWrap/>
            <w:vAlign w:val="bottom"/>
            <w:hideMark/>
          </w:tcPr>
          <w:p w14:paraId="3E61732D" w14:textId="34F3EBAB" w:rsidR="006E4AF2" w:rsidRPr="00BF04E0" w:rsidRDefault="006E4AF2" w:rsidP="006A4A7C">
            <w:pPr>
              <w:jc w:val="center"/>
              <w:rPr>
                <w:color w:val="000000" w:themeColor="text1"/>
                <w:sz w:val="22"/>
                <w:szCs w:val="22"/>
              </w:rPr>
            </w:pPr>
            <w:r w:rsidRPr="00BF04E0">
              <w:rPr>
                <w:color w:val="000000" w:themeColor="text1"/>
                <w:sz w:val="22"/>
                <w:szCs w:val="22"/>
              </w:rPr>
              <w:t>0.003</w:t>
            </w:r>
          </w:p>
        </w:tc>
        <w:tc>
          <w:tcPr>
            <w:tcW w:w="1153" w:type="dxa"/>
            <w:gridSpan w:val="3"/>
            <w:tcBorders>
              <w:top w:val="nil"/>
              <w:left w:val="nil"/>
              <w:bottom w:val="nil"/>
              <w:right w:val="nil"/>
            </w:tcBorders>
            <w:shd w:val="clear" w:color="auto" w:fill="auto"/>
            <w:noWrap/>
            <w:vAlign w:val="bottom"/>
            <w:hideMark/>
          </w:tcPr>
          <w:p w14:paraId="3B8C4975" w14:textId="2D353F6B" w:rsidR="006E4AF2" w:rsidRPr="00BF04E0" w:rsidRDefault="006E4AF2" w:rsidP="006A4A7C">
            <w:pPr>
              <w:jc w:val="center"/>
              <w:rPr>
                <w:color w:val="000000" w:themeColor="text1"/>
                <w:sz w:val="22"/>
                <w:szCs w:val="22"/>
              </w:rPr>
            </w:pPr>
            <w:r w:rsidRPr="00BF04E0">
              <w:rPr>
                <w:color w:val="000000" w:themeColor="text1"/>
                <w:sz w:val="22"/>
                <w:szCs w:val="22"/>
              </w:rPr>
              <w:t>0.003</w:t>
            </w:r>
          </w:p>
        </w:tc>
      </w:tr>
      <w:tr w:rsidR="009368FD" w:rsidRPr="00BF04E0" w14:paraId="2019B01D" w14:textId="77777777" w:rsidTr="00D02AB1">
        <w:trPr>
          <w:gridAfter w:val="1"/>
          <w:wAfter w:w="138" w:type="dxa"/>
          <w:trHeight w:val="280"/>
        </w:trPr>
        <w:tc>
          <w:tcPr>
            <w:tcW w:w="1903" w:type="dxa"/>
            <w:tcBorders>
              <w:top w:val="nil"/>
              <w:left w:val="nil"/>
              <w:bottom w:val="nil"/>
              <w:right w:val="nil"/>
            </w:tcBorders>
            <w:shd w:val="clear" w:color="auto" w:fill="auto"/>
            <w:noWrap/>
            <w:vAlign w:val="bottom"/>
            <w:hideMark/>
          </w:tcPr>
          <w:p w14:paraId="425DC545" w14:textId="77777777" w:rsidR="006E4AF2" w:rsidRPr="00BF04E0" w:rsidRDefault="006E4AF2" w:rsidP="006A4A7C">
            <w:pPr>
              <w:jc w:val="center"/>
              <w:rPr>
                <w:color w:val="000000" w:themeColor="text1"/>
                <w:sz w:val="22"/>
                <w:szCs w:val="22"/>
              </w:rPr>
            </w:pPr>
          </w:p>
        </w:tc>
        <w:tc>
          <w:tcPr>
            <w:tcW w:w="1152" w:type="dxa"/>
            <w:tcBorders>
              <w:top w:val="nil"/>
              <w:left w:val="nil"/>
              <w:bottom w:val="nil"/>
              <w:right w:val="nil"/>
            </w:tcBorders>
            <w:shd w:val="clear" w:color="auto" w:fill="auto"/>
            <w:noWrap/>
            <w:vAlign w:val="bottom"/>
            <w:hideMark/>
          </w:tcPr>
          <w:p w14:paraId="2265BCBD" w14:textId="01EFD572" w:rsidR="006E4AF2" w:rsidRPr="00BF04E0" w:rsidRDefault="006E4AF2" w:rsidP="006A4A7C">
            <w:pPr>
              <w:jc w:val="center"/>
              <w:rPr>
                <w:color w:val="000000" w:themeColor="text1"/>
                <w:sz w:val="22"/>
                <w:szCs w:val="22"/>
              </w:rPr>
            </w:pPr>
            <w:r w:rsidRPr="00BF04E0">
              <w:rPr>
                <w:color w:val="000000" w:themeColor="text1"/>
                <w:sz w:val="22"/>
                <w:szCs w:val="22"/>
              </w:rPr>
              <w:t>(1.14)</w:t>
            </w:r>
          </w:p>
        </w:tc>
        <w:tc>
          <w:tcPr>
            <w:tcW w:w="1153" w:type="dxa"/>
            <w:tcBorders>
              <w:top w:val="nil"/>
              <w:left w:val="nil"/>
              <w:bottom w:val="nil"/>
              <w:right w:val="nil"/>
            </w:tcBorders>
            <w:shd w:val="clear" w:color="auto" w:fill="auto"/>
            <w:noWrap/>
            <w:vAlign w:val="bottom"/>
            <w:hideMark/>
          </w:tcPr>
          <w:p w14:paraId="34065BE1" w14:textId="6DCC3B33" w:rsidR="006E4AF2" w:rsidRPr="00BF04E0" w:rsidRDefault="006E4AF2" w:rsidP="006A4A7C">
            <w:pPr>
              <w:jc w:val="center"/>
              <w:rPr>
                <w:color w:val="000000" w:themeColor="text1"/>
                <w:sz w:val="22"/>
                <w:szCs w:val="22"/>
              </w:rPr>
            </w:pPr>
            <w:r w:rsidRPr="00BF04E0">
              <w:rPr>
                <w:color w:val="000000" w:themeColor="text1"/>
                <w:sz w:val="22"/>
                <w:szCs w:val="22"/>
              </w:rPr>
              <w:t>(0.31)</w:t>
            </w:r>
          </w:p>
        </w:tc>
        <w:tc>
          <w:tcPr>
            <w:tcW w:w="1041" w:type="dxa"/>
            <w:tcBorders>
              <w:top w:val="nil"/>
              <w:left w:val="nil"/>
              <w:bottom w:val="nil"/>
              <w:right w:val="nil"/>
            </w:tcBorders>
            <w:vAlign w:val="bottom"/>
          </w:tcPr>
          <w:p w14:paraId="10990367" w14:textId="4799107E" w:rsidR="006E4AF2" w:rsidRPr="00BF04E0" w:rsidRDefault="006E4AF2" w:rsidP="006A4A7C">
            <w:pPr>
              <w:jc w:val="center"/>
              <w:rPr>
                <w:color w:val="000000" w:themeColor="text1"/>
                <w:sz w:val="22"/>
                <w:szCs w:val="22"/>
              </w:rPr>
            </w:pPr>
            <w:r w:rsidRPr="00BF04E0">
              <w:rPr>
                <w:color w:val="000000" w:themeColor="text1"/>
                <w:sz w:val="22"/>
                <w:szCs w:val="22"/>
              </w:rPr>
              <w:t>(0.34)</w:t>
            </w:r>
          </w:p>
        </w:tc>
        <w:tc>
          <w:tcPr>
            <w:tcW w:w="1153" w:type="dxa"/>
            <w:gridSpan w:val="2"/>
            <w:tcBorders>
              <w:top w:val="nil"/>
              <w:left w:val="nil"/>
              <w:bottom w:val="nil"/>
              <w:right w:val="nil"/>
            </w:tcBorders>
            <w:shd w:val="clear" w:color="auto" w:fill="auto"/>
            <w:noWrap/>
            <w:vAlign w:val="bottom"/>
            <w:hideMark/>
          </w:tcPr>
          <w:p w14:paraId="72FF8992" w14:textId="2A1C092E" w:rsidR="006E4AF2" w:rsidRPr="00BF04E0" w:rsidRDefault="006E4AF2" w:rsidP="006A4A7C">
            <w:pPr>
              <w:jc w:val="center"/>
              <w:rPr>
                <w:color w:val="000000" w:themeColor="text1"/>
                <w:sz w:val="22"/>
                <w:szCs w:val="22"/>
              </w:rPr>
            </w:pPr>
            <w:r w:rsidRPr="00BF04E0">
              <w:rPr>
                <w:color w:val="000000" w:themeColor="text1"/>
                <w:sz w:val="22"/>
                <w:szCs w:val="22"/>
              </w:rPr>
              <w:t>(0.57)</w:t>
            </w:r>
          </w:p>
        </w:tc>
        <w:tc>
          <w:tcPr>
            <w:tcW w:w="1243" w:type="dxa"/>
            <w:gridSpan w:val="2"/>
            <w:tcBorders>
              <w:top w:val="nil"/>
              <w:left w:val="nil"/>
              <w:bottom w:val="nil"/>
              <w:right w:val="nil"/>
            </w:tcBorders>
            <w:shd w:val="clear" w:color="auto" w:fill="auto"/>
            <w:noWrap/>
            <w:vAlign w:val="bottom"/>
            <w:hideMark/>
          </w:tcPr>
          <w:p w14:paraId="504DA724" w14:textId="5CD0A49E" w:rsidR="006E4AF2" w:rsidRPr="00BF04E0" w:rsidRDefault="006E4AF2" w:rsidP="006A4A7C">
            <w:pPr>
              <w:jc w:val="center"/>
              <w:rPr>
                <w:color w:val="000000" w:themeColor="text1"/>
                <w:sz w:val="22"/>
                <w:szCs w:val="22"/>
              </w:rPr>
            </w:pPr>
            <w:r w:rsidRPr="00BF04E0">
              <w:rPr>
                <w:color w:val="000000" w:themeColor="text1"/>
                <w:sz w:val="22"/>
                <w:szCs w:val="22"/>
              </w:rPr>
              <w:t>(0.64)</w:t>
            </w:r>
          </w:p>
        </w:tc>
        <w:tc>
          <w:tcPr>
            <w:tcW w:w="1153" w:type="dxa"/>
            <w:gridSpan w:val="3"/>
            <w:tcBorders>
              <w:top w:val="nil"/>
              <w:left w:val="nil"/>
              <w:bottom w:val="nil"/>
              <w:right w:val="nil"/>
            </w:tcBorders>
            <w:shd w:val="clear" w:color="auto" w:fill="auto"/>
            <w:noWrap/>
            <w:vAlign w:val="bottom"/>
            <w:hideMark/>
          </w:tcPr>
          <w:p w14:paraId="4E11E8B8" w14:textId="37C77908" w:rsidR="006E4AF2" w:rsidRPr="00BF04E0" w:rsidRDefault="006E4AF2" w:rsidP="006A4A7C">
            <w:pPr>
              <w:jc w:val="center"/>
              <w:rPr>
                <w:color w:val="000000" w:themeColor="text1"/>
                <w:sz w:val="22"/>
                <w:szCs w:val="22"/>
              </w:rPr>
            </w:pPr>
            <w:r w:rsidRPr="00BF04E0">
              <w:rPr>
                <w:color w:val="000000" w:themeColor="text1"/>
                <w:sz w:val="22"/>
                <w:szCs w:val="22"/>
              </w:rPr>
              <w:t>(0.58)</w:t>
            </w:r>
          </w:p>
        </w:tc>
      </w:tr>
      <w:tr w:rsidR="009368FD" w:rsidRPr="00BF04E0" w14:paraId="69E3DC78" w14:textId="77777777" w:rsidTr="00D02AB1">
        <w:trPr>
          <w:gridAfter w:val="1"/>
          <w:wAfter w:w="138" w:type="dxa"/>
          <w:trHeight w:val="280"/>
        </w:trPr>
        <w:tc>
          <w:tcPr>
            <w:tcW w:w="1903" w:type="dxa"/>
            <w:tcBorders>
              <w:top w:val="nil"/>
              <w:left w:val="nil"/>
              <w:bottom w:val="nil"/>
              <w:right w:val="nil"/>
            </w:tcBorders>
            <w:shd w:val="clear" w:color="auto" w:fill="auto"/>
            <w:noWrap/>
            <w:vAlign w:val="bottom"/>
            <w:hideMark/>
          </w:tcPr>
          <w:p w14:paraId="14861723" w14:textId="77777777" w:rsidR="006E4AF2" w:rsidRPr="00BF04E0" w:rsidRDefault="006E4AF2" w:rsidP="006A4A7C">
            <w:pPr>
              <w:jc w:val="center"/>
              <w:rPr>
                <w:color w:val="000000" w:themeColor="text1"/>
                <w:sz w:val="22"/>
                <w:szCs w:val="22"/>
              </w:rPr>
            </w:pPr>
            <w:proofErr w:type="spellStart"/>
            <w:r w:rsidRPr="00BF04E0">
              <w:rPr>
                <w:color w:val="000000" w:themeColor="text1"/>
                <w:sz w:val="22"/>
                <w:szCs w:val="22"/>
              </w:rPr>
              <w:t>λ</w:t>
            </w:r>
            <w:r w:rsidRPr="00BF04E0">
              <w:rPr>
                <w:color w:val="000000" w:themeColor="text1"/>
                <w:sz w:val="22"/>
                <w:szCs w:val="22"/>
                <w:vertAlign w:val="subscript"/>
              </w:rPr>
              <w:t>SMB</w:t>
            </w:r>
            <w:proofErr w:type="spellEnd"/>
          </w:p>
        </w:tc>
        <w:tc>
          <w:tcPr>
            <w:tcW w:w="1152" w:type="dxa"/>
            <w:tcBorders>
              <w:top w:val="nil"/>
              <w:left w:val="nil"/>
              <w:bottom w:val="nil"/>
              <w:right w:val="nil"/>
            </w:tcBorders>
            <w:shd w:val="clear" w:color="auto" w:fill="auto"/>
            <w:noWrap/>
            <w:vAlign w:val="bottom"/>
            <w:hideMark/>
          </w:tcPr>
          <w:p w14:paraId="773261F1" w14:textId="1C1433F9" w:rsidR="006E4AF2" w:rsidRPr="00BF04E0" w:rsidRDefault="006E4AF2" w:rsidP="006A4A7C">
            <w:pPr>
              <w:jc w:val="center"/>
              <w:rPr>
                <w:color w:val="000000" w:themeColor="text1"/>
                <w:sz w:val="22"/>
                <w:szCs w:val="22"/>
              </w:rPr>
            </w:pPr>
            <w:r w:rsidRPr="00BF04E0">
              <w:rPr>
                <w:color w:val="000000" w:themeColor="text1"/>
                <w:sz w:val="22"/>
                <w:szCs w:val="22"/>
              </w:rPr>
              <w:t>-0.003</w:t>
            </w:r>
          </w:p>
        </w:tc>
        <w:tc>
          <w:tcPr>
            <w:tcW w:w="1153" w:type="dxa"/>
            <w:tcBorders>
              <w:top w:val="nil"/>
              <w:left w:val="nil"/>
              <w:bottom w:val="nil"/>
              <w:right w:val="nil"/>
            </w:tcBorders>
            <w:shd w:val="clear" w:color="auto" w:fill="auto"/>
            <w:noWrap/>
            <w:vAlign w:val="bottom"/>
            <w:hideMark/>
          </w:tcPr>
          <w:p w14:paraId="62E45EA6" w14:textId="1834C2A5" w:rsidR="006E4AF2" w:rsidRPr="00BF04E0" w:rsidRDefault="006E4AF2" w:rsidP="006A4A7C">
            <w:pPr>
              <w:jc w:val="center"/>
              <w:rPr>
                <w:color w:val="000000" w:themeColor="text1"/>
                <w:sz w:val="22"/>
                <w:szCs w:val="22"/>
              </w:rPr>
            </w:pPr>
            <w:r w:rsidRPr="00BF04E0">
              <w:rPr>
                <w:color w:val="000000" w:themeColor="text1"/>
                <w:sz w:val="22"/>
                <w:szCs w:val="22"/>
              </w:rPr>
              <w:t>0.007</w:t>
            </w:r>
          </w:p>
        </w:tc>
        <w:tc>
          <w:tcPr>
            <w:tcW w:w="1041" w:type="dxa"/>
            <w:tcBorders>
              <w:top w:val="nil"/>
              <w:left w:val="nil"/>
              <w:bottom w:val="nil"/>
              <w:right w:val="nil"/>
            </w:tcBorders>
            <w:vAlign w:val="bottom"/>
          </w:tcPr>
          <w:p w14:paraId="603D9BCC" w14:textId="53903606" w:rsidR="006E4AF2" w:rsidRPr="00BF04E0" w:rsidRDefault="006E4AF2" w:rsidP="006A4A7C">
            <w:pPr>
              <w:jc w:val="center"/>
              <w:rPr>
                <w:color w:val="000000" w:themeColor="text1"/>
                <w:sz w:val="22"/>
                <w:szCs w:val="22"/>
              </w:rPr>
            </w:pPr>
            <w:r w:rsidRPr="00BF04E0">
              <w:rPr>
                <w:color w:val="000000" w:themeColor="text1"/>
                <w:sz w:val="22"/>
                <w:szCs w:val="22"/>
              </w:rPr>
              <w:t>-0.004</w:t>
            </w:r>
          </w:p>
        </w:tc>
        <w:tc>
          <w:tcPr>
            <w:tcW w:w="1153" w:type="dxa"/>
            <w:gridSpan w:val="2"/>
            <w:tcBorders>
              <w:top w:val="nil"/>
              <w:left w:val="nil"/>
              <w:bottom w:val="nil"/>
              <w:right w:val="nil"/>
            </w:tcBorders>
            <w:shd w:val="clear" w:color="auto" w:fill="auto"/>
            <w:noWrap/>
            <w:vAlign w:val="bottom"/>
            <w:hideMark/>
          </w:tcPr>
          <w:p w14:paraId="6E0FE922" w14:textId="59244A27" w:rsidR="006E4AF2" w:rsidRPr="00BF04E0" w:rsidRDefault="006E4AF2" w:rsidP="006A4A7C">
            <w:pPr>
              <w:jc w:val="center"/>
              <w:rPr>
                <w:color w:val="000000" w:themeColor="text1"/>
                <w:sz w:val="22"/>
                <w:szCs w:val="22"/>
              </w:rPr>
            </w:pPr>
            <w:r w:rsidRPr="00BF04E0">
              <w:rPr>
                <w:color w:val="000000" w:themeColor="text1"/>
                <w:sz w:val="22"/>
                <w:szCs w:val="22"/>
              </w:rPr>
              <w:t>-0.002</w:t>
            </w:r>
          </w:p>
        </w:tc>
        <w:tc>
          <w:tcPr>
            <w:tcW w:w="1243" w:type="dxa"/>
            <w:gridSpan w:val="2"/>
            <w:tcBorders>
              <w:top w:val="nil"/>
              <w:left w:val="nil"/>
              <w:bottom w:val="nil"/>
              <w:right w:val="nil"/>
            </w:tcBorders>
            <w:shd w:val="clear" w:color="auto" w:fill="auto"/>
            <w:noWrap/>
            <w:vAlign w:val="bottom"/>
            <w:hideMark/>
          </w:tcPr>
          <w:p w14:paraId="736FAD97" w14:textId="340F2DA0" w:rsidR="006E4AF2" w:rsidRPr="00BF04E0" w:rsidRDefault="006E4AF2" w:rsidP="006A4A7C">
            <w:pPr>
              <w:jc w:val="center"/>
              <w:rPr>
                <w:color w:val="000000" w:themeColor="text1"/>
                <w:sz w:val="22"/>
                <w:szCs w:val="22"/>
              </w:rPr>
            </w:pPr>
            <w:r w:rsidRPr="00BF04E0">
              <w:rPr>
                <w:color w:val="000000" w:themeColor="text1"/>
                <w:sz w:val="22"/>
                <w:szCs w:val="22"/>
              </w:rPr>
              <w:t>-0.002</w:t>
            </w:r>
          </w:p>
        </w:tc>
        <w:tc>
          <w:tcPr>
            <w:tcW w:w="1153" w:type="dxa"/>
            <w:gridSpan w:val="3"/>
            <w:tcBorders>
              <w:top w:val="nil"/>
              <w:left w:val="nil"/>
              <w:bottom w:val="nil"/>
              <w:right w:val="nil"/>
            </w:tcBorders>
            <w:shd w:val="clear" w:color="auto" w:fill="auto"/>
            <w:noWrap/>
            <w:vAlign w:val="bottom"/>
            <w:hideMark/>
          </w:tcPr>
          <w:p w14:paraId="1E637DF5" w14:textId="44985D9A" w:rsidR="006E4AF2" w:rsidRPr="00BF04E0" w:rsidRDefault="006E4AF2" w:rsidP="006A4A7C">
            <w:pPr>
              <w:jc w:val="center"/>
              <w:rPr>
                <w:color w:val="000000" w:themeColor="text1"/>
                <w:sz w:val="22"/>
                <w:szCs w:val="22"/>
              </w:rPr>
            </w:pPr>
            <w:r w:rsidRPr="00BF04E0">
              <w:rPr>
                <w:color w:val="000000" w:themeColor="text1"/>
                <w:sz w:val="22"/>
                <w:szCs w:val="22"/>
              </w:rPr>
              <w:t>-0.000</w:t>
            </w:r>
          </w:p>
        </w:tc>
      </w:tr>
      <w:tr w:rsidR="009368FD" w:rsidRPr="00BF04E0" w14:paraId="7B2F0290" w14:textId="77777777" w:rsidTr="00D02AB1">
        <w:trPr>
          <w:gridAfter w:val="1"/>
          <w:wAfter w:w="138" w:type="dxa"/>
          <w:trHeight w:val="280"/>
        </w:trPr>
        <w:tc>
          <w:tcPr>
            <w:tcW w:w="1903" w:type="dxa"/>
            <w:tcBorders>
              <w:top w:val="nil"/>
              <w:left w:val="nil"/>
              <w:bottom w:val="nil"/>
              <w:right w:val="nil"/>
            </w:tcBorders>
            <w:shd w:val="clear" w:color="auto" w:fill="auto"/>
            <w:noWrap/>
            <w:vAlign w:val="bottom"/>
            <w:hideMark/>
          </w:tcPr>
          <w:p w14:paraId="658DD7D6" w14:textId="77777777" w:rsidR="006E4AF2" w:rsidRPr="00BF04E0" w:rsidRDefault="006E4AF2" w:rsidP="006A4A7C">
            <w:pPr>
              <w:jc w:val="center"/>
              <w:rPr>
                <w:color w:val="000000" w:themeColor="text1"/>
                <w:sz w:val="22"/>
                <w:szCs w:val="22"/>
              </w:rPr>
            </w:pPr>
          </w:p>
        </w:tc>
        <w:tc>
          <w:tcPr>
            <w:tcW w:w="1152" w:type="dxa"/>
            <w:tcBorders>
              <w:top w:val="nil"/>
              <w:left w:val="nil"/>
              <w:bottom w:val="nil"/>
              <w:right w:val="nil"/>
            </w:tcBorders>
            <w:shd w:val="clear" w:color="auto" w:fill="auto"/>
            <w:noWrap/>
            <w:vAlign w:val="bottom"/>
            <w:hideMark/>
          </w:tcPr>
          <w:p w14:paraId="0D9E0A55" w14:textId="61AFFC75" w:rsidR="006E4AF2" w:rsidRPr="00BF04E0" w:rsidRDefault="006E4AF2" w:rsidP="006A4A7C">
            <w:pPr>
              <w:jc w:val="center"/>
              <w:rPr>
                <w:color w:val="000000" w:themeColor="text1"/>
                <w:sz w:val="22"/>
                <w:szCs w:val="22"/>
              </w:rPr>
            </w:pPr>
            <w:r w:rsidRPr="00BF04E0">
              <w:rPr>
                <w:color w:val="000000" w:themeColor="text1"/>
                <w:sz w:val="22"/>
                <w:szCs w:val="22"/>
              </w:rPr>
              <w:t>(-1.26)</w:t>
            </w:r>
          </w:p>
        </w:tc>
        <w:tc>
          <w:tcPr>
            <w:tcW w:w="1153" w:type="dxa"/>
            <w:tcBorders>
              <w:top w:val="nil"/>
              <w:left w:val="nil"/>
              <w:bottom w:val="nil"/>
              <w:right w:val="nil"/>
            </w:tcBorders>
            <w:shd w:val="clear" w:color="auto" w:fill="auto"/>
            <w:noWrap/>
            <w:vAlign w:val="bottom"/>
            <w:hideMark/>
          </w:tcPr>
          <w:p w14:paraId="02FF0D57" w14:textId="79028CAE" w:rsidR="006E4AF2" w:rsidRPr="00BF04E0" w:rsidRDefault="006E4AF2" w:rsidP="006A4A7C">
            <w:pPr>
              <w:jc w:val="center"/>
              <w:rPr>
                <w:color w:val="000000" w:themeColor="text1"/>
                <w:sz w:val="22"/>
                <w:szCs w:val="22"/>
              </w:rPr>
            </w:pPr>
            <w:r w:rsidRPr="00BF04E0">
              <w:rPr>
                <w:color w:val="000000" w:themeColor="text1"/>
                <w:sz w:val="22"/>
                <w:szCs w:val="22"/>
              </w:rPr>
              <w:t>(0.62)</w:t>
            </w:r>
          </w:p>
        </w:tc>
        <w:tc>
          <w:tcPr>
            <w:tcW w:w="1041" w:type="dxa"/>
            <w:tcBorders>
              <w:top w:val="nil"/>
              <w:left w:val="nil"/>
              <w:bottom w:val="nil"/>
              <w:right w:val="nil"/>
            </w:tcBorders>
            <w:vAlign w:val="bottom"/>
          </w:tcPr>
          <w:p w14:paraId="208C4113" w14:textId="5B0BB04D" w:rsidR="006E4AF2" w:rsidRPr="00BF04E0" w:rsidRDefault="006E4AF2" w:rsidP="006A4A7C">
            <w:pPr>
              <w:jc w:val="center"/>
              <w:rPr>
                <w:color w:val="000000" w:themeColor="text1"/>
                <w:sz w:val="22"/>
                <w:szCs w:val="22"/>
              </w:rPr>
            </w:pPr>
            <w:r w:rsidRPr="00BF04E0">
              <w:rPr>
                <w:color w:val="000000" w:themeColor="text1"/>
                <w:sz w:val="22"/>
                <w:szCs w:val="22"/>
              </w:rPr>
              <w:t>(-1.16)</w:t>
            </w:r>
          </w:p>
        </w:tc>
        <w:tc>
          <w:tcPr>
            <w:tcW w:w="1153" w:type="dxa"/>
            <w:gridSpan w:val="2"/>
            <w:tcBorders>
              <w:top w:val="nil"/>
              <w:left w:val="nil"/>
              <w:bottom w:val="nil"/>
              <w:right w:val="nil"/>
            </w:tcBorders>
            <w:shd w:val="clear" w:color="auto" w:fill="auto"/>
            <w:noWrap/>
            <w:vAlign w:val="bottom"/>
            <w:hideMark/>
          </w:tcPr>
          <w:p w14:paraId="0DAF6766" w14:textId="368ED4F3" w:rsidR="006E4AF2" w:rsidRPr="00BF04E0" w:rsidRDefault="006E4AF2" w:rsidP="006A4A7C">
            <w:pPr>
              <w:jc w:val="center"/>
              <w:rPr>
                <w:color w:val="000000" w:themeColor="text1"/>
                <w:sz w:val="22"/>
                <w:szCs w:val="22"/>
              </w:rPr>
            </w:pPr>
            <w:r w:rsidRPr="00BF04E0">
              <w:rPr>
                <w:color w:val="000000" w:themeColor="text1"/>
                <w:sz w:val="22"/>
                <w:szCs w:val="22"/>
              </w:rPr>
              <w:t>(-0.51)</w:t>
            </w:r>
          </w:p>
        </w:tc>
        <w:tc>
          <w:tcPr>
            <w:tcW w:w="1243" w:type="dxa"/>
            <w:gridSpan w:val="2"/>
            <w:tcBorders>
              <w:top w:val="nil"/>
              <w:left w:val="nil"/>
              <w:bottom w:val="nil"/>
              <w:right w:val="nil"/>
            </w:tcBorders>
            <w:shd w:val="clear" w:color="auto" w:fill="auto"/>
            <w:noWrap/>
            <w:vAlign w:val="bottom"/>
            <w:hideMark/>
          </w:tcPr>
          <w:p w14:paraId="1D1E6EA7" w14:textId="7EDBF8B2" w:rsidR="006E4AF2" w:rsidRPr="00BF04E0" w:rsidRDefault="006E4AF2" w:rsidP="006A4A7C">
            <w:pPr>
              <w:jc w:val="center"/>
              <w:rPr>
                <w:color w:val="000000" w:themeColor="text1"/>
                <w:sz w:val="22"/>
                <w:szCs w:val="22"/>
              </w:rPr>
            </w:pPr>
            <w:r w:rsidRPr="00BF04E0">
              <w:rPr>
                <w:color w:val="000000" w:themeColor="text1"/>
                <w:sz w:val="22"/>
                <w:szCs w:val="22"/>
              </w:rPr>
              <w:t>(-0.58)</w:t>
            </w:r>
          </w:p>
        </w:tc>
        <w:tc>
          <w:tcPr>
            <w:tcW w:w="1153" w:type="dxa"/>
            <w:gridSpan w:val="3"/>
            <w:tcBorders>
              <w:top w:val="nil"/>
              <w:left w:val="nil"/>
              <w:bottom w:val="nil"/>
              <w:right w:val="nil"/>
            </w:tcBorders>
            <w:shd w:val="clear" w:color="auto" w:fill="auto"/>
            <w:noWrap/>
            <w:vAlign w:val="bottom"/>
            <w:hideMark/>
          </w:tcPr>
          <w:p w14:paraId="3387C8CC" w14:textId="653D6D12" w:rsidR="006E4AF2" w:rsidRPr="00BF04E0" w:rsidRDefault="006E4AF2" w:rsidP="006A4A7C">
            <w:pPr>
              <w:jc w:val="center"/>
              <w:rPr>
                <w:color w:val="000000" w:themeColor="text1"/>
                <w:sz w:val="22"/>
                <w:szCs w:val="22"/>
              </w:rPr>
            </w:pPr>
            <w:r w:rsidRPr="00BF04E0">
              <w:rPr>
                <w:color w:val="000000" w:themeColor="text1"/>
                <w:sz w:val="22"/>
                <w:szCs w:val="22"/>
              </w:rPr>
              <w:t>(-0.16)</w:t>
            </w:r>
          </w:p>
        </w:tc>
      </w:tr>
      <w:tr w:rsidR="009368FD" w:rsidRPr="00BF04E0" w14:paraId="5321E643" w14:textId="77777777" w:rsidTr="00D02AB1">
        <w:trPr>
          <w:gridAfter w:val="1"/>
          <w:wAfter w:w="138" w:type="dxa"/>
          <w:trHeight w:val="280"/>
        </w:trPr>
        <w:tc>
          <w:tcPr>
            <w:tcW w:w="1903" w:type="dxa"/>
            <w:tcBorders>
              <w:top w:val="nil"/>
              <w:left w:val="nil"/>
              <w:bottom w:val="nil"/>
              <w:right w:val="nil"/>
            </w:tcBorders>
            <w:shd w:val="clear" w:color="auto" w:fill="auto"/>
            <w:noWrap/>
            <w:vAlign w:val="bottom"/>
            <w:hideMark/>
          </w:tcPr>
          <w:p w14:paraId="558240F4" w14:textId="77777777" w:rsidR="006E4AF2" w:rsidRPr="00BF04E0" w:rsidRDefault="006E4AF2" w:rsidP="006A4A7C">
            <w:pPr>
              <w:jc w:val="center"/>
              <w:rPr>
                <w:color w:val="000000" w:themeColor="text1"/>
                <w:sz w:val="22"/>
                <w:szCs w:val="22"/>
              </w:rPr>
            </w:pPr>
            <w:proofErr w:type="spellStart"/>
            <w:r w:rsidRPr="00BF04E0">
              <w:rPr>
                <w:color w:val="000000" w:themeColor="text1"/>
                <w:sz w:val="22"/>
                <w:szCs w:val="22"/>
              </w:rPr>
              <w:t>λ</w:t>
            </w:r>
            <w:r w:rsidRPr="00BF04E0">
              <w:rPr>
                <w:color w:val="000000" w:themeColor="text1"/>
                <w:sz w:val="22"/>
                <w:szCs w:val="22"/>
                <w:vertAlign w:val="subscript"/>
              </w:rPr>
              <w:t>HML</w:t>
            </w:r>
            <w:proofErr w:type="spellEnd"/>
          </w:p>
        </w:tc>
        <w:tc>
          <w:tcPr>
            <w:tcW w:w="1152" w:type="dxa"/>
            <w:tcBorders>
              <w:top w:val="nil"/>
              <w:left w:val="nil"/>
              <w:bottom w:val="nil"/>
              <w:right w:val="nil"/>
            </w:tcBorders>
            <w:shd w:val="clear" w:color="auto" w:fill="auto"/>
            <w:noWrap/>
            <w:vAlign w:val="bottom"/>
            <w:hideMark/>
          </w:tcPr>
          <w:p w14:paraId="0102A730" w14:textId="188EB67F" w:rsidR="006E4AF2" w:rsidRPr="00BF04E0" w:rsidRDefault="006E4AF2" w:rsidP="006A4A7C">
            <w:pPr>
              <w:jc w:val="center"/>
              <w:rPr>
                <w:color w:val="000000" w:themeColor="text1"/>
                <w:sz w:val="22"/>
                <w:szCs w:val="22"/>
              </w:rPr>
            </w:pPr>
            <w:r w:rsidRPr="00BF04E0">
              <w:rPr>
                <w:color w:val="000000" w:themeColor="text1"/>
                <w:sz w:val="22"/>
                <w:szCs w:val="22"/>
              </w:rPr>
              <w:t>0.000</w:t>
            </w:r>
          </w:p>
        </w:tc>
        <w:tc>
          <w:tcPr>
            <w:tcW w:w="1153" w:type="dxa"/>
            <w:tcBorders>
              <w:top w:val="nil"/>
              <w:left w:val="nil"/>
              <w:bottom w:val="nil"/>
              <w:right w:val="nil"/>
            </w:tcBorders>
            <w:shd w:val="clear" w:color="auto" w:fill="auto"/>
            <w:noWrap/>
            <w:vAlign w:val="bottom"/>
            <w:hideMark/>
          </w:tcPr>
          <w:p w14:paraId="5DD4880B" w14:textId="07938381" w:rsidR="006E4AF2" w:rsidRPr="00BF04E0" w:rsidRDefault="006E4AF2" w:rsidP="006A4A7C">
            <w:pPr>
              <w:jc w:val="center"/>
              <w:rPr>
                <w:color w:val="000000" w:themeColor="text1"/>
                <w:sz w:val="22"/>
                <w:szCs w:val="22"/>
              </w:rPr>
            </w:pPr>
            <w:r w:rsidRPr="00BF04E0">
              <w:rPr>
                <w:color w:val="000000" w:themeColor="text1"/>
                <w:sz w:val="22"/>
                <w:szCs w:val="22"/>
              </w:rPr>
              <w:t>-0.013</w:t>
            </w:r>
          </w:p>
        </w:tc>
        <w:tc>
          <w:tcPr>
            <w:tcW w:w="1041" w:type="dxa"/>
            <w:tcBorders>
              <w:top w:val="nil"/>
              <w:left w:val="nil"/>
              <w:bottom w:val="nil"/>
              <w:right w:val="nil"/>
            </w:tcBorders>
            <w:vAlign w:val="bottom"/>
          </w:tcPr>
          <w:p w14:paraId="5BBE70B4" w14:textId="015DE724" w:rsidR="006E4AF2" w:rsidRPr="00BF04E0" w:rsidRDefault="006E4AF2" w:rsidP="006A4A7C">
            <w:pPr>
              <w:jc w:val="center"/>
              <w:rPr>
                <w:color w:val="000000" w:themeColor="text1"/>
                <w:sz w:val="22"/>
                <w:szCs w:val="22"/>
              </w:rPr>
            </w:pPr>
            <w:r w:rsidRPr="00BF04E0">
              <w:rPr>
                <w:color w:val="000000" w:themeColor="text1"/>
                <w:sz w:val="22"/>
                <w:szCs w:val="22"/>
              </w:rPr>
              <w:t>-0.001</w:t>
            </w:r>
          </w:p>
        </w:tc>
        <w:tc>
          <w:tcPr>
            <w:tcW w:w="1153" w:type="dxa"/>
            <w:gridSpan w:val="2"/>
            <w:tcBorders>
              <w:top w:val="nil"/>
              <w:left w:val="nil"/>
              <w:bottom w:val="nil"/>
              <w:right w:val="nil"/>
            </w:tcBorders>
            <w:shd w:val="clear" w:color="auto" w:fill="auto"/>
            <w:noWrap/>
            <w:vAlign w:val="bottom"/>
            <w:hideMark/>
          </w:tcPr>
          <w:p w14:paraId="3D740343" w14:textId="3FA944BA" w:rsidR="006E4AF2" w:rsidRPr="00BF04E0" w:rsidRDefault="006E4AF2" w:rsidP="006A4A7C">
            <w:pPr>
              <w:jc w:val="center"/>
              <w:rPr>
                <w:color w:val="000000" w:themeColor="text1"/>
                <w:sz w:val="22"/>
                <w:szCs w:val="22"/>
              </w:rPr>
            </w:pPr>
            <w:r w:rsidRPr="00BF04E0">
              <w:rPr>
                <w:color w:val="000000" w:themeColor="text1"/>
                <w:sz w:val="22"/>
                <w:szCs w:val="22"/>
              </w:rPr>
              <w:t>-0.001</w:t>
            </w:r>
          </w:p>
        </w:tc>
        <w:tc>
          <w:tcPr>
            <w:tcW w:w="1243" w:type="dxa"/>
            <w:gridSpan w:val="2"/>
            <w:tcBorders>
              <w:top w:val="nil"/>
              <w:left w:val="nil"/>
              <w:bottom w:val="nil"/>
              <w:right w:val="nil"/>
            </w:tcBorders>
            <w:shd w:val="clear" w:color="auto" w:fill="auto"/>
            <w:noWrap/>
            <w:vAlign w:val="bottom"/>
            <w:hideMark/>
          </w:tcPr>
          <w:p w14:paraId="26ADEA8C" w14:textId="13C04BA9" w:rsidR="006E4AF2" w:rsidRPr="00BF04E0" w:rsidRDefault="006E4AF2" w:rsidP="006A4A7C">
            <w:pPr>
              <w:jc w:val="center"/>
              <w:rPr>
                <w:color w:val="000000" w:themeColor="text1"/>
                <w:sz w:val="22"/>
                <w:szCs w:val="22"/>
              </w:rPr>
            </w:pPr>
            <w:r w:rsidRPr="00BF04E0">
              <w:rPr>
                <w:color w:val="000000" w:themeColor="text1"/>
                <w:sz w:val="22"/>
                <w:szCs w:val="22"/>
              </w:rPr>
              <w:t>0.001</w:t>
            </w:r>
          </w:p>
        </w:tc>
        <w:tc>
          <w:tcPr>
            <w:tcW w:w="1153" w:type="dxa"/>
            <w:gridSpan w:val="3"/>
            <w:tcBorders>
              <w:top w:val="nil"/>
              <w:left w:val="nil"/>
              <w:bottom w:val="nil"/>
              <w:right w:val="nil"/>
            </w:tcBorders>
            <w:shd w:val="clear" w:color="auto" w:fill="auto"/>
            <w:noWrap/>
            <w:vAlign w:val="bottom"/>
            <w:hideMark/>
          </w:tcPr>
          <w:p w14:paraId="790BC217" w14:textId="05EC3A4F" w:rsidR="006E4AF2" w:rsidRPr="00BF04E0" w:rsidRDefault="006E4AF2" w:rsidP="006A4A7C">
            <w:pPr>
              <w:jc w:val="center"/>
              <w:rPr>
                <w:color w:val="000000" w:themeColor="text1"/>
                <w:sz w:val="22"/>
                <w:szCs w:val="22"/>
              </w:rPr>
            </w:pPr>
            <w:r w:rsidRPr="00BF04E0">
              <w:rPr>
                <w:color w:val="000000" w:themeColor="text1"/>
                <w:sz w:val="22"/>
                <w:szCs w:val="22"/>
              </w:rPr>
              <w:t>0.000</w:t>
            </w:r>
          </w:p>
        </w:tc>
      </w:tr>
      <w:tr w:rsidR="009368FD" w:rsidRPr="00BF04E0" w14:paraId="2C28B8C0" w14:textId="77777777" w:rsidTr="00D02AB1">
        <w:trPr>
          <w:gridAfter w:val="1"/>
          <w:wAfter w:w="138" w:type="dxa"/>
          <w:trHeight w:val="280"/>
        </w:trPr>
        <w:tc>
          <w:tcPr>
            <w:tcW w:w="1903" w:type="dxa"/>
            <w:tcBorders>
              <w:top w:val="nil"/>
              <w:left w:val="nil"/>
              <w:bottom w:val="nil"/>
              <w:right w:val="nil"/>
            </w:tcBorders>
            <w:shd w:val="clear" w:color="auto" w:fill="auto"/>
            <w:noWrap/>
            <w:vAlign w:val="bottom"/>
            <w:hideMark/>
          </w:tcPr>
          <w:p w14:paraId="568B868F" w14:textId="77777777" w:rsidR="006E4AF2" w:rsidRPr="00BF04E0" w:rsidRDefault="006E4AF2" w:rsidP="006A4A7C">
            <w:pPr>
              <w:jc w:val="center"/>
              <w:rPr>
                <w:color w:val="000000" w:themeColor="text1"/>
                <w:sz w:val="22"/>
                <w:szCs w:val="22"/>
              </w:rPr>
            </w:pPr>
          </w:p>
        </w:tc>
        <w:tc>
          <w:tcPr>
            <w:tcW w:w="1152" w:type="dxa"/>
            <w:tcBorders>
              <w:top w:val="nil"/>
              <w:left w:val="nil"/>
              <w:bottom w:val="nil"/>
              <w:right w:val="nil"/>
            </w:tcBorders>
            <w:shd w:val="clear" w:color="auto" w:fill="auto"/>
            <w:noWrap/>
            <w:vAlign w:val="bottom"/>
            <w:hideMark/>
          </w:tcPr>
          <w:p w14:paraId="41B5FD35" w14:textId="7E6080EC" w:rsidR="006E4AF2" w:rsidRPr="00BF04E0" w:rsidRDefault="006E4AF2" w:rsidP="006A4A7C">
            <w:pPr>
              <w:jc w:val="center"/>
              <w:rPr>
                <w:color w:val="000000" w:themeColor="text1"/>
                <w:sz w:val="22"/>
                <w:szCs w:val="22"/>
              </w:rPr>
            </w:pPr>
            <w:r w:rsidRPr="00BF04E0">
              <w:rPr>
                <w:color w:val="000000" w:themeColor="text1"/>
                <w:sz w:val="22"/>
                <w:szCs w:val="22"/>
              </w:rPr>
              <w:t>(0.27)</w:t>
            </w:r>
          </w:p>
        </w:tc>
        <w:tc>
          <w:tcPr>
            <w:tcW w:w="1153" w:type="dxa"/>
            <w:tcBorders>
              <w:top w:val="nil"/>
              <w:left w:val="nil"/>
              <w:bottom w:val="nil"/>
              <w:right w:val="nil"/>
            </w:tcBorders>
            <w:shd w:val="clear" w:color="auto" w:fill="auto"/>
            <w:noWrap/>
            <w:vAlign w:val="bottom"/>
            <w:hideMark/>
          </w:tcPr>
          <w:p w14:paraId="7DBFAB3F" w14:textId="3D02F97C" w:rsidR="006E4AF2" w:rsidRPr="00BF04E0" w:rsidRDefault="006E4AF2" w:rsidP="006A4A7C">
            <w:pPr>
              <w:jc w:val="center"/>
              <w:rPr>
                <w:color w:val="000000" w:themeColor="text1"/>
                <w:sz w:val="22"/>
                <w:szCs w:val="22"/>
              </w:rPr>
            </w:pPr>
            <w:r w:rsidRPr="00BF04E0">
              <w:rPr>
                <w:color w:val="000000" w:themeColor="text1"/>
                <w:sz w:val="22"/>
                <w:szCs w:val="22"/>
              </w:rPr>
              <w:t>(-0.90)</w:t>
            </w:r>
          </w:p>
        </w:tc>
        <w:tc>
          <w:tcPr>
            <w:tcW w:w="1041" w:type="dxa"/>
            <w:tcBorders>
              <w:top w:val="nil"/>
              <w:left w:val="nil"/>
              <w:bottom w:val="nil"/>
              <w:right w:val="nil"/>
            </w:tcBorders>
            <w:vAlign w:val="bottom"/>
          </w:tcPr>
          <w:p w14:paraId="17902C82" w14:textId="5E7EDC49" w:rsidR="006E4AF2" w:rsidRPr="00BF04E0" w:rsidRDefault="006E4AF2" w:rsidP="006A4A7C">
            <w:pPr>
              <w:jc w:val="center"/>
              <w:rPr>
                <w:color w:val="000000" w:themeColor="text1"/>
                <w:sz w:val="22"/>
                <w:szCs w:val="22"/>
              </w:rPr>
            </w:pPr>
            <w:r w:rsidRPr="00BF04E0">
              <w:rPr>
                <w:color w:val="000000" w:themeColor="text1"/>
                <w:sz w:val="22"/>
                <w:szCs w:val="22"/>
              </w:rPr>
              <w:t>(-0.38)</w:t>
            </w:r>
          </w:p>
        </w:tc>
        <w:tc>
          <w:tcPr>
            <w:tcW w:w="1153" w:type="dxa"/>
            <w:gridSpan w:val="2"/>
            <w:tcBorders>
              <w:top w:val="nil"/>
              <w:left w:val="nil"/>
              <w:bottom w:val="nil"/>
              <w:right w:val="nil"/>
            </w:tcBorders>
            <w:shd w:val="clear" w:color="auto" w:fill="auto"/>
            <w:noWrap/>
            <w:vAlign w:val="bottom"/>
            <w:hideMark/>
          </w:tcPr>
          <w:p w14:paraId="3D199DA7" w14:textId="33F6A121" w:rsidR="006E4AF2" w:rsidRPr="00BF04E0" w:rsidRDefault="006E4AF2" w:rsidP="006A4A7C">
            <w:pPr>
              <w:jc w:val="center"/>
              <w:rPr>
                <w:color w:val="000000" w:themeColor="text1"/>
                <w:sz w:val="22"/>
                <w:szCs w:val="22"/>
              </w:rPr>
            </w:pPr>
            <w:r w:rsidRPr="00BF04E0">
              <w:rPr>
                <w:color w:val="000000" w:themeColor="text1"/>
                <w:sz w:val="22"/>
                <w:szCs w:val="22"/>
              </w:rPr>
              <w:t>(-0.41)</w:t>
            </w:r>
          </w:p>
        </w:tc>
        <w:tc>
          <w:tcPr>
            <w:tcW w:w="1243" w:type="dxa"/>
            <w:gridSpan w:val="2"/>
            <w:tcBorders>
              <w:top w:val="nil"/>
              <w:left w:val="nil"/>
              <w:bottom w:val="nil"/>
              <w:right w:val="nil"/>
            </w:tcBorders>
            <w:shd w:val="clear" w:color="auto" w:fill="auto"/>
            <w:noWrap/>
            <w:vAlign w:val="bottom"/>
            <w:hideMark/>
          </w:tcPr>
          <w:p w14:paraId="1AC1DC9F" w14:textId="638B72A2" w:rsidR="006E4AF2" w:rsidRPr="00BF04E0" w:rsidRDefault="006E4AF2" w:rsidP="006A4A7C">
            <w:pPr>
              <w:jc w:val="center"/>
              <w:rPr>
                <w:color w:val="000000" w:themeColor="text1"/>
                <w:sz w:val="22"/>
                <w:szCs w:val="22"/>
              </w:rPr>
            </w:pPr>
            <w:r w:rsidRPr="00BF04E0">
              <w:rPr>
                <w:color w:val="000000" w:themeColor="text1"/>
                <w:sz w:val="22"/>
                <w:szCs w:val="22"/>
              </w:rPr>
              <w:t>(0.41)</w:t>
            </w:r>
          </w:p>
        </w:tc>
        <w:tc>
          <w:tcPr>
            <w:tcW w:w="1153" w:type="dxa"/>
            <w:gridSpan w:val="3"/>
            <w:tcBorders>
              <w:top w:val="nil"/>
              <w:left w:val="nil"/>
              <w:bottom w:val="nil"/>
              <w:right w:val="nil"/>
            </w:tcBorders>
            <w:shd w:val="clear" w:color="auto" w:fill="auto"/>
            <w:noWrap/>
            <w:vAlign w:val="bottom"/>
            <w:hideMark/>
          </w:tcPr>
          <w:p w14:paraId="1A398825" w14:textId="6C086032" w:rsidR="006E4AF2" w:rsidRPr="00BF04E0" w:rsidRDefault="006E4AF2" w:rsidP="006A4A7C">
            <w:pPr>
              <w:jc w:val="center"/>
              <w:rPr>
                <w:color w:val="000000" w:themeColor="text1"/>
                <w:sz w:val="22"/>
                <w:szCs w:val="22"/>
              </w:rPr>
            </w:pPr>
            <w:r w:rsidRPr="00BF04E0">
              <w:rPr>
                <w:color w:val="000000" w:themeColor="text1"/>
                <w:sz w:val="22"/>
                <w:szCs w:val="22"/>
              </w:rPr>
              <w:t>(0.04)</w:t>
            </w:r>
          </w:p>
        </w:tc>
      </w:tr>
      <w:tr w:rsidR="009368FD" w:rsidRPr="00BF04E0" w14:paraId="65DB2761" w14:textId="77777777" w:rsidTr="00D02AB1">
        <w:trPr>
          <w:gridAfter w:val="1"/>
          <w:wAfter w:w="138" w:type="dxa"/>
          <w:trHeight w:val="280"/>
        </w:trPr>
        <w:tc>
          <w:tcPr>
            <w:tcW w:w="1903" w:type="dxa"/>
            <w:tcBorders>
              <w:top w:val="nil"/>
              <w:left w:val="nil"/>
              <w:bottom w:val="nil"/>
              <w:right w:val="nil"/>
            </w:tcBorders>
            <w:shd w:val="clear" w:color="auto" w:fill="auto"/>
            <w:noWrap/>
            <w:vAlign w:val="bottom"/>
            <w:hideMark/>
          </w:tcPr>
          <w:p w14:paraId="31447844" w14:textId="77777777" w:rsidR="006E4AF2" w:rsidRPr="00BF04E0" w:rsidRDefault="006E4AF2" w:rsidP="006A4A7C">
            <w:pPr>
              <w:jc w:val="center"/>
              <w:rPr>
                <w:color w:val="000000" w:themeColor="text1"/>
                <w:sz w:val="22"/>
                <w:szCs w:val="22"/>
              </w:rPr>
            </w:pPr>
            <w:proofErr w:type="spellStart"/>
            <w:r w:rsidRPr="00BF04E0">
              <w:rPr>
                <w:color w:val="000000" w:themeColor="text1"/>
                <w:sz w:val="22"/>
                <w:szCs w:val="22"/>
              </w:rPr>
              <w:t>λ</w:t>
            </w:r>
            <w:r w:rsidRPr="00BF04E0">
              <w:rPr>
                <w:color w:val="000000" w:themeColor="text1"/>
                <w:sz w:val="22"/>
                <w:szCs w:val="22"/>
                <w:vertAlign w:val="subscript"/>
              </w:rPr>
              <w:t>UMD</w:t>
            </w:r>
            <w:proofErr w:type="spellEnd"/>
          </w:p>
        </w:tc>
        <w:tc>
          <w:tcPr>
            <w:tcW w:w="1152" w:type="dxa"/>
            <w:tcBorders>
              <w:top w:val="nil"/>
              <w:left w:val="nil"/>
              <w:bottom w:val="nil"/>
              <w:right w:val="nil"/>
            </w:tcBorders>
            <w:shd w:val="clear" w:color="auto" w:fill="auto"/>
            <w:noWrap/>
            <w:vAlign w:val="bottom"/>
            <w:hideMark/>
          </w:tcPr>
          <w:p w14:paraId="2AC68C5D" w14:textId="77777777" w:rsidR="006E4AF2" w:rsidRPr="00BF04E0" w:rsidRDefault="006E4AF2" w:rsidP="006A4A7C">
            <w:pPr>
              <w:jc w:val="center"/>
              <w:rPr>
                <w:color w:val="000000" w:themeColor="text1"/>
                <w:sz w:val="22"/>
                <w:szCs w:val="22"/>
              </w:rPr>
            </w:pPr>
            <w:r w:rsidRPr="00BF04E0">
              <w:rPr>
                <w:color w:val="000000" w:themeColor="text1"/>
                <w:sz w:val="22"/>
                <w:szCs w:val="22"/>
              </w:rPr>
              <w:t>-0.011</w:t>
            </w:r>
          </w:p>
        </w:tc>
        <w:tc>
          <w:tcPr>
            <w:tcW w:w="1153" w:type="dxa"/>
            <w:tcBorders>
              <w:top w:val="nil"/>
              <w:left w:val="nil"/>
              <w:bottom w:val="nil"/>
              <w:right w:val="nil"/>
            </w:tcBorders>
            <w:shd w:val="clear" w:color="auto" w:fill="auto"/>
            <w:noWrap/>
            <w:vAlign w:val="bottom"/>
            <w:hideMark/>
          </w:tcPr>
          <w:p w14:paraId="1E03A673" w14:textId="4D05AED5" w:rsidR="006E4AF2" w:rsidRPr="00BF04E0" w:rsidRDefault="006E4AF2" w:rsidP="006A4A7C">
            <w:pPr>
              <w:jc w:val="center"/>
              <w:rPr>
                <w:color w:val="000000" w:themeColor="text1"/>
                <w:sz w:val="22"/>
                <w:szCs w:val="22"/>
              </w:rPr>
            </w:pPr>
            <w:r w:rsidRPr="00BF04E0">
              <w:rPr>
                <w:color w:val="000000" w:themeColor="text1"/>
                <w:sz w:val="22"/>
                <w:szCs w:val="22"/>
              </w:rPr>
              <w:t>-0.005</w:t>
            </w:r>
          </w:p>
        </w:tc>
        <w:tc>
          <w:tcPr>
            <w:tcW w:w="1041" w:type="dxa"/>
            <w:tcBorders>
              <w:top w:val="nil"/>
              <w:left w:val="nil"/>
              <w:bottom w:val="nil"/>
              <w:right w:val="nil"/>
            </w:tcBorders>
            <w:vAlign w:val="bottom"/>
          </w:tcPr>
          <w:p w14:paraId="0215E4A9" w14:textId="7A5B56A0" w:rsidR="006E4AF2" w:rsidRPr="00BF04E0" w:rsidRDefault="006E4AF2" w:rsidP="006A4A7C">
            <w:pPr>
              <w:jc w:val="center"/>
              <w:rPr>
                <w:color w:val="000000" w:themeColor="text1"/>
                <w:sz w:val="22"/>
                <w:szCs w:val="22"/>
              </w:rPr>
            </w:pPr>
            <w:r w:rsidRPr="00BF04E0">
              <w:rPr>
                <w:color w:val="000000" w:themeColor="text1"/>
                <w:sz w:val="22"/>
                <w:szCs w:val="22"/>
              </w:rPr>
              <w:t>-0.004</w:t>
            </w:r>
          </w:p>
        </w:tc>
        <w:tc>
          <w:tcPr>
            <w:tcW w:w="1153" w:type="dxa"/>
            <w:gridSpan w:val="2"/>
            <w:tcBorders>
              <w:top w:val="nil"/>
              <w:left w:val="nil"/>
              <w:bottom w:val="nil"/>
              <w:right w:val="nil"/>
            </w:tcBorders>
            <w:shd w:val="clear" w:color="auto" w:fill="auto"/>
            <w:noWrap/>
            <w:vAlign w:val="bottom"/>
            <w:hideMark/>
          </w:tcPr>
          <w:p w14:paraId="0D155B61" w14:textId="11082F93" w:rsidR="006E4AF2" w:rsidRPr="00BF04E0" w:rsidRDefault="006E4AF2" w:rsidP="006A4A7C">
            <w:pPr>
              <w:jc w:val="center"/>
              <w:rPr>
                <w:color w:val="000000" w:themeColor="text1"/>
                <w:sz w:val="22"/>
                <w:szCs w:val="22"/>
              </w:rPr>
            </w:pPr>
            <w:r w:rsidRPr="00BF04E0">
              <w:rPr>
                <w:color w:val="000000" w:themeColor="text1"/>
                <w:sz w:val="22"/>
                <w:szCs w:val="22"/>
              </w:rPr>
              <w:t>-0.006</w:t>
            </w:r>
          </w:p>
        </w:tc>
        <w:tc>
          <w:tcPr>
            <w:tcW w:w="1243" w:type="dxa"/>
            <w:gridSpan w:val="2"/>
            <w:tcBorders>
              <w:top w:val="nil"/>
              <w:left w:val="nil"/>
              <w:bottom w:val="nil"/>
              <w:right w:val="nil"/>
            </w:tcBorders>
            <w:shd w:val="clear" w:color="auto" w:fill="auto"/>
            <w:noWrap/>
            <w:vAlign w:val="bottom"/>
            <w:hideMark/>
          </w:tcPr>
          <w:p w14:paraId="075F444D" w14:textId="0A0E7B44" w:rsidR="006E4AF2" w:rsidRPr="00BF04E0" w:rsidRDefault="006E4AF2" w:rsidP="006A4A7C">
            <w:pPr>
              <w:jc w:val="center"/>
              <w:rPr>
                <w:color w:val="000000" w:themeColor="text1"/>
                <w:sz w:val="22"/>
                <w:szCs w:val="22"/>
              </w:rPr>
            </w:pPr>
            <w:r w:rsidRPr="00BF04E0">
              <w:rPr>
                <w:color w:val="000000" w:themeColor="text1"/>
                <w:sz w:val="22"/>
                <w:szCs w:val="22"/>
              </w:rPr>
              <w:t>-0.003</w:t>
            </w:r>
          </w:p>
        </w:tc>
        <w:tc>
          <w:tcPr>
            <w:tcW w:w="1153" w:type="dxa"/>
            <w:gridSpan w:val="3"/>
            <w:tcBorders>
              <w:top w:val="nil"/>
              <w:left w:val="nil"/>
              <w:bottom w:val="nil"/>
              <w:right w:val="nil"/>
            </w:tcBorders>
            <w:shd w:val="clear" w:color="auto" w:fill="auto"/>
            <w:noWrap/>
            <w:vAlign w:val="bottom"/>
            <w:hideMark/>
          </w:tcPr>
          <w:p w14:paraId="6CCBE9F4" w14:textId="6C352B77" w:rsidR="006E4AF2" w:rsidRPr="00BF04E0" w:rsidRDefault="006E4AF2" w:rsidP="006A4A7C">
            <w:pPr>
              <w:jc w:val="center"/>
              <w:rPr>
                <w:color w:val="000000" w:themeColor="text1"/>
                <w:sz w:val="22"/>
                <w:szCs w:val="22"/>
              </w:rPr>
            </w:pPr>
            <w:r w:rsidRPr="00BF04E0">
              <w:rPr>
                <w:color w:val="000000" w:themeColor="text1"/>
                <w:sz w:val="22"/>
                <w:szCs w:val="22"/>
              </w:rPr>
              <w:t>-0.009</w:t>
            </w:r>
          </w:p>
        </w:tc>
      </w:tr>
      <w:tr w:rsidR="009368FD" w:rsidRPr="00BF04E0" w14:paraId="3DE16246" w14:textId="77777777" w:rsidTr="00D02AB1">
        <w:trPr>
          <w:gridAfter w:val="1"/>
          <w:wAfter w:w="138" w:type="dxa"/>
          <w:trHeight w:val="280"/>
        </w:trPr>
        <w:tc>
          <w:tcPr>
            <w:tcW w:w="1903" w:type="dxa"/>
            <w:tcBorders>
              <w:top w:val="nil"/>
              <w:left w:val="nil"/>
              <w:bottom w:val="nil"/>
              <w:right w:val="nil"/>
            </w:tcBorders>
            <w:shd w:val="clear" w:color="auto" w:fill="auto"/>
            <w:noWrap/>
            <w:vAlign w:val="bottom"/>
            <w:hideMark/>
          </w:tcPr>
          <w:p w14:paraId="2382AA41" w14:textId="77777777" w:rsidR="006E4AF2" w:rsidRPr="00BF04E0" w:rsidRDefault="006E4AF2" w:rsidP="006A4A7C">
            <w:pPr>
              <w:jc w:val="center"/>
              <w:rPr>
                <w:color w:val="000000" w:themeColor="text1"/>
                <w:sz w:val="22"/>
                <w:szCs w:val="22"/>
              </w:rPr>
            </w:pPr>
          </w:p>
        </w:tc>
        <w:tc>
          <w:tcPr>
            <w:tcW w:w="1152" w:type="dxa"/>
            <w:tcBorders>
              <w:top w:val="nil"/>
              <w:left w:val="nil"/>
              <w:bottom w:val="nil"/>
              <w:right w:val="nil"/>
            </w:tcBorders>
            <w:shd w:val="clear" w:color="auto" w:fill="auto"/>
            <w:noWrap/>
            <w:vAlign w:val="bottom"/>
            <w:hideMark/>
          </w:tcPr>
          <w:p w14:paraId="66CA364F" w14:textId="1E851803" w:rsidR="006E4AF2" w:rsidRPr="00BF04E0" w:rsidRDefault="006E4AF2" w:rsidP="006A4A7C">
            <w:pPr>
              <w:jc w:val="center"/>
              <w:rPr>
                <w:color w:val="000000" w:themeColor="text1"/>
                <w:sz w:val="22"/>
                <w:szCs w:val="22"/>
              </w:rPr>
            </w:pPr>
            <w:r w:rsidRPr="00BF04E0">
              <w:rPr>
                <w:color w:val="000000" w:themeColor="text1"/>
                <w:sz w:val="22"/>
                <w:szCs w:val="22"/>
              </w:rPr>
              <w:t>(-1.21)</w:t>
            </w:r>
          </w:p>
        </w:tc>
        <w:tc>
          <w:tcPr>
            <w:tcW w:w="1153" w:type="dxa"/>
            <w:tcBorders>
              <w:top w:val="nil"/>
              <w:left w:val="nil"/>
              <w:bottom w:val="nil"/>
              <w:right w:val="nil"/>
            </w:tcBorders>
            <w:shd w:val="clear" w:color="auto" w:fill="auto"/>
            <w:noWrap/>
            <w:vAlign w:val="bottom"/>
            <w:hideMark/>
          </w:tcPr>
          <w:p w14:paraId="76926577" w14:textId="07AAA57A" w:rsidR="006E4AF2" w:rsidRPr="00BF04E0" w:rsidRDefault="006E4AF2" w:rsidP="006A4A7C">
            <w:pPr>
              <w:jc w:val="center"/>
              <w:rPr>
                <w:color w:val="000000" w:themeColor="text1"/>
                <w:sz w:val="22"/>
                <w:szCs w:val="22"/>
              </w:rPr>
            </w:pPr>
            <w:r w:rsidRPr="00BF04E0">
              <w:rPr>
                <w:color w:val="000000" w:themeColor="text1"/>
                <w:sz w:val="22"/>
                <w:szCs w:val="22"/>
              </w:rPr>
              <w:t>(-0.49)</w:t>
            </w:r>
          </w:p>
        </w:tc>
        <w:tc>
          <w:tcPr>
            <w:tcW w:w="1041" w:type="dxa"/>
            <w:tcBorders>
              <w:top w:val="nil"/>
              <w:left w:val="nil"/>
              <w:bottom w:val="nil"/>
              <w:right w:val="nil"/>
            </w:tcBorders>
            <w:vAlign w:val="bottom"/>
          </w:tcPr>
          <w:p w14:paraId="056F0E4D" w14:textId="1C7D1B6C" w:rsidR="006E4AF2" w:rsidRPr="00BF04E0" w:rsidRDefault="006E4AF2" w:rsidP="006A4A7C">
            <w:pPr>
              <w:jc w:val="center"/>
              <w:rPr>
                <w:color w:val="000000" w:themeColor="text1"/>
                <w:sz w:val="22"/>
                <w:szCs w:val="22"/>
              </w:rPr>
            </w:pPr>
            <w:r w:rsidRPr="00BF04E0">
              <w:rPr>
                <w:color w:val="000000" w:themeColor="text1"/>
                <w:sz w:val="22"/>
                <w:szCs w:val="22"/>
              </w:rPr>
              <w:t>(-0.55)</w:t>
            </w:r>
          </w:p>
        </w:tc>
        <w:tc>
          <w:tcPr>
            <w:tcW w:w="1153" w:type="dxa"/>
            <w:gridSpan w:val="2"/>
            <w:tcBorders>
              <w:top w:val="nil"/>
              <w:left w:val="nil"/>
              <w:bottom w:val="nil"/>
              <w:right w:val="nil"/>
            </w:tcBorders>
            <w:shd w:val="clear" w:color="auto" w:fill="auto"/>
            <w:noWrap/>
            <w:vAlign w:val="bottom"/>
            <w:hideMark/>
          </w:tcPr>
          <w:p w14:paraId="694B6E3B" w14:textId="1CF1DB19" w:rsidR="006E4AF2" w:rsidRPr="00BF04E0" w:rsidRDefault="006E4AF2" w:rsidP="006A4A7C">
            <w:pPr>
              <w:jc w:val="center"/>
              <w:rPr>
                <w:color w:val="000000" w:themeColor="text1"/>
                <w:sz w:val="22"/>
                <w:szCs w:val="22"/>
              </w:rPr>
            </w:pPr>
            <w:r w:rsidRPr="00BF04E0">
              <w:rPr>
                <w:color w:val="000000" w:themeColor="text1"/>
                <w:sz w:val="22"/>
                <w:szCs w:val="22"/>
              </w:rPr>
              <w:t>(-0.73)</w:t>
            </w:r>
          </w:p>
        </w:tc>
        <w:tc>
          <w:tcPr>
            <w:tcW w:w="1243" w:type="dxa"/>
            <w:gridSpan w:val="2"/>
            <w:tcBorders>
              <w:top w:val="nil"/>
              <w:left w:val="nil"/>
              <w:bottom w:val="nil"/>
              <w:right w:val="nil"/>
            </w:tcBorders>
            <w:shd w:val="clear" w:color="auto" w:fill="auto"/>
            <w:noWrap/>
            <w:vAlign w:val="bottom"/>
            <w:hideMark/>
          </w:tcPr>
          <w:p w14:paraId="0DD0ABC6" w14:textId="54D17DFB" w:rsidR="006E4AF2" w:rsidRPr="00BF04E0" w:rsidRDefault="006E4AF2" w:rsidP="006A4A7C">
            <w:pPr>
              <w:jc w:val="center"/>
              <w:rPr>
                <w:color w:val="000000" w:themeColor="text1"/>
                <w:sz w:val="22"/>
                <w:szCs w:val="22"/>
              </w:rPr>
            </w:pPr>
            <w:r w:rsidRPr="00BF04E0">
              <w:rPr>
                <w:color w:val="000000" w:themeColor="text1"/>
                <w:sz w:val="22"/>
                <w:szCs w:val="22"/>
              </w:rPr>
              <w:t>(-0.36)</w:t>
            </w:r>
          </w:p>
        </w:tc>
        <w:tc>
          <w:tcPr>
            <w:tcW w:w="1153" w:type="dxa"/>
            <w:gridSpan w:val="3"/>
            <w:tcBorders>
              <w:top w:val="nil"/>
              <w:left w:val="nil"/>
              <w:bottom w:val="nil"/>
              <w:right w:val="nil"/>
            </w:tcBorders>
            <w:shd w:val="clear" w:color="auto" w:fill="auto"/>
            <w:noWrap/>
            <w:vAlign w:val="bottom"/>
            <w:hideMark/>
          </w:tcPr>
          <w:p w14:paraId="195A7258" w14:textId="7F0A9543" w:rsidR="006E4AF2" w:rsidRPr="00BF04E0" w:rsidRDefault="006E4AF2" w:rsidP="006A4A7C">
            <w:pPr>
              <w:jc w:val="center"/>
              <w:rPr>
                <w:color w:val="000000" w:themeColor="text1"/>
                <w:sz w:val="22"/>
                <w:szCs w:val="22"/>
              </w:rPr>
            </w:pPr>
            <w:r w:rsidRPr="00BF04E0">
              <w:rPr>
                <w:color w:val="000000" w:themeColor="text1"/>
                <w:sz w:val="22"/>
                <w:szCs w:val="22"/>
              </w:rPr>
              <w:t>(-1.14)</w:t>
            </w:r>
          </w:p>
        </w:tc>
      </w:tr>
      <w:tr w:rsidR="009368FD" w:rsidRPr="00BF04E0" w14:paraId="72577E61" w14:textId="77777777" w:rsidTr="00D02AB1">
        <w:trPr>
          <w:gridAfter w:val="1"/>
          <w:wAfter w:w="138" w:type="dxa"/>
          <w:trHeight w:val="280"/>
        </w:trPr>
        <w:tc>
          <w:tcPr>
            <w:tcW w:w="1903" w:type="dxa"/>
            <w:tcBorders>
              <w:top w:val="nil"/>
              <w:left w:val="nil"/>
              <w:bottom w:val="nil"/>
              <w:right w:val="nil"/>
            </w:tcBorders>
            <w:shd w:val="clear" w:color="auto" w:fill="auto"/>
            <w:noWrap/>
            <w:vAlign w:val="bottom"/>
            <w:hideMark/>
          </w:tcPr>
          <w:p w14:paraId="0A83FC23" w14:textId="23B2D850" w:rsidR="006E4AF2" w:rsidRPr="00BF04E0" w:rsidRDefault="006E4AF2" w:rsidP="00AD6B41">
            <w:pPr>
              <w:jc w:val="center"/>
              <w:rPr>
                <w:color w:val="000000" w:themeColor="text1"/>
                <w:sz w:val="22"/>
                <w:szCs w:val="22"/>
              </w:rPr>
            </w:pPr>
            <w:proofErr w:type="spellStart"/>
            <w:r w:rsidRPr="00BF04E0">
              <w:rPr>
                <w:color w:val="000000" w:themeColor="text1"/>
                <w:sz w:val="22"/>
                <w:szCs w:val="22"/>
              </w:rPr>
              <w:t>λ</w:t>
            </w:r>
            <w:r w:rsidR="003F64F6" w:rsidRPr="00BF04E0">
              <w:rPr>
                <w:color w:val="000000" w:themeColor="text1"/>
                <w:sz w:val="22"/>
                <w:szCs w:val="22"/>
                <w:vertAlign w:val="subscript"/>
              </w:rPr>
              <w:t>ln</w:t>
            </w:r>
            <w:proofErr w:type="spellEnd"/>
            <w:r w:rsidR="003F64F6" w:rsidRPr="00BF04E0">
              <w:rPr>
                <w:color w:val="000000" w:themeColor="text1"/>
                <w:sz w:val="22"/>
                <w:szCs w:val="22"/>
                <w:vertAlign w:val="subscript"/>
              </w:rPr>
              <w:t>(cap)</w:t>
            </w:r>
          </w:p>
        </w:tc>
        <w:tc>
          <w:tcPr>
            <w:tcW w:w="1152" w:type="dxa"/>
            <w:tcBorders>
              <w:top w:val="nil"/>
              <w:left w:val="nil"/>
              <w:bottom w:val="nil"/>
              <w:right w:val="nil"/>
            </w:tcBorders>
            <w:shd w:val="clear" w:color="auto" w:fill="auto"/>
            <w:noWrap/>
            <w:vAlign w:val="bottom"/>
            <w:hideMark/>
          </w:tcPr>
          <w:p w14:paraId="046C82FD" w14:textId="77777777" w:rsidR="006E4AF2" w:rsidRPr="00BF04E0" w:rsidRDefault="006E4AF2" w:rsidP="00AD6B41">
            <w:pPr>
              <w:jc w:val="center"/>
              <w:rPr>
                <w:color w:val="000000" w:themeColor="text1"/>
                <w:sz w:val="22"/>
                <w:szCs w:val="22"/>
              </w:rPr>
            </w:pPr>
          </w:p>
        </w:tc>
        <w:tc>
          <w:tcPr>
            <w:tcW w:w="1153" w:type="dxa"/>
            <w:tcBorders>
              <w:top w:val="nil"/>
              <w:left w:val="nil"/>
              <w:bottom w:val="nil"/>
              <w:right w:val="nil"/>
            </w:tcBorders>
            <w:shd w:val="clear" w:color="auto" w:fill="auto"/>
            <w:noWrap/>
            <w:vAlign w:val="bottom"/>
            <w:hideMark/>
          </w:tcPr>
          <w:p w14:paraId="51E9E732" w14:textId="77777777" w:rsidR="006E4AF2" w:rsidRPr="00BF04E0" w:rsidRDefault="006E4AF2" w:rsidP="00AD6B41">
            <w:pPr>
              <w:jc w:val="center"/>
              <w:rPr>
                <w:color w:val="000000" w:themeColor="text1"/>
                <w:sz w:val="22"/>
                <w:szCs w:val="22"/>
              </w:rPr>
            </w:pPr>
          </w:p>
        </w:tc>
        <w:tc>
          <w:tcPr>
            <w:tcW w:w="1041" w:type="dxa"/>
            <w:tcBorders>
              <w:top w:val="nil"/>
              <w:left w:val="nil"/>
              <w:bottom w:val="nil"/>
              <w:right w:val="nil"/>
            </w:tcBorders>
            <w:vAlign w:val="bottom"/>
          </w:tcPr>
          <w:p w14:paraId="410922DC" w14:textId="228B948D" w:rsidR="006E4AF2" w:rsidRPr="00BF04E0" w:rsidRDefault="006E4AF2" w:rsidP="00AD6B41">
            <w:pPr>
              <w:jc w:val="center"/>
              <w:rPr>
                <w:color w:val="000000" w:themeColor="text1"/>
                <w:sz w:val="22"/>
                <w:szCs w:val="22"/>
              </w:rPr>
            </w:pPr>
            <w:r w:rsidRPr="00BF04E0">
              <w:rPr>
                <w:color w:val="000000" w:themeColor="text1"/>
                <w:sz w:val="22"/>
                <w:szCs w:val="22"/>
              </w:rPr>
              <w:t>0.004***</w:t>
            </w:r>
          </w:p>
        </w:tc>
        <w:tc>
          <w:tcPr>
            <w:tcW w:w="1153" w:type="dxa"/>
            <w:gridSpan w:val="2"/>
            <w:tcBorders>
              <w:top w:val="nil"/>
              <w:left w:val="nil"/>
              <w:bottom w:val="nil"/>
              <w:right w:val="nil"/>
            </w:tcBorders>
            <w:shd w:val="clear" w:color="auto" w:fill="auto"/>
            <w:noWrap/>
            <w:vAlign w:val="bottom"/>
            <w:hideMark/>
          </w:tcPr>
          <w:p w14:paraId="1557475A" w14:textId="10845DA4" w:rsidR="006E4AF2" w:rsidRPr="00BF04E0" w:rsidRDefault="006E4AF2" w:rsidP="00AD6B41">
            <w:pPr>
              <w:jc w:val="center"/>
              <w:rPr>
                <w:color w:val="000000" w:themeColor="text1"/>
                <w:sz w:val="22"/>
                <w:szCs w:val="22"/>
              </w:rPr>
            </w:pPr>
            <w:r w:rsidRPr="00BF04E0">
              <w:rPr>
                <w:color w:val="000000" w:themeColor="text1"/>
                <w:sz w:val="22"/>
                <w:szCs w:val="22"/>
              </w:rPr>
              <w:t>0.002</w:t>
            </w:r>
          </w:p>
        </w:tc>
        <w:tc>
          <w:tcPr>
            <w:tcW w:w="1243" w:type="dxa"/>
            <w:gridSpan w:val="2"/>
            <w:tcBorders>
              <w:top w:val="nil"/>
              <w:left w:val="nil"/>
              <w:bottom w:val="nil"/>
              <w:right w:val="nil"/>
            </w:tcBorders>
            <w:shd w:val="clear" w:color="auto" w:fill="auto"/>
            <w:noWrap/>
            <w:vAlign w:val="bottom"/>
            <w:hideMark/>
          </w:tcPr>
          <w:p w14:paraId="50590789" w14:textId="5887B9E2" w:rsidR="006E4AF2" w:rsidRPr="00BF04E0" w:rsidRDefault="006E4AF2" w:rsidP="00AD6B41">
            <w:pPr>
              <w:jc w:val="center"/>
              <w:rPr>
                <w:color w:val="000000" w:themeColor="text1"/>
                <w:sz w:val="22"/>
                <w:szCs w:val="22"/>
              </w:rPr>
            </w:pPr>
            <w:r w:rsidRPr="00BF04E0">
              <w:rPr>
                <w:color w:val="000000" w:themeColor="text1"/>
                <w:sz w:val="22"/>
                <w:szCs w:val="22"/>
              </w:rPr>
              <w:t>0.004***</w:t>
            </w:r>
          </w:p>
        </w:tc>
        <w:tc>
          <w:tcPr>
            <w:tcW w:w="1153" w:type="dxa"/>
            <w:gridSpan w:val="3"/>
            <w:tcBorders>
              <w:top w:val="nil"/>
              <w:left w:val="nil"/>
              <w:bottom w:val="nil"/>
              <w:right w:val="nil"/>
            </w:tcBorders>
            <w:shd w:val="clear" w:color="auto" w:fill="auto"/>
            <w:noWrap/>
            <w:vAlign w:val="bottom"/>
            <w:hideMark/>
          </w:tcPr>
          <w:p w14:paraId="0282E352" w14:textId="43FDAB7B" w:rsidR="006E4AF2" w:rsidRPr="00BF04E0" w:rsidRDefault="006E4AF2" w:rsidP="00AD6B41">
            <w:pPr>
              <w:jc w:val="center"/>
              <w:rPr>
                <w:color w:val="000000" w:themeColor="text1"/>
                <w:sz w:val="22"/>
                <w:szCs w:val="22"/>
              </w:rPr>
            </w:pPr>
            <w:r w:rsidRPr="00BF04E0">
              <w:rPr>
                <w:color w:val="000000" w:themeColor="text1"/>
                <w:sz w:val="22"/>
                <w:szCs w:val="22"/>
              </w:rPr>
              <w:t>0.003**</w:t>
            </w:r>
          </w:p>
        </w:tc>
      </w:tr>
      <w:tr w:rsidR="009368FD" w:rsidRPr="00BF04E0" w14:paraId="25E41FE2" w14:textId="77777777" w:rsidTr="00D02AB1">
        <w:trPr>
          <w:gridAfter w:val="1"/>
          <w:wAfter w:w="138" w:type="dxa"/>
          <w:trHeight w:val="280"/>
        </w:trPr>
        <w:tc>
          <w:tcPr>
            <w:tcW w:w="1903" w:type="dxa"/>
            <w:tcBorders>
              <w:top w:val="nil"/>
              <w:left w:val="nil"/>
              <w:bottom w:val="nil"/>
              <w:right w:val="nil"/>
            </w:tcBorders>
            <w:shd w:val="clear" w:color="auto" w:fill="auto"/>
            <w:noWrap/>
            <w:vAlign w:val="bottom"/>
            <w:hideMark/>
          </w:tcPr>
          <w:p w14:paraId="219834EC" w14:textId="77777777" w:rsidR="006E4AF2" w:rsidRPr="00BF04E0" w:rsidRDefault="006E4AF2" w:rsidP="00AD6B41">
            <w:pPr>
              <w:jc w:val="center"/>
              <w:rPr>
                <w:color w:val="000000" w:themeColor="text1"/>
                <w:sz w:val="22"/>
                <w:szCs w:val="22"/>
              </w:rPr>
            </w:pPr>
          </w:p>
        </w:tc>
        <w:tc>
          <w:tcPr>
            <w:tcW w:w="1152" w:type="dxa"/>
            <w:tcBorders>
              <w:top w:val="nil"/>
              <w:left w:val="nil"/>
              <w:bottom w:val="nil"/>
              <w:right w:val="nil"/>
            </w:tcBorders>
            <w:shd w:val="clear" w:color="auto" w:fill="auto"/>
            <w:noWrap/>
            <w:vAlign w:val="bottom"/>
            <w:hideMark/>
          </w:tcPr>
          <w:p w14:paraId="6732F881" w14:textId="77777777" w:rsidR="006E4AF2" w:rsidRPr="00BF04E0" w:rsidRDefault="006E4AF2" w:rsidP="00AD6B41">
            <w:pPr>
              <w:jc w:val="center"/>
              <w:rPr>
                <w:color w:val="000000" w:themeColor="text1"/>
                <w:sz w:val="22"/>
                <w:szCs w:val="22"/>
              </w:rPr>
            </w:pPr>
          </w:p>
        </w:tc>
        <w:tc>
          <w:tcPr>
            <w:tcW w:w="1153" w:type="dxa"/>
            <w:tcBorders>
              <w:top w:val="nil"/>
              <w:left w:val="nil"/>
              <w:bottom w:val="nil"/>
              <w:right w:val="nil"/>
            </w:tcBorders>
            <w:shd w:val="clear" w:color="auto" w:fill="auto"/>
            <w:noWrap/>
            <w:vAlign w:val="bottom"/>
            <w:hideMark/>
          </w:tcPr>
          <w:p w14:paraId="2974649A" w14:textId="77777777" w:rsidR="006E4AF2" w:rsidRPr="00BF04E0" w:rsidRDefault="006E4AF2" w:rsidP="00AD6B41">
            <w:pPr>
              <w:jc w:val="center"/>
              <w:rPr>
                <w:color w:val="000000" w:themeColor="text1"/>
                <w:sz w:val="22"/>
                <w:szCs w:val="22"/>
              </w:rPr>
            </w:pPr>
          </w:p>
        </w:tc>
        <w:tc>
          <w:tcPr>
            <w:tcW w:w="1041" w:type="dxa"/>
            <w:tcBorders>
              <w:top w:val="nil"/>
              <w:left w:val="nil"/>
              <w:bottom w:val="nil"/>
              <w:right w:val="nil"/>
            </w:tcBorders>
            <w:vAlign w:val="bottom"/>
          </w:tcPr>
          <w:p w14:paraId="7648506B" w14:textId="190EBFCA" w:rsidR="006E4AF2" w:rsidRPr="00BF04E0" w:rsidRDefault="006E4AF2" w:rsidP="00AD6B41">
            <w:pPr>
              <w:jc w:val="center"/>
              <w:rPr>
                <w:color w:val="000000" w:themeColor="text1"/>
                <w:sz w:val="22"/>
                <w:szCs w:val="22"/>
              </w:rPr>
            </w:pPr>
            <w:r w:rsidRPr="00BF04E0">
              <w:rPr>
                <w:color w:val="000000" w:themeColor="text1"/>
                <w:sz w:val="22"/>
                <w:szCs w:val="22"/>
              </w:rPr>
              <w:t>(2.76)</w:t>
            </w:r>
          </w:p>
        </w:tc>
        <w:tc>
          <w:tcPr>
            <w:tcW w:w="1153" w:type="dxa"/>
            <w:gridSpan w:val="2"/>
            <w:tcBorders>
              <w:top w:val="nil"/>
              <w:left w:val="nil"/>
              <w:bottom w:val="nil"/>
              <w:right w:val="nil"/>
            </w:tcBorders>
            <w:shd w:val="clear" w:color="auto" w:fill="auto"/>
            <w:noWrap/>
            <w:vAlign w:val="bottom"/>
            <w:hideMark/>
          </w:tcPr>
          <w:p w14:paraId="71442575" w14:textId="168B3A4D" w:rsidR="006E4AF2" w:rsidRPr="00BF04E0" w:rsidRDefault="006E4AF2" w:rsidP="00AD6B41">
            <w:pPr>
              <w:jc w:val="center"/>
              <w:rPr>
                <w:color w:val="000000" w:themeColor="text1"/>
                <w:sz w:val="22"/>
                <w:szCs w:val="22"/>
              </w:rPr>
            </w:pPr>
            <w:r w:rsidRPr="00BF04E0">
              <w:rPr>
                <w:color w:val="000000" w:themeColor="text1"/>
                <w:sz w:val="22"/>
                <w:szCs w:val="22"/>
              </w:rPr>
              <w:t>(1.14)</w:t>
            </w:r>
          </w:p>
        </w:tc>
        <w:tc>
          <w:tcPr>
            <w:tcW w:w="1243" w:type="dxa"/>
            <w:gridSpan w:val="2"/>
            <w:tcBorders>
              <w:top w:val="nil"/>
              <w:left w:val="nil"/>
              <w:bottom w:val="nil"/>
              <w:right w:val="nil"/>
            </w:tcBorders>
            <w:shd w:val="clear" w:color="auto" w:fill="auto"/>
            <w:noWrap/>
            <w:vAlign w:val="bottom"/>
            <w:hideMark/>
          </w:tcPr>
          <w:p w14:paraId="5E5DFE93" w14:textId="0BD96695" w:rsidR="006E4AF2" w:rsidRPr="00BF04E0" w:rsidRDefault="006E4AF2" w:rsidP="00AD6B41">
            <w:pPr>
              <w:jc w:val="center"/>
              <w:rPr>
                <w:color w:val="000000" w:themeColor="text1"/>
                <w:sz w:val="22"/>
                <w:szCs w:val="22"/>
              </w:rPr>
            </w:pPr>
            <w:r w:rsidRPr="00BF04E0">
              <w:rPr>
                <w:color w:val="000000" w:themeColor="text1"/>
                <w:sz w:val="22"/>
                <w:szCs w:val="22"/>
              </w:rPr>
              <w:t>(2.82)</w:t>
            </w:r>
          </w:p>
        </w:tc>
        <w:tc>
          <w:tcPr>
            <w:tcW w:w="1153" w:type="dxa"/>
            <w:gridSpan w:val="3"/>
            <w:tcBorders>
              <w:top w:val="nil"/>
              <w:left w:val="nil"/>
              <w:bottom w:val="nil"/>
              <w:right w:val="nil"/>
            </w:tcBorders>
            <w:shd w:val="clear" w:color="auto" w:fill="auto"/>
            <w:noWrap/>
            <w:vAlign w:val="bottom"/>
            <w:hideMark/>
          </w:tcPr>
          <w:p w14:paraId="56FC3E05" w14:textId="17608FDA" w:rsidR="006E4AF2" w:rsidRPr="00BF04E0" w:rsidRDefault="006E4AF2" w:rsidP="00AD6B41">
            <w:pPr>
              <w:jc w:val="center"/>
              <w:rPr>
                <w:color w:val="000000" w:themeColor="text1"/>
                <w:sz w:val="22"/>
                <w:szCs w:val="22"/>
              </w:rPr>
            </w:pPr>
            <w:r w:rsidRPr="00BF04E0">
              <w:rPr>
                <w:color w:val="000000" w:themeColor="text1"/>
                <w:sz w:val="22"/>
                <w:szCs w:val="22"/>
              </w:rPr>
              <w:t>(2.61)</w:t>
            </w:r>
          </w:p>
        </w:tc>
      </w:tr>
      <w:tr w:rsidR="009368FD" w:rsidRPr="00BF04E0" w14:paraId="789D84E6" w14:textId="77777777" w:rsidTr="00D02AB1">
        <w:trPr>
          <w:gridAfter w:val="1"/>
          <w:wAfter w:w="138" w:type="dxa"/>
          <w:trHeight w:val="280"/>
        </w:trPr>
        <w:tc>
          <w:tcPr>
            <w:tcW w:w="1903" w:type="dxa"/>
            <w:tcBorders>
              <w:top w:val="nil"/>
              <w:left w:val="nil"/>
              <w:bottom w:val="nil"/>
              <w:right w:val="nil"/>
            </w:tcBorders>
            <w:shd w:val="clear" w:color="auto" w:fill="auto"/>
            <w:noWrap/>
            <w:vAlign w:val="bottom"/>
            <w:hideMark/>
          </w:tcPr>
          <w:p w14:paraId="3BA7E151" w14:textId="77777777" w:rsidR="006E4AF2" w:rsidRPr="00BF04E0" w:rsidRDefault="006E4AF2" w:rsidP="00AD6B41">
            <w:pPr>
              <w:jc w:val="center"/>
              <w:rPr>
                <w:color w:val="000000" w:themeColor="text1"/>
                <w:sz w:val="22"/>
                <w:szCs w:val="22"/>
              </w:rPr>
            </w:pPr>
            <w:proofErr w:type="spellStart"/>
            <w:r w:rsidRPr="00BF04E0">
              <w:rPr>
                <w:color w:val="000000" w:themeColor="text1"/>
                <w:sz w:val="22"/>
                <w:szCs w:val="22"/>
              </w:rPr>
              <w:t>λ</w:t>
            </w:r>
            <w:r w:rsidRPr="00BF04E0">
              <w:rPr>
                <w:color w:val="000000" w:themeColor="text1"/>
                <w:sz w:val="22"/>
                <w:szCs w:val="22"/>
                <w:vertAlign w:val="subscript"/>
              </w:rPr>
              <w:t>bm</w:t>
            </w:r>
            <w:proofErr w:type="spellEnd"/>
          </w:p>
        </w:tc>
        <w:tc>
          <w:tcPr>
            <w:tcW w:w="1152" w:type="dxa"/>
            <w:tcBorders>
              <w:top w:val="nil"/>
              <w:left w:val="nil"/>
              <w:bottom w:val="nil"/>
              <w:right w:val="nil"/>
            </w:tcBorders>
            <w:shd w:val="clear" w:color="auto" w:fill="auto"/>
            <w:noWrap/>
            <w:vAlign w:val="bottom"/>
            <w:hideMark/>
          </w:tcPr>
          <w:p w14:paraId="327BAD74" w14:textId="77777777" w:rsidR="006E4AF2" w:rsidRPr="00BF04E0" w:rsidRDefault="006E4AF2" w:rsidP="00AD6B41">
            <w:pPr>
              <w:jc w:val="center"/>
              <w:rPr>
                <w:color w:val="000000" w:themeColor="text1"/>
                <w:sz w:val="22"/>
                <w:szCs w:val="22"/>
              </w:rPr>
            </w:pPr>
          </w:p>
        </w:tc>
        <w:tc>
          <w:tcPr>
            <w:tcW w:w="1153" w:type="dxa"/>
            <w:tcBorders>
              <w:top w:val="nil"/>
              <w:left w:val="nil"/>
              <w:bottom w:val="nil"/>
              <w:right w:val="nil"/>
            </w:tcBorders>
            <w:shd w:val="clear" w:color="auto" w:fill="auto"/>
            <w:noWrap/>
            <w:vAlign w:val="bottom"/>
            <w:hideMark/>
          </w:tcPr>
          <w:p w14:paraId="4DBA0A7D" w14:textId="77777777" w:rsidR="006E4AF2" w:rsidRPr="00BF04E0" w:rsidRDefault="006E4AF2" w:rsidP="00AD6B41">
            <w:pPr>
              <w:jc w:val="center"/>
              <w:rPr>
                <w:color w:val="000000" w:themeColor="text1"/>
                <w:sz w:val="22"/>
                <w:szCs w:val="22"/>
              </w:rPr>
            </w:pPr>
          </w:p>
        </w:tc>
        <w:tc>
          <w:tcPr>
            <w:tcW w:w="1041" w:type="dxa"/>
            <w:tcBorders>
              <w:top w:val="nil"/>
              <w:left w:val="nil"/>
              <w:bottom w:val="nil"/>
              <w:right w:val="nil"/>
            </w:tcBorders>
            <w:vAlign w:val="bottom"/>
          </w:tcPr>
          <w:p w14:paraId="36A335D2" w14:textId="6D729E99" w:rsidR="006E4AF2" w:rsidRPr="00BF04E0" w:rsidRDefault="006E4AF2" w:rsidP="00AD6B41">
            <w:pPr>
              <w:jc w:val="center"/>
              <w:rPr>
                <w:color w:val="000000" w:themeColor="text1"/>
                <w:sz w:val="22"/>
                <w:szCs w:val="22"/>
              </w:rPr>
            </w:pPr>
            <w:r w:rsidRPr="00BF04E0">
              <w:rPr>
                <w:color w:val="000000" w:themeColor="text1"/>
                <w:sz w:val="22"/>
                <w:szCs w:val="22"/>
              </w:rPr>
              <w:t>-0.001</w:t>
            </w:r>
          </w:p>
        </w:tc>
        <w:tc>
          <w:tcPr>
            <w:tcW w:w="1153" w:type="dxa"/>
            <w:gridSpan w:val="2"/>
            <w:tcBorders>
              <w:top w:val="nil"/>
              <w:left w:val="nil"/>
              <w:bottom w:val="nil"/>
              <w:right w:val="nil"/>
            </w:tcBorders>
            <w:shd w:val="clear" w:color="auto" w:fill="auto"/>
            <w:noWrap/>
            <w:vAlign w:val="bottom"/>
            <w:hideMark/>
          </w:tcPr>
          <w:p w14:paraId="753144F5" w14:textId="4F421EC4" w:rsidR="006E4AF2" w:rsidRPr="00BF04E0" w:rsidRDefault="006E4AF2" w:rsidP="00AD6B41">
            <w:pPr>
              <w:jc w:val="center"/>
              <w:rPr>
                <w:color w:val="000000" w:themeColor="text1"/>
                <w:sz w:val="22"/>
                <w:szCs w:val="22"/>
              </w:rPr>
            </w:pPr>
            <w:r w:rsidRPr="00BF04E0">
              <w:rPr>
                <w:color w:val="000000" w:themeColor="text1"/>
                <w:sz w:val="22"/>
                <w:szCs w:val="22"/>
              </w:rPr>
              <w:t>0.001</w:t>
            </w:r>
          </w:p>
        </w:tc>
        <w:tc>
          <w:tcPr>
            <w:tcW w:w="1243" w:type="dxa"/>
            <w:gridSpan w:val="2"/>
            <w:tcBorders>
              <w:top w:val="nil"/>
              <w:left w:val="nil"/>
              <w:bottom w:val="nil"/>
              <w:right w:val="nil"/>
            </w:tcBorders>
            <w:shd w:val="clear" w:color="auto" w:fill="auto"/>
            <w:noWrap/>
            <w:vAlign w:val="bottom"/>
            <w:hideMark/>
          </w:tcPr>
          <w:p w14:paraId="7E2F6C40" w14:textId="28FCB9C4" w:rsidR="006E4AF2" w:rsidRPr="00BF04E0" w:rsidRDefault="006E4AF2" w:rsidP="00AD6B41">
            <w:pPr>
              <w:jc w:val="center"/>
              <w:rPr>
                <w:color w:val="000000" w:themeColor="text1"/>
                <w:sz w:val="22"/>
                <w:szCs w:val="22"/>
              </w:rPr>
            </w:pPr>
            <w:r w:rsidRPr="00BF04E0">
              <w:rPr>
                <w:color w:val="000000" w:themeColor="text1"/>
                <w:sz w:val="22"/>
                <w:szCs w:val="22"/>
              </w:rPr>
              <w:t>0.006</w:t>
            </w:r>
          </w:p>
        </w:tc>
        <w:tc>
          <w:tcPr>
            <w:tcW w:w="1153" w:type="dxa"/>
            <w:gridSpan w:val="3"/>
            <w:tcBorders>
              <w:top w:val="nil"/>
              <w:left w:val="nil"/>
              <w:bottom w:val="nil"/>
              <w:right w:val="nil"/>
            </w:tcBorders>
            <w:shd w:val="clear" w:color="auto" w:fill="auto"/>
            <w:noWrap/>
            <w:vAlign w:val="bottom"/>
            <w:hideMark/>
          </w:tcPr>
          <w:p w14:paraId="7C58E030" w14:textId="59685C00" w:rsidR="006E4AF2" w:rsidRPr="00BF04E0" w:rsidRDefault="006E4AF2" w:rsidP="00AD6B41">
            <w:pPr>
              <w:jc w:val="center"/>
              <w:rPr>
                <w:color w:val="000000" w:themeColor="text1"/>
                <w:sz w:val="22"/>
                <w:szCs w:val="22"/>
              </w:rPr>
            </w:pPr>
            <w:r w:rsidRPr="00BF04E0">
              <w:rPr>
                <w:color w:val="000000" w:themeColor="text1"/>
                <w:sz w:val="22"/>
                <w:szCs w:val="22"/>
              </w:rPr>
              <w:t>0.004</w:t>
            </w:r>
          </w:p>
        </w:tc>
      </w:tr>
      <w:tr w:rsidR="009368FD" w:rsidRPr="00BF04E0" w14:paraId="47F91322" w14:textId="77777777" w:rsidTr="00D02AB1">
        <w:trPr>
          <w:gridAfter w:val="1"/>
          <w:wAfter w:w="138" w:type="dxa"/>
          <w:trHeight w:val="280"/>
        </w:trPr>
        <w:tc>
          <w:tcPr>
            <w:tcW w:w="1903" w:type="dxa"/>
            <w:tcBorders>
              <w:top w:val="nil"/>
              <w:left w:val="nil"/>
              <w:bottom w:val="nil"/>
              <w:right w:val="nil"/>
            </w:tcBorders>
            <w:shd w:val="clear" w:color="auto" w:fill="auto"/>
            <w:noWrap/>
            <w:vAlign w:val="bottom"/>
            <w:hideMark/>
          </w:tcPr>
          <w:p w14:paraId="4E00684F" w14:textId="77777777" w:rsidR="006E4AF2" w:rsidRPr="00BF04E0" w:rsidRDefault="006E4AF2" w:rsidP="00AD6B41">
            <w:pPr>
              <w:jc w:val="center"/>
              <w:rPr>
                <w:color w:val="000000" w:themeColor="text1"/>
                <w:sz w:val="22"/>
                <w:szCs w:val="22"/>
              </w:rPr>
            </w:pPr>
          </w:p>
        </w:tc>
        <w:tc>
          <w:tcPr>
            <w:tcW w:w="1152" w:type="dxa"/>
            <w:tcBorders>
              <w:top w:val="nil"/>
              <w:left w:val="nil"/>
              <w:bottom w:val="nil"/>
              <w:right w:val="nil"/>
            </w:tcBorders>
            <w:shd w:val="clear" w:color="auto" w:fill="auto"/>
            <w:noWrap/>
            <w:vAlign w:val="bottom"/>
            <w:hideMark/>
          </w:tcPr>
          <w:p w14:paraId="00AE892D" w14:textId="77777777" w:rsidR="006E4AF2" w:rsidRPr="00BF04E0" w:rsidRDefault="006E4AF2" w:rsidP="00AD6B41">
            <w:pPr>
              <w:jc w:val="center"/>
              <w:rPr>
                <w:color w:val="000000" w:themeColor="text1"/>
                <w:sz w:val="22"/>
                <w:szCs w:val="22"/>
              </w:rPr>
            </w:pPr>
          </w:p>
        </w:tc>
        <w:tc>
          <w:tcPr>
            <w:tcW w:w="1153" w:type="dxa"/>
            <w:tcBorders>
              <w:top w:val="nil"/>
              <w:left w:val="nil"/>
              <w:bottom w:val="nil"/>
              <w:right w:val="nil"/>
            </w:tcBorders>
            <w:shd w:val="clear" w:color="auto" w:fill="auto"/>
            <w:noWrap/>
            <w:vAlign w:val="bottom"/>
            <w:hideMark/>
          </w:tcPr>
          <w:p w14:paraId="42D13B18" w14:textId="77777777" w:rsidR="006E4AF2" w:rsidRPr="00BF04E0" w:rsidRDefault="006E4AF2" w:rsidP="00AD6B41">
            <w:pPr>
              <w:jc w:val="center"/>
              <w:rPr>
                <w:color w:val="000000" w:themeColor="text1"/>
                <w:sz w:val="22"/>
                <w:szCs w:val="22"/>
              </w:rPr>
            </w:pPr>
          </w:p>
        </w:tc>
        <w:tc>
          <w:tcPr>
            <w:tcW w:w="1041" w:type="dxa"/>
            <w:tcBorders>
              <w:top w:val="nil"/>
              <w:left w:val="nil"/>
              <w:bottom w:val="nil"/>
              <w:right w:val="nil"/>
            </w:tcBorders>
            <w:vAlign w:val="bottom"/>
          </w:tcPr>
          <w:p w14:paraId="7DA5CA45" w14:textId="3891DFCE" w:rsidR="006E4AF2" w:rsidRPr="00BF04E0" w:rsidRDefault="006E4AF2" w:rsidP="00AD6B41">
            <w:pPr>
              <w:jc w:val="center"/>
              <w:rPr>
                <w:color w:val="000000" w:themeColor="text1"/>
                <w:sz w:val="22"/>
                <w:szCs w:val="22"/>
              </w:rPr>
            </w:pPr>
            <w:r w:rsidRPr="00BF04E0">
              <w:rPr>
                <w:color w:val="000000" w:themeColor="text1"/>
                <w:sz w:val="22"/>
                <w:szCs w:val="22"/>
              </w:rPr>
              <w:t>(-0.25)</w:t>
            </w:r>
          </w:p>
        </w:tc>
        <w:tc>
          <w:tcPr>
            <w:tcW w:w="1153" w:type="dxa"/>
            <w:gridSpan w:val="2"/>
            <w:tcBorders>
              <w:top w:val="nil"/>
              <w:left w:val="nil"/>
              <w:bottom w:val="nil"/>
              <w:right w:val="nil"/>
            </w:tcBorders>
            <w:shd w:val="clear" w:color="auto" w:fill="auto"/>
            <w:noWrap/>
            <w:vAlign w:val="bottom"/>
            <w:hideMark/>
          </w:tcPr>
          <w:p w14:paraId="6FD4E6F4" w14:textId="2E54935B" w:rsidR="006E4AF2" w:rsidRPr="00BF04E0" w:rsidRDefault="006E4AF2" w:rsidP="00AD6B41">
            <w:pPr>
              <w:jc w:val="center"/>
              <w:rPr>
                <w:color w:val="000000" w:themeColor="text1"/>
                <w:sz w:val="22"/>
                <w:szCs w:val="22"/>
              </w:rPr>
            </w:pPr>
            <w:r w:rsidRPr="00BF04E0">
              <w:rPr>
                <w:color w:val="000000" w:themeColor="text1"/>
                <w:sz w:val="22"/>
                <w:szCs w:val="22"/>
              </w:rPr>
              <w:t>(0.45)</w:t>
            </w:r>
          </w:p>
        </w:tc>
        <w:tc>
          <w:tcPr>
            <w:tcW w:w="1243" w:type="dxa"/>
            <w:gridSpan w:val="2"/>
            <w:tcBorders>
              <w:top w:val="nil"/>
              <w:left w:val="nil"/>
              <w:bottom w:val="nil"/>
              <w:right w:val="nil"/>
            </w:tcBorders>
            <w:shd w:val="clear" w:color="auto" w:fill="auto"/>
            <w:noWrap/>
            <w:vAlign w:val="bottom"/>
            <w:hideMark/>
          </w:tcPr>
          <w:p w14:paraId="55ACFEC6" w14:textId="68FBC944" w:rsidR="006E4AF2" w:rsidRPr="00BF04E0" w:rsidRDefault="006E4AF2" w:rsidP="00AD6B41">
            <w:pPr>
              <w:jc w:val="center"/>
              <w:rPr>
                <w:color w:val="000000" w:themeColor="text1"/>
                <w:sz w:val="22"/>
                <w:szCs w:val="22"/>
              </w:rPr>
            </w:pPr>
            <w:r w:rsidRPr="00BF04E0">
              <w:rPr>
                <w:color w:val="000000" w:themeColor="text1"/>
                <w:sz w:val="22"/>
                <w:szCs w:val="22"/>
              </w:rPr>
              <w:t>(1.62)</w:t>
            </w:r>
          </w:p>
        </w:tc>
        <w:tc>
          <w:tcPr>
            <w:tcW w:w="1153" w:type="dxa"/>
            <w:gridSpan w:val="3"/>
            <w:tcBorders>
              <w:top w:val="nil"/>
              <w:left w:val="nil"/>
              <w:bottom w:val="nil"/>
              <w:right w:val="nil"/>
            </w:tcBorders>
            <w:shd w:val="clear" w:color="auto" w:fill="auto"/>
            <w:noWrap/>
            <w:vAlign w:val="bottom"/>
            <w:hideMark/>
          </w:tcPr>
          <w:p w14:paraId="68B6CD91" w14:textId="28D5395B" w:rsidR="006E4AF2" w:rsidRPr="00BF04E0" w:rsidRDefault="006E4AF2" w:rsidP="00AD6B41">
            <w:pPr>
              <w:jc w:val="center"/>
              <w:rPr>
                <w:color w:val="000000" w:themeColor="text1"/>
                <w:sz w:val="22"/>
                <w:szCs w:val="22"/>
              </w:rPr>
            </w:pPr>
            <w:r w:rsidRPr="00BF04E0">
              <w:rPr>
                <w:color w:val="000000" w:themeColor="text1"/>
                <w:sz w:val="22"/>
                <w:szCs w:val="22"/>
              </w:rPr>
              <w:t>(1.15)</w:t>
            </w:r>
          </w:p>
        </w:tc>
      </w:tr>
      <w:tr w:rsidR="009368FD" w:rsidRPr="00BF04E0" w14:paraId="0021AE79" w14:textId="77777777" w:rsidTr="00D02AB1">
        <w:trPr>
          <w:gridAfter w:val="1"/>
          <w:wAfter w:w="138" w:type="dxa"/>
          <w:trHeight w:val="280"/>
        </w:trPr>
        <w:tc>
          <w:tcPr>
            <w:tcW w:w="1903" w:type="dxa"/>
            <w:tcBorders>
              <w:top w:val="nil"/>
              <w:left w:val="nil"/>
              <w:bottom w:val="nil"/>
              <w:right w:val="nil"/>
            </w:tcBorders>
            <w:shd w:val="clear" w:color="auto" w:fill="auto"/>
            <w:noWrap/>
            <w:vAlign w:val="bottom"/>
            <w:hideMark/>
          </w:tcPr>
          <w:p w14:paraId="395FE8ED" w14:textId="5247CE98" w:rsidR="006E4AF2" w:rsidRPr="00BF04E0" w:rsidRDefault="006E4AF2" w:rsidP="006A4A7C">
            <w:pPr>
              <w:jc w:val="center"/>
              <w:rPr>
                <w:color w:val="000000" w:themeColor="text1"/>
                <w:sz w:val="22"/>
                <w:szCs w:val="22"/>
                <w:vertAlign w:val="subscript"/>
              </w:rPr>
            </w:pPr>
            <w:r w:rsidRPr="00BF04E0">
              <w:rPr>
                <w:color w:val="000000" w:themeColor="text1"/>
                <w:sz w:val="22"/>
                <w:szCs w:val="22"/>
              </w:rPr>
              <w:t>λ</w:t>
            </w:r>
            <w:r w:rsidR="003F64F6" w:rsidRPr="00BF04E0">
              <w:rPr>
                <w:color w:val="000000" w:themeColor="text1"/>
                <w:sz w:val="22"/>
                <w:szCs w:val="22"/>
                <w:vertAlign w:val="subscript"/>
              </w:rPr>
              <w:t>Ret</w:t>
            </w:r>
            <w:r w:rsidR="003F64F6" w:rsidRPr="00BF04E0">
              <w:rPr>
                <w:color w:val="000000" w:themeColor="text1"/>
                <w:sz w:val="12"/>
                <w:szCs w:val="12"/>
                <w:vertAlign w:val="subscript"/>
              </w:rPr>
              <w:t>t-1, t-12</w:t>
            </w:r>
          </w:p>
        </w:tc>
        <w:tc>
          <w:tcPr>
            <w:tcW w:w="1152" w:type="dxa"/>
            <w:tcBorders>
              <w:top w:val="nil"/>
              <w:left w:val="nil"/>
              <w:bottom w:val="nil"/>
              <w:right w:val="nil"/>
            </w:tcBorders>
            <w:shd w:val="clear" w:color="auto" w:fill="auto"/>
            <w:noWrap/>
            <w:vAlign w:val="bottom"/>
            <w:hideMark/>
          </w:tcPr>
          <w:p w14:paraId="2F77A351" w14:textId="77777777" w:rsidR="006E4AF2" w:rsidRPr="00BF04E0" w:rsidRDefault="006E4AF2" w:rsidP="006A4A7C">
            <w:pPr>
              <w:jc w:val="center"/>
              <w:rPr>
                <w:color w:val="000000" w:themeColor="text1"/>
                <w:sz w:val="22"/>
                <w:szCs w:val="22"/>
              </w:rPr>
            </w:pPr>
          </w:p>
        </w:tc>
        <w:tc>
          <w:tcPr>
            <w:tcW w:w="1153" w:type="dxa"/>
            <w:tcBorders>
              <w:top w:val="nil"/>
              <w:left w:val="nil"/>
              <w:bottom w:val="nil"/>
              <w:right w:val="nil"/>
            </w:tcBorders>
            <w:shd w:val="clear" w:color="auto" w:fill="auto"/>
            <w:noWrap/>
            <w:vAlign w:val="bottom"/>
            <w:hideMark/>
          </w:tcPr>
          <w:p w14:paraId="1BC11E63" w14:textId="77777777" w:rsidR="006E4AF2" w:rsidRPr="00BF04E0" w:rsidRDefault="006E4AF2" w:rsidP="006A4A7C">
            <w:pPr>
              <w:jc w:val="center"/>
              <w:rPr>
                <w:color w:val="000000" w:themeColor="text1"/>
                <w:sz w:val="22"/>
                <w:szCs w:val="22"/>
              </w:rPr>
            </w:pPr>
          </w:p>
        </w:tc>
        <w:tc>
          <w:tcPr>
            <w:tcW w:w="1041" w:type="dxa"/>
            <w:tcBorders>
              <w:top w:val="nil"/>
              <w:left w:val="nil"/>
              <w:bottom w:val="nil"/>
              <w:right w:val="nil"/>
            </w:tcBorders>
            <w:vAlign w:val="bottom"/>
          </w:tcPr>
          <w:p w14:paraId="2ADDD3DB" w14:textId="71E5EBA6" w:rsidR="006E4AF2" w:rsidRPr="00BF04E0" w:rsidRDefault="006E4AF2" w:rsidP="006A4A7C">
            <w:pPr>
              <w:jc w:val="center"/>
              <w:rPr>
                <w:color w:val="000000" w:themeColor="text1"/>
                <w:sz w:val="22"/>
                <w:szCs w:val="22"/>
              </w:rPr>
            </w:pPr>
          </w:p>
        </w:tc>
        <w:tc>
          <w:tcPr>
            <w:tcW w:w="1153" w:type="dxa"/>
            <w:gridSpan w:val="2"/>
            <w:tcBorders>
              <w:top w:val="nil"/>
              <w:left w:val="nil"/>
              <w:bottom w:val="nil"/>
              <w:right w:val="nil"/>
            </w:tcBorders>
            <w:shd w:val="clear" w:color="auto" w:fill="auto"/>
            <w:noWrap/>
            <w:vAlign w:val="bottom"/>
            <w:hideMark/>
          </w:tcPr>
          <w:p w14:paraId="5AB78C23" w14:textId="5C4DAC74" w:rsidR="006E4AF2" w:rsidRPr="00BF04E0" w:rsidRDefault="006E4AF2" w:rsidP="006A4A7C">
            <w:pPr>
              <w:jc w:val="center"/>
              <w:rPr>
                <w:color w:val="000000" w:themeColor="text1"/>
                <w:sz w:val="22"/>
                <w:szCs w:val="22"/>
              </w:rPr>
            </w:pPr>
          </w:p>
        </w:tc>
        <w:tc>
          <w:tcPr>
            <w:tcW w:w="1243" w:type="dxa"/>
            <w:gridSpan w:val="2"/>
            <w:tcBorders>
              <w:top w:val="nil"/>
              <w:left w:val="nil"/>
              <w:bottom w:val="nil"/>
              <w:right w:val="nil"/>
            </w:tcBorders>
            <w:shd w:val="clear" w:color="auto" w:fill="auto"/>
            <w:noWrap/>
            <w:vAlign w:val="bottom"/>
            <w:hideMark/>
          </w:tcPr>
          <w:p w14:paraId="4E880231" w14:textId="04E96FAF" w:rsidR="006E4AF2" w:rsidRPr="00BF04E0" w:rsidRDefault="006E4AF2" w:rsidP="006A4A7C">
            <w:pPr>
              <w:jc w:val="center"/>
              <w:rPr>
                <w:color w:val="000000" w:themeColor="text1"/>
                <w:sz w:val="22"/>
                <w:szCs w:val="22"/>
              </w:rPr>
            </w:pPr>
            <w:r w:rsidRPr="00BF04E0">
              <w:rPr>
                <w:color w:val="000000" w:themeColor="text1"/>
                <w:sz w:val="22"/>
                <w:szCs w:val="22"/>
              </w:rPr>
              <w:t>0.004</w:t>
            </w:r>
          </w:p>
        </w:tc>
        <w:tc>
          <w:tcPr>
            <w:tcW w:w="1153" w:type="dxa"/>
            <w:gridSpan w:val="3"/>
            <w:tcBorders>
              <w:top w:val="nil"/>
              <w:left w:val="nil"/>
              <w:bottom w:val="nil"/>
              <w:right w:val="nil"/>
            </w:tcBorders>
            <w:shd w:val="clear" w:color="auto" w:fill="auto"/>
            <w:noWrap/>
            <w:vAlign w:val="bottom"/>
            <w:hideMark/>
          </w:tcPr>
          <w:p w14:paraId="52C8E5B8" w14:textId="77777777" w:rsidR="006E4AF2" w:rsidRPr="00BF04E0" w:rsidRDefault="006E4AF2" w:rsidP="006A4A7C">
            <w:pPr>
              <w:jc w:val="center"/>
              <w:rPr>
                <w:color w:val="000000" w:themeColor="text1"/>
                <w:sz w:val="22"/>
                <w:szCs w:val="22"/>
              </w:rPr>
            </w:pPr>
          </w:p>
        </w:tc>
      </w:tr>
      <w:tr w:rsidR="009368FD" w:rsidRPr="00BF04E0" w14:paraId="4133F362" w14:textId="77777777" w:rsidTr="00D02AB1">
        <w:trPr>
          <w:gridAfter w:val="1"/>
          <w:wAfter w:w="138" w:type="dxa"/>
          <w:trHeight w:val="280"/>
        </w:trPr>
        <w:tc>
          <w:tcPr>
            <w:tcW w:w="1903" w:type="dxa"/>
            <w:tcBorders>
              <w:top w:val="nil"/>
              <w:left w:val="nil"/>
              <w:bottom w:val="nil"/>
              <w:right w:val="nil"/>
            </w:tcBorders>
            <w:shd w:val="clear" w:color="auto" w:fill="auto"/>
            <w:noWrap/>
            <w:vAlign w:val="bottom"/>
            <w:hideMark/>
          </w:tcPr>
          <w:p w14:paraId="272EF747" w14:textId="77777777" w:rsidR="006E4AF2" w:rsidRPr="00BF04E0" w:rsidRDefault="006E4AF2" w:rsidP="006A4A7C">
            <w:pPr>
              <w:jc w:val="center"/>
              <w:rPr>
                <w:color w:val="000000" w:themeColor="text1"/>
                <w:sz w:val="22"/>
                <w:szCs w:val="22"/>
              </w:rPr>
            </w:pPr>
          </w:p>
        </w:tc>
        <w:tc>
          <w:tcPr>
            <w:tcW w:w="1152" w:type="dxa"/>
            <w:tcBorders>
              <w:top w:val="nil"/>
              <w:left w:val="nil"/>
              <w:bottom w:val="nil"/>
              <w:right w:val="nil"/>
            </w:tcBorders>
            <w:shd w:val="clear" w:color="auto" w:fill="auto"/>
            <w:noWrap/>
            <w:vAlign w:val="bottom"/>
            <w:hideMark/>
          </w:tcPr>
          <w:p w14:paraId="4FD135C9" w14:textId="77777777" w:rsidR="006E4AF2" w:rsidRPr="00BF04E0" w:rsidRDefault="006E4AF2" w:rsidP="006A4A7C">
            <w:pPr>
              <w:jc w:val="center"/>
              <w:rPr>
                <w:color w:val="000000" w:themeColor="text1"/>
                <w:sz w:val="22"/>
                <w:szCs w:val="22"/>
              </w:rPr>
            </w:pPr>
          </w:p>
        </w:tc>
        <w:tc>
          <w:tcPr>
            <w:tcW w:w="1153" w:type="dxa"/>
            <w:tcBorders>
              <w:top w:val="nil"/>
              <w:left w:val="nil"/>
              <w:bottom w:val="nil"/>
              <w:right w:val="nil"/>
            </w:tcBorders>
            <w:shd w:val="clear" w:color="auto" w:fill="auto"/>
            <w:noWrap/>
            <w:vAlign w:val="bottom"/>
            <w:hideMark/>
          </w:tcPr>
          <w:p w14:paraId="280943D3" w14:textId="77777777" w:rsidR="006E4AF2" w:rsidRPr="00BF04E0" w:rsidRDefault="006E4AF2" w:rsidP="006A4A7C">
            <w:pPr>
              <w:jc w:val="center"/>
              <w:rPr>
                <w:color w:val="000000" w:themeColor="text1"/>
                <w:sz w:val="22"/>
                <w:szCs w:val="22"/>
              </w:rPr>
            </w:pPr>
          </w:p>
        </w:tc>
        <w:tc>
          <w:tcPr>
            <w:tcW w:w="1041" w:type="dxa"/>
            <w:tcBorders>
              <w:top w:val="nil"/>
              <w:left w:val="nil"/>
              <w:bottom w:val="nil"/>
              <w:right w:val="nil"/>
            </w:tcBorders>
            <w:vAlign w:val="bottom"/>
          </w:tcPr>
          <w:p w14:paraId="18552F47" w14:textId="18410EBD" w:rsidR="006E4AF2" w:rsidRPr="00BF04E0" w:rsidRDefault="006E4AF2" w:rsidP="006A4A7C">
            <w:pPr>
              <w:jc w:val="center"/>
              <w:rPr>
                <w:color w:val="000000" w:themeColor="text1"/>
                <w:sz w:val="22"/>
                <w:szCs w:val="22"/>
              </w:rPr>
            </w:pPr>
          </w:p>
        </w:tc>
        <w:tc>
          <w:tcPr>
            <w:tcW w:w="1153" w:type="dxa"/>
            <w:gridSpan w:val="2"/>
            <w:tcBorders>
              <w:top w:val="nil"/>
              <w:left w:val="nil"/>
              <w:bottom w:val="nil"/>
              <w:right w:val="nil"/>
            </w:tcBorders>
            <w:shd w:val="clear" w:color="auto" w:fill="auto"/>
            <w:noWrap/>
            <w:vAlign w:val="bottom"/>
            <w:hideMark/>
          </w:tcPr>
          <w:p w14:paraId="067BCD66" w14:textId="1B1539C0" w:rsidR="006E4AF2" w:rsidRPr="00BF04E0" w:rsidRDefault="006E4AF2" w:rsidP="006A4A7C">
            <w:pPr>
              <w:jc w:val="center"/>
              <w:rPr>
                <w:color w:val="000000" w:themeColor="text1"/>
                <w:sz w:val="22"/>
                <w:szCs w:val="22"/>
              </w:rPr>
            </w:pPr>
          </w:p>
        </w:tc>
        <w:tc>
          <w:tcPr>
            <w:tcW w:w="1243" w:type="dxa"/>
            <w:gridSpan w:val="2"/>
            <w:tcBorders>
              <w:top w:val="nil"/>
              <w:left w:val="nil"/>
              <w:bottom w:val="nil"/>
              <w:right w:val="nil"/>
            </w:tcBorders>
            <w:shd w:val="clear" w:color="auto" w:fill="auto"/>
            <w:noWrap/>
            <w:vAlign w:val="bottom"/>
            <w:hideMark/>
          </w:tcPr>
          <w:p w14:paraId="56836A11" w14:textId="61313332" w:rsidR="006E4AF2" w:rsidRPr="00BF04E0" w:rsidRDefault="006E4AF2" w:rsidP="006A4A7C">
            <w:pPr>
              <w:jc w:val="center"/>
              <w:rPr>
                <w:color w:val="000000" w:themeColor="text1"/>
                <w:sz w:val="22"/>
                <w:szCs w:val="22"/>
              </w:rPr>
            </w:pPr>
            <w:r w:rsidRPr="00BF04E0">
              <w:rPr>
                <w:color w:val="000000" w:themeColor="text1"/>
                <w:sz w:val="22"/>
                <w:szCs w:val="22"/>
              </w:rPr>
              <w:t>(0.32)</w:t>
            </w:r>
          </w:p>
        </w:tc>
        <w:tc>
          <w:tcPr>
            <w:tcW w:w="1153" w:type="dxa"/>
            <w:gridSpan w:val="3"/>
            <w:tcBorders>
              <w:top w:val="nil"/>
              <w:left w:val="nil"/>
              <w:bottom w:val="nil"/>
              <w:right w:val="nil"/>
            </w:tcBorders>
            <w:shd w:val="clear" w:color="auto" w:fill="auto"/>
            <w:noWrap/>
            <w:vAlign w:val="bottom"/>
            <w:hideMark/>
          </w:tcPr>
          <w:p w14:paraId="0A88E7DE" w14:textId="77777777" w:rsidR="006E4AF2" w:rsidRPr="00BF04E0" w:rsidRDefault="006E4AF2" w:rsidP="006A4A7C">
            <w:pPr>
              <w:jc w:val="center"/>
              <w:rPr>
                <w:color w:val="000000" w:themeColor="text1"/>
                <w:sz w:val="22"/>
                <w:szCs w:val="22"/>
              </w:rPr>
            </w:pPr>
          </w:p>
        </w:tc>
      </w:tr>
      <w:tr w:rsidR="009368FD" w:rsidRPr="00BF04E0" w14:paraId="7F2E325D" w14:textId="77777777" w:rsidTr="00D02AB1">
        <w:trPr>
          <w:gridAfter w:val="1"/>
          <w:wAfter w:w="138" w:type="dxa"/>
          <w:trHeight w:val="280"/>
        </w:trPr>
        <w:tc>
          <w:tcPr>
            <w:tcW w:w="1903" w:type="dxa"/>
            <w:tcBorders>
              <w:top w:val="nil"/>
              <w:left w:val="nil"/>
              <w:bottom w:val="nil"/>
              <w:right w:val="nil"/>
            </w:tcBorders>
            <w:shd w:val="clear" w:color="auto" w:fill="auto"/>
            <w:noWrap/>
            <w:vAlign w:val="bottom"/>
            <w:hideMark/>
          </w:tcPr>
          <w:p w14:paraId="010CD83D" w14:textId="33FC3762" w:rsidR="006E4AF2" w:rsidRPr="00BF04E0" w:rsidRDefault="006E4AF2" w:rsidP="006A4A7C">
            <w:pPr>
              <w:jc w:val="center"/>
              <w:rPr>
                <w:color w:val="000000" w:themeColor="text1"/>
                <w:sz w:val="22"/>
                <w:szCs w:val="22"/>
              </w:rPr>
            </w:pPr>
            <w:proofErr w:type="spellStart"/>
            <w:r w:rsidRPr="00BF04E0">
              <w:rPr>
                <w:color w:val="000000" w:themeColor="text1"/>
                <w:sz w:val="22"/>
                <w:szCs w:val="22"/>
              </w:rPr>
              <w:t>λ</w:t>
            </w:r>
            <w:r w:rsidR="003F64F6" w:rsidRPr="00BF04E0">
              <w:rPr>
                <w:color w:val="000000" w:themeColor="text1"/>
                <w:sz w:val="22"/>
                <w:szCs w:val="22"/>
                <w:vertAlign w:val="subscript"/>
              </w:rPr>
              <w:t>ROE</w:t>
            </w:r>
            <w:proofErr w:type="spellEnd"/>
          </w:p>
        </w:tc>
        <w:tc>
          <w:tcPr>
            <w:tcW w:w="1152" w:type="dxa"/>
            <w:tcBorders>
              <w:top w:val="nil"/>
              <w:left w:val="nil"/>
              <w:bottom w:val="nil"/>
              <w:right w:val="nil"/>
            </w:tcBorders>
            <w:shd w:val="clear" w:color="auto" w:fill="auto"/>
            <w:noWrap/>
            <w:vAlign w:val="bottom"/>
            <w:hideMark/>
          </w:tcPr>
          <w:p w14:paraId="64D04345" w14:textId="77777777" w:rsidR="006E4AF2" w:rsidRPr="00BF04E0" w:rsidRDefault="006E4AF2" w:rsidP="006A4A7C">
            <w:pPr>
              <w:jc w:val="center"/>
              <w:rPr>
                <w:color w:val="000000" w:themeColor="text1"/>
                <w:sz w:val="22"/>
                <w:szCs w:val="22"/>
              </w:rPr>
            </w:pPr>
          </w:p>
        </w:tc>
        <w:tc>
          <w:tcPr>
            <w:tcW w:w="1153" w:type="dxa"/>
            <w:tcBorders>
              <w:top w:val="nil"/>
              <w:left w:val="nil"/>
              <w:bottom w:val="nil"/>
              <w:right w:val="nil"/>
            </w:tcBorders>
            <w:shd w:val="clear" w:color="auto" w:fill="auto"/>
            <w:noWrap/>
            <w:vAlign w:val="bottom"/>
            <w:hideMark/>
          </w:tcPr>
          <w:p w14:paraId="24B1A73B" w14:textId="77777777" w:rsidR="006E4AF2" w:rsidRPr="00BF04E0" w:rsidRDefault="006E4AF2" w:rsidP="006A4A7C">
            <w:pPr>
              <w:jc w:val="center"/>
              <w:rPr>
                <w:color w:val="000000" w:themeColor="text1"/>
                <w:sz w:val="22"/>
                <w:szCs w:val="22"/>
              </w:rPr>
            </w:pPr>
          </w:p>
        </w:tc>
        <w:tc>
          <w:tcPr>
            <w:tcW w:w="1041" w:type="dxa"/>
            <w:tcBorders>
              <w:top w:val="nil"/>
              <w:left w:val="nil"/>
              <w:bottom w:val="nil"/>
              <w:right w:val="nil"/>
            </w:tcBorders>
            <w:vAlign w:val="bottom"/>
          </w:tcPr>
          <w:p w14:paraId="7AF674E1" w14:textId="1466DAF8" w:rsidR="006E4AF2" w:rsidRPr="00BF04E0" w:rsidRDefault="006E4AF2" w:rsidP="006A4A7C">
            <w:pPr>
              <w:jc w:val="center"/>
              <w:rPr>
                <w:color w:val="000000" w:themeColor="text1"/>
                <w:sz w:val="22"/>
                <w:szCs w:val="22"/>
              </w:rPr>
            </w:pPr>
          </w:p>
        </w:tc>
        <w:tc>
          <w:tcPr>
            <w:tcW w:w="1153" w:type="dxa"/>
            <w:gridSpan w:val="2"/>
            <w:tcBorders>
              <w:top w:val="nil"/>
              <w:left w:val="nil"/>
              <w:bottom w:val="nil"/>
              <w:right w:val="nil"/>
            </w:tcBorders>
            <w:shd w:val="clear" w:color="auto" w:fill="auto"/>
            <w:noWrap/>
            <w:vAlign w:val="bottom"/>
            <w:hideMark/>
          </w:tcPr>
          <w:p w14:paraId="4E69365C" w14:textId="170376EF" w:rsidR="006E4AF2" w:rsidRPr="00BF04E0" w:rsidRDefault="006E4AF2" w:rsidP="006A4A7C">
            <w:pPr>
              <w:jc w:val="center"/>
              <w:rPr>
                <w:color w:val="000000" w:themeColor="text1"/>
                <w:sz w:val="22"/>
                <w:szCs w:val="22"/>
              </w:rPr>
            </w:pPr>
          </w:p>
        </w:tc>
        <w:tc>
          <w:tcPr>
            <w:tcW w:w="1243" w:type="dxa"/>
            <w:gridSpan w:val="2"/>
            <w:tcBorders>
              <w:top w:val="nil"/>
              <w:left w:val="nil"/>
              <w:bottom w:val="nil"/>
              <w:right w:val="nil"/>
            </w:tcBorders>
            <w:shd w:val="clear" w:color="auto" w:fill="auto"/>
            <w:noWrap/>
            <w:vAlign w:val="bottom"/>
            <w:hideMark/>
          </w:tcPr>
          <w:p w14:paraId="35573C8B" w14:textId="77777777" w:rsidR="006E4AF2" w:rsidRPr="00BF04E0" w:rsidRDefault="006E4AF2" w:rsidP="006A4A7C">
            <w:pPr>
              <w:jc w:val="center"/>
              <w:rPr>
                <w:color w:val="000000" w:themeColor="text1"/>
                <w:sz w:val="22"/>
                <w:szCs w:val="22"/>
              </w:rPr>
            </w:pPr>
          </w:p>
        </w:tc>
        <w:tc>
          <w:tcPr>
            <w:tcW w:w="1153" w:type="dxa"/>
            <w:gridSpan w:val="3"/>
            <w:tcBorders>
              <w:top w:val="nil"/>
              <w:left w:val="nil"/>
              <w:bottom w:val="nil"/>
              <w:right w:val="nil"/>
            </w:tcBorders>
            <w:shd w:val="clear" w:color="auto" w:fill="auto"/>
            <w:noWrap/>
            <w:vAlign w:val="bottom"/>
            <w:hideMark/>
          </w:tcPr>
          <w:p w14:paraId="6EBA6128" w14:textId="0280443B" w:rsidR="006E4AF2" w:rsidRPr="00BF04E0" w:rsidRDefault="006E4AF2" w:rsidP="006A4A7C">
            <w:pPr>
              <w:jc w:val="center"/>
              <w:rPr>
                <w:color w:val="000000" w:themeColor="text1"/>
                <w:sz w:val="22"/>
                <w:szCs w:val="22"/>
              </w:rPr>
            </w:pPr>
            <w:r w:rsidRPr="00BF04E0">
              <w:rPr>
                <w:color w:val="000000" w:themeColor="text1"/>
                <w:sz w:val="22"/>
                <w:szCs w:val="22"/>
              </w:rPr>
              <w:t>0.000</w:t>
            </w:r>
          </w:p>
        </w:tc>
      </w:tr>
      <w:tr w:rsidR="009368FD" w:rsidRPr="00BF04E0" w14:paraId="1F126BA8" w14:textId="77777777" w:rsidTr="00D02AB1">
        <w:trPr>
          <w:gridAfter w:val="1"/>
          <w:wAfter w:w="138" w:type="dxa"/>
          <w:trHeight w:val="280"/>
        </w:trPr>
        <w:tc>
          <w:tcPr>
            <w:tcW w:w="1903" w:type="dxa"/>
            <w:tcBorders>
              <w:top w:val="nil"/>
              <w:left w:val="nil"/>
              <w:bottom w:val="nil"/>
              <w:right w:val="nil"/>
            </w:tcBorders>
            <w:shd w:val="clear" w:color="auto" w:fill="auto"/>
            <w:noWrap/>
            <w:vAlign w:val="bottom"/>
            <w:hideMark/>
          </w:tcPr>
          <w:p w14:paraId="2A4F1D49" w14:textId="77777777" w:rsidR="006E4AF2" w:rsidRPr="00BF04E0" w:rsidRDefault="006E4AF2" w:rsidP="006A4A7C">
            <w:pPr>
              <w:jc w:val="center"/>
              <w:rPr>
                <w:color w:val="000000" w:themeColor="text1"/>
                <w:sz w:val="22"/>
                <w:szCs w:val="22"/>
              </w:rPr>
            </w:pPr>
          </w:p>
        </w:tc>
        <w:tc>
          <w:tcPr>
            <w:tcW w:w="1152" w:type="dxa"/>
            <w:tcBorders>
              <w:top w:val="nil"/>
              <w:left w:val="nil"/>
              <w:bottom w:val="nil"/>
              <w:right w:val="nil"/>
            </w:tcBorders>
            <w:shd w:val="clear" w:color="auto" w:fill="auto"/>
            <w:noWrap/>
            <w:vAlign w:val="bottom"/>
            <w:hideMark/>
          </w:tcPr>
          <w:p w14:paraId="38234AF8" w14:textId="77777777" w:rsidR="006E4AF2" w:rsidRPr="00BF04E0" w:rsidRDefault="006E4AF2" w:rsidP="006A4A7C">
            <w:pPr>
              <w:jc w:val="center"/>
              <w:rPr>
                <w:color w:val="000000" w:themeColor="text1"/>
                <w:sz w:val="22"/>
                <w:szCs w:val="22"/>
              </w:rPr>
            </w:pPr>
          </w:p>
        </w:tc>
        <w:tc>
          <w:tcPr>
            <w:tcW w:w="1153" w:type="dxa"/>
            <w:tcBorders>
              <w:top w:val="nil"/>
              <w:left w:val="nil"/>
              <w:bottom w:val="nil"/>
              <w:right w:val="nil"/>
            </w:tcBorders>
            <w:shd w:val="clear" w:color="auto" w:fill="auto"/>
            <w:noWrap/>
            <w:vAlign w:val="bottom"/>
            <w:hideMark/>
          </w:tcPr>
          <w:p w14:paraId="3CFFD094" w14:textId="77777777" w:rsidR="006E4AF2" w:rsidRPr="00BF04E0" w:rsidRDefault="006E4AF2" w:rsidP="006A4A7C">
            <w:pPr>
              <w:jc w:val="center"/>
              <w:rPr>
                <w:color w:val="000000" w:themeColor="text1"/>
                <w:sz w:val="22"/>
                <w:szCs w:val="22"/>
              </w:rPr>
            </w:pPr>
          </w:p>
        </w:tc>
        <w:tc>
          <w:tcPr>
            <w:tcW w:w="1041" w:type="dxa"/>
            <w:tcBorders>
              <w:top w:val="nil"/>
              <w:left w:val="nil"/>
              <w:bottom w:val="nil"/>
              <w:right w:val="nil"/>
            </w:tcBorders>
            <w:vAlign w:val="bottom"/>
          </w:tcPr>
          <w:p w14:paraId="7484295D" w14:textId="7BA49283" w:rsidR="006E4AF2" w:rsidRPr="00BF04E0" w:rsidRDefault="006E4AF2" w:rsidP="006A4A7C">
            <w:pPr>
              <w:jc w:val="center"/>
              <w:rPr>
                <w:color w:val="000000" w:themeColor="text1"/>
                <w:sz w:val="22"/>
                <w:szCs w:val="22"/>
              </w:rPr>
            </w:pPr>
          </w:p>
        </w:tc>
        <w:tc>
          <w:tcPr>
            <w:tcW w:w="1153" w:type="dxa"/>
            <w:gridSpan w:val="2"/>
            <w:tcBorders>
              <w:top w:val="nil"/>
              <w:left w:val="nil"/>
              <w:bottom w:val="nil"/>
              <w:right w:val="nil"/>
            </w:tcBorders>
            <w:shd w:val="clear" w:color="auto" w:fill="auto"/>
            <w:noWrap/>
            <w:vAlign w:val="bottom"/>
            <w:hideMark/>
          </w:tcPr>
          <w:p w14:paraId="3CF1985B" w14:textId="5BEED592" w:rsidR="006E4AF2" w:rsidRPr="00BF04E0" w:rsidRDefault="006E4AF2" w:rsidP="006A4A7C">
            <w:pPr>
              <w:jc w:val="center"/>
              <w:rPr>
                <w:color w:val="000000" w:themeColor="text1"/>
                <w:sz w:val="22"/>
                <w:szCs w:val="22"/>
              </w:rPr>
            </w:pPr>
          </w:p>
        </w:tc>
        <w:tc>
          <w:tcPr>
            <w:tcW w:w="1243" w:type="dxa"/>
            <w:gridSpan w:val="2"/>
            <w:tcBorders>
              <w:top w:val="nil"/>
              <w:left w:val="nil"/>
              <w:bottom w:val="nil"/>
              <w:right w:val="nil"/>
            </w:tcBorders>
            <w:shd w:val="clear" w:color="auto" w:fill="auto"/>
            <w:noWrap/>
            <w:vAlign w:val="bottom"/>
            <w:hideMark/>
          </w:tcPr>
          <w:p w14:paraId="1B6EA5B1" w14:textId="77777777" w:rsidR="006E4AF2" w:rsidRPr="00BF04E0" w:rsidRDefault="006E4AF2" w:rsidP="006A4A7C">
            <w:pPr>
              <w:jc w:val="center"/>
              <w:rPr>
                <w:color w:val="000000" w:themeColor="text1"/>
                <w:sz w:val="22"/>
                <w:szCs w:val="22"/>
              </w:rPr>
            </w:pPr>
          </w:p>
        </w:tc>
        <w:tc>
          <w:tcPr>
            <w:tcW w:w="1153" w:type="dxa"/>
            <w:gridSpan w:val="3"/>
            <w:tcBorders>
              <w:top w:val="nil"/>
              <w:left w:val="nil"/>
              <w:bottom w:val="nil"/>
              <w:right w:val="nil"/>
            </w:tcBorders>
            <w:shd w:val="clear" w:color="auto" w:fill="auto"/>
            <w:noWrap/>
            <w:vAlign w:val="bottom"/>
            <w:hideMark/>
          </w:tcPr>
          <w:p w14:paraId="7ED7277A" w14:textId="2613B7AD" w:rsidR="006E4AF2" w:rsidRPr="00BF04E0" w:rsidRDefault="006E4AF2" w:rsidP="006A4A7C">
            <w:pPr>
              <w:jc w:val="center"/>
              <w:rPr>
                <w:color w:val="000000" w:themeColor="text1"/>
                <w:sz w:val="22"/>
                <w:szCs w:val="22"/>
              </w:rPr>
            </w:pPr>
            <w:r w:rsidRPr="00BF04E0">
              <w:rPr>
                <w:color w:val="000000" w:themeColor="text1"/>
                <w:sz w:val="22"/>
                <w:szCs w:val="22"/>
              </w:rPr>
              <w:t>(-1.47)</w:t>
            </w:r>
          </w:p>
        </w:tc>
      </w:tr>
      <w:tr w:rsidR="009368FD" w:rsidRPr="00BF04E0" w14:paraId="0121E4FD" w14:textId="77777777" w:rsidTr="00D02AB1">
        <w:trPr>
          <w:trHeight w:val="280"/>
        </w:trPr>
        <w:tc>
          <w:tcPr>
            <w:tcW w:w="1903" w:type="dxa"/>
            <w:tcBorders>
              <w:top w:val="nil"/>
              <w:left w:val="nil"/>
              <w:bottom w:val="nil"/>
              <w:right w:val="nil"/>
            </w:tcBorders>
            <w:shd w:val="clear" w:color="auto" w:fill="auto"/>
            <w:noWrap/>
            <w:vAlign w:val="bottom"/>
            <w:hideMark/>
          </w:tcPr>
          <w:p w14:paraId="20B8DB15" w14:textId="77777777" w:rsidR="006E4AF2" w:rsidRPr="00BF04E0" w:rsidRDefault="006E4AF2" w:rsidP="006A4A7C">
            <w:pPr>
              <w:jc w:val="center"/>
              <w:rPr>
                <w:color w:val="000000" w:themeColor="text1"/>
                <w:sz w:val="22"/>
                <w:szCs w:val="22"/>
              </w:rPr>
            </w:pPr>
            <w:proofErr w:type="spellStart"/>
            <w:r w:rsidRPr="00BF04E0">
              <w:rPr>
                <w:color w:val="000000" w:themeColor="text1"/>
                <w:sz w:val="22"/>
                <w:szCs w:val="22"/>
              </w:rPr>
              <w:t>λ</w:t>
            </w:r>
            <w:r w:rsidRPr="00BF04E0">
              <w:rPr>
                <w:color w:val="000000" w:themeColor="text1"/>
                <w:sz w:val="22"/>
                <w:szCs w:val="22"/>
                <w:vertAlign w:val="subscript"/>
              </w:rPr>
              <w:t>ESG</w:t>
            </w:r>
            <w:proofErr w:type="spellEnd"/>
          </w:p>
        </w:tc>
        <w:tc>
          <w:tcPr>
            <w:tcW w:w="1152" w:type="dxa"/>
            <w:tcBorders>
              <w:top w:val="nil"/>
              <w:left w:val="nil"/>
              <w:bottom w:val="nil"/>
              <w:right w:val="nil"/>
            </w:tcBorders>
            <w:shd w:val="clear" w:color="auto" w:fill="auto"/>
            <w:noWrap/>
            <w:vAlign w:val="bottom"/>
            <w:hideMark/>
          </w:tcPr>
          <w:p w14:paraId="6EB9804E" w14:textId="77777777" w:rsidR="006E4AF2" w:rsidRPr="00BF04E0" w:rsidRDefault="006E4AF2" w:rsidP="006A4A7C">
            <w:pPr>
              <w:jc w:val="center"/>
              <w:rPr>
                <w:color w:val="000000" w:themeColor="text1"/>
                <w:sz w:val="22"/>
                <w:szCs w:val="22"/>
              </w:rPr>
            </w:pPr>
          </w:p>
        </w:tc>
        <w:tc>
          <w:tcPr>
            <w:tcW w:w="1153" w:type="dxa"/>
            <w:tcBorders>
              <w:top w:val="nil"/>
              <w:left w:val="nil"/>
              <w:bottom w:val="nil"/>
              <w:right w:val="nil"/>
            </w:tcBorders>
            <w:shd w:val="clear" w:color="auto" w:fill="auto"/>
            <w:noWrap/>
            <w:vAlign w:val="bottom"/>
            <w:hideMark/>
          </w:tcPr>
          <w:p w14:paraId="5D7C1BB5" w14:textId="3F66AD0B" w:rsidR="006E4AF2" w:rsidRPr="00BF04E0" w:rsidRDefault="00D02AB1" w:rsidP="006A4A7C">
            <w:pPr>
              <w:jc w:val="center"/>
              <w:rPr>
                <w:color w:val="000000" w:themeColor="text1"/>
                <w:sz w:val="22"/>
                <w:szCs w:val="22"/>
              </w:rPr>
            </w:pPr>
            <w:r w:rsidRPr="00BF04E0">
              <w:rPr>
                <w:color w:val="000000" w:themeColor="text1"/>
                <w:sz w:val="22"/>
                <w:szCs w:val="22"/>
              </w:rPr>
              <w:t>-</w:t>
            </w:r>
            <w:r w:rsidR="006E4AF2" w:rsidRPr="00BF04E0">
              <w:rPr>
                <w:color w:val="000000" w:themeColor="text1"/>
                <w:sz w:val="22"/>
                <w:szCs w:val="22"/>
              </w:rPr>
              <w:t>0.000</w:t>
            </w:r>
          </w:p>
        </w:tc>
        <w:tc>
          <w:tcPr>
            <w:tcW w:w="1179" w:type="dxa"/>
            <w:gridSpan w:val="2"/>
            <w:tcBorders>
              <w:top w:val="nil"/>
              <w:left w:val="nil"/>
              <w:bottom w:val="nil"/>
              <w:right w:val="nil"/>
            </w:tcBorders>
            <w:vAlign w:val="bottom"/>
          </w:tcPr>
          <w:p w14:paraId="15850202" w14:textId="61095B9B" w:rsidR="006E4AF2" w:rsidRPr="00BF04E0" w:rsidRDefault="00D02AB1" w:rsidP="006A4A7C">
            <w:pPr>
              <w:jc w:val="center"/>
              <w:rPr>
                <w:color w:val="000000" w:themeColor="text1"/>
                <w:sz w:val="22"/>
                <w:szCs w:val="22"/>
              </w:rPr>
            </w:pPr>
            <w:r w:rsidRPr="00BF04E0">
              <w:rPr>
                <w:color w:val="000000" w:themeColor="text1"/>
                <w:sz w:val="22"/>
                <w:szCs w:val="22"/>
              </w:rPr>
              <w:t>-</w:t>
            </w:r>
            <w:r w:rsidR="006E4AF2" w:rsidRPr="00BF04E0">
              <w:rPr>
                <w:color w:val="000000" w:themeColor="text1"/>
                <w:sz w:val="22"/>
                <w:szCs w:val="22"/>
              </w:rPr>
              <w:t>0.000***</w:t>
            </w:r>
          </w:p>
        </w:tc>
        <w:tc>
          <w:tcPr>
            <w:tcW w:w="1153" w:type="dxa"/>
            <w:gridSpan w:val="2"/>
            <w:tcBorders>
              <w:top w:val="nil"/>
              <w:left w:val="nil"/>
              <w:bottom w:val="nil"/>
              <w:right w:val="nil"/>
            </w:tcBorders>
            <w:shd w:val="clear" w:color="auto" w:fill="auto"/>
            <w:noWrap/>
            <w:vAlign w:val="bottom"/>
            <w:hideMark/>
          </w:tcPr>
          <w:p w14:paraId="7D3FD3D4" w14:textId="0D33C123" w:rsidR="006E4AF2" w:rsidRPr="00BF04E0" w:rsidRDefault="006E4AF2" w:rsidP="006A4A7C">
            <w:pPr>
              <w:jc w:val="center"/>
              <w:rPr>
                <w:color w:val="000000" w:themeColor="text1"/>
                <w:sz w:val="22"/>
                <w:szCs w:val="22"/>
              </w:rPr>
            </w:pPr>
            <w:r w:rsidRPr="00BF04E0">
              <w:rPr>
                <w:color w:val="000000" w:themeColor="text1"/>
                <w:sz w:val="22"/>
                <w:szCs w:val="22"/>
              </w:rPr>
              <w:t>-0.004*</w:t>
            </w:r>
          </w:p>
        </w:tc>
        <w:tc>
          <w:tcPr>
            <w:tcW w:w="1243" w:type="dxa"/>
            <w:gridSpan w:val="2"/>
            <w:tcBorders>
              <w:top w:val="nil"/>
              <w:left w:val="nil"/>
              <w:bottom w:val="nil"/>
              <w:right w:val="nil"/>
            </w:tcBorders>
            <w:shd w:val="clear" w:color="auto" w:fill="auto"/>
            <w:noWrap/>
            <w:vAlign w:val="bottom"/>
            <w:hideMark/>
          </w:tcPr>
          <w:p w14:paraId="14AE6D7F" w14:textId="62E452C2" w:rsidR="006E4AF2" w:rsidRPr="00BF04E0" w:rsidRDefault="00D02AB1" w:rsidP="006A4A7C">
            <w:pPr>
              <w:jc w:val="center"/>
              <w:rPr>
                <w:color w:val="000000" w:themeColor="text1"/>
                <w:sz w:val="22"/>
                <w:szCs w:val="22"/>
              </w:rPr>
            </w:pPr>
            <w:r w:rsidRPr="00BF04E0">
              <w:rPr>
                <w:color w:val="000000" w:themeColor="text1"/>
                <w:sz w:val="22"/>
                <w:szCs w:val="22"/>
              </w:rPr>
              <w:t>-</w:t>
            </w:r>
            <w:r w:rsidR="006E4AF2" w:rsidRPr="00BF04E0">
              <w:rPr>
                <w:color w:val="000000" w:themeColor="text1"/>
                <w:sz w:val="22"/>
                <w:szCs w:val="22"/>
              </w:rPr>
              <w:t>0.000**</w:t>
            </w:r>
          </w:p>
        </w:tc>
        <w:tc>
          <w:tcPr>
            <w:tcW w:w="1153" w:type="dxa"/>
            <w:gridSpan w:val="3"/>
            <w:tcBorders>
              <w:top w:val="nil"/>
              <w:left w:val="nil"/>
              <w:bottom w:val="nil"/>
              <w:right w:val="nil"/>
            </w:tcBorders>
            <w:shd w:val="clear" w:color="auto" w:fill="auto"/>
            <w:noWrap/>
            <w:vAlign w:val="bottom"/>
            <w:hideMark/>
          </w:tcPr>
          <w:p w14:paraId="02AB4FD2" w14:textId="49AB7764" w:rsidR="006E4AF2" w:rsidRPr="00BF04E0" w:rsidRDefault="006E4AF2" w:rsidP="006A4A7C">
            <w:pPr>
              <w:jc w:val="center"/>
              <w:rPr>
                <w:color w:val="000000" w:themeColor="text1"/>
                <w:sz w:val="22"/>
                <w:szCs w:val="22"/>
              </w:rPr>
            </w:pPr>
            <w:r w:rsidRPr="00BF04E0">
              <w:rPr>
                <w:color w:val="000000" w:themeColor="text1"/>
                <w:sz w:val="22"/>
                <w:szCs w:val="22"/>
              </w:rPr>
              <w:t>-0.001**</w:t>
            </w:r>
          </w:p>
        </w:tc>
      </w:tr>
      <w:tr w:rsidR="009368FD" w:rsidRPr="00BF04E0" w14:paraId="52315CFD" w14:textId="77777777" w:rsidTr="00D02AB1">
        <w:trPr>
          <w:gridAfter w:val="1"/>
          <w:wAfter w:w="138" w:type="dxa"/>
          <w:trHeight w:val="280"/>
        </w:trPr>
        <w:tc>
          <w:tcPr>
            <w:tcW w:w="1903" w:type="dxa"/>
            <w:tcBorders>
              <w:top w:val="nil"/>
              <w:left w:val="nil"/>
              <w:bottom w:val="nil"/>
              <w:right w:val="nil"/>
            </w:tcBorders>
            <w:shd w:val="clear" w:color="auto" w:fill="auto"/>
            <w:noWrap/>
            <w:vAlign w:val="bottom"/>
            <w:hideMark/>
          </w:tcPr>
          <w:p w14:paraId="0C5A6C26" w14:textId="77777777" w:rsidR="006E4AF2" w:rsidRPr="00BF04E0" w:rsidRDefault="006E4AF2" w:rsidP="006A4A7C">
            <w:pPr>
              <w:jc w:val="center"/>
              <w:rPr>
                <w:color w:val="000000" w:themeColor="text1"/>
                <w:sz w:val="22"/>
                <w:szCs w:val="22"/>
              </w:rPr>
            </w:pPr>
          </w:p>
        </w:tc>
        <w:tc>
          <w:tcPr>
            <w:tcW w:w="1152" w:type="dxa"/>
            <w:tcBorders>
              <w:top w:val="nil"/>
              <w:left w:val="nil"/>
              <w:bottom w:val="nil"/>
              <w:right w:val="nil"/>
            </w:tcBorders>
            <w:shd w:val="clear" w:color="auto" w:fill="auto"/>
            <w:noWrap/>
            <w:vAlign w:val="bottom"/>
            <w:hideMark/>
          </w:tcPr>
          <w:p w14:paraId="03F394B1" w14:textId="77777777" w:rsidR="006E4AF2" w:rsidRPr="00BF04E0" w:rsidRDefault="006E4AF2" w:rsidP="006A4A7C">
            <w:pPr>
              <w:jc w:val="center"/>
              <w:rPr>
                <w:color w:val="000000" w:themeColor="text1"/>
                <w:sz w:val="22"/>
                <w:szCs w:val="22"/>
              </w:rPr>
            </w:pPr>
          </w:p>
        </w:tc>
        <w:tc>
          <w:tcPr>
            <w:tcW w:w="1153" w:type="dxa"/>
            <w:tcBorders>
              <w:top w:val="nil"/>
              <w:left w:val="nil"/>
              <w:bottom w:val="nil"/>
              <w:right w:val="nil"/>
            </w:tcBorders>
            <w:shd w:val="clear" w:color="auto" w:fill="auto"/>
            <w:noWrap/>
            <w:vAlign w:val="bottom"/>
            <w:hideMark/>
          </w:tcPr>
          <w:p w14:paraId="329BF511" w14:textId="5008CAF2" w:rsidR="006E4AF2" w:rsidRPr="00BF04E0" w:rsidRDefault="006E4AF2" w:rsidP="006A4A7C">
            <w:pPr>
              <w:jc w:val="center"/>
              <w:rPr>
                <w:color w:val="000000" w:themeColor="text1"/>
                <w:sz w:val="22"/>
                <w:szCs w:val="22"/>
              </w:rPr>
            </w:pPr>
            <w:r w:rsidRPr="00BF04E0">
              <w:rPr>
                <w:color w:val="000000" w:themeColor="text1"/>
                <w:sz w:val="22"/>
                <w:szCs w:val="22"/>
              </w:rPr>
              <w:t>(-1.32)</w:t>
            </w:r>
          </w:p>
        </w:tc>
        <w:tc>
          <w:tcPr>
            <w:tcW w:w="1041" w:type="dxa"/>
            <w:tcBorders>
              <w:top w:val="nil"/>
              <w:left w:val="nil"/>
              <w:bottom w:val="nil"/>
              <w:right w:val="nil"/>
            </w:tcBorders>
            <w:vAlign w:val="bottom"/>
          </w:tcPr>
          <w:p w14:paraId="71AADA96" w14:textId="02A86B16" w:rsidR="006E4AF2" w:rsidRPr="00BF04E0" w:rsidRDefault="006E4AF2" w:rsidP="006A4A7C">
            <w:pPr>
              <w:jc w:val="center"/>
              <w:rPr>
                <w:color w:val="000000" w:themeColor="text1"/>
                <w:sz w:val="22"/>
                <w:szCs w:val="22"/>
              </w:rPr>
            </w:pPr>
            <w:r w:rsidRPr="00BF04E0">
              <w:rPr>
                <w:color w:val="000000" w:themeColor="text1"/>
                <w:sz w:val="22"/>
                <w:szCs w:val="22"/>
              </w:rPr>
              <w:t>(-5.16)</w:t>
            </w:r>
          </w:p>
        </w:tc>
        <w:tc>
          <w:tcPr>
            <w:tcW w:w="1153" w:type="dxa"/>
            <w:gridSpan w:val="2"/>
            <w:tcBorders>
              <w:top w:val="nil"/>
              <w:left w:val="nil"/>
              <w:bottom w:val="nil"/>
              <w:right w:val="nil"/>
            </w:tcBorders>
            <w:shd w:val="clear" w:color="auto" w:fill="auto"/>
            <w:noWrap/>
            <w:vAlign w:val="bottom"/>
            <w:hideMark/>
          </w:tcPr>
          <w:p w14:paraId="24156400" w14:textId="2AAAB33C" w:rsidR="006E4AF2" w:rsidRPr="00BF04E0" w:rsidRDefault="006E4AF2" w:rsidP="006A4A7C">
            <w:pPr>
              <w:jc w:val="center"/>
              <w:rPr>
                <w:color w:val="000000" w:themeColor="text1"/>
                <w:sz w:val="22"/>
                <w:szCs w:val="22"/>
              </w:rPr>
            </w:pPr>
            <w:r w:rsidRPr="00BF04E0">
              <w:rPr>
                <w:color w:val="000000" w:themeColor="text1"/>
                <w:sz w:val="22"/>
                <w:szCs w:val="22"/>
              </w:rPr>
              <w:t>(-1.90)</w:t>
            </w:r>
          </w:p>
        </w:tc>
        <w:tc>
          <w:tcPr>
            <w:tcW w:w="1243" w:type="dxa"/>
            <w:gridSpan w:val="2"/>
            <w:tcBorders>
              <w:top w:val="nil"/>
              <w:left w:val="nil"/>
              <w:bottom w:val="nil"/>
              <w:right w:val="nil"/>
            </w:tcBorders>
            <w:shd w:val="clear" w:color="auto" w:fill="auto"/>
            <w:noWrap/>
            <w:vAlign w:val="bottom"/>
            <w:hideMark/>
          </w:tcPr>
          <w:p w14:paraId="63AA2359" w14:textId="4220F080" w:rsidR="006E4AF2" w:rsidRPr="00BF04E0" w:rsidRDefault="006E4AF2" w:rsidP="006A4A7C">
            <w:pPr>
              <w:jc w:val="center"/>
              <w:rPr>
                <w:color w:val="000000" w:themeColor="text1"/>
                <w:sz w:val="22"/>
                <w:szCs w:val="22"/>
              </w:rPr>
            </w:pPr>
            <w:r w:rsidRPr="00BF04E0">
              <w:rPr>
                <w:color w:val="000000" w:themeColor="text1"/>
                <w:sz w:val="22"/>
                <w:szCs w:val="22"/>
              </w:rPr>
              <w:t>(-2.4)</w:t>
            </w:r>
          </w:p>
        </w:tc>
        <w:tc>
          <w:tcPr>
            <w:tcW w:w="1153" w:type="dxa"/>
            <w:gridSpan w:val="3"/>
            <w:tcBorders>
              <w:top w:val="nil"/>
              <w:left w:val="nil"/>
              <w:bottom w:val="nil"/>
              <w:right w:val="nil"/>
            </w:tcBorders>
            <w:shd w:val="clear" w:color="auto" w:fill="auto"/>
            <w:noWrap/>
            <w:vAlign w:val="bottom"/>
            <w:hideMark/>
          </w:tcPr>
          <w:p w14:paraId="111AF4E3" w14:textId="319683E5" w:rsidR="006E4AF2" w:rsidRPr="00BF04E0" w:rsidRDefault="006E4AF2" w:rsidP="006A4A7C">
            <w:pPr>
              <w:jc w:val="center"/>
              <w:rPr>
                <w:color w:val="000000" w:themeColor="text1"/>
                <w:sz w:val="22"/>
                <w:szCs w:val="22"/>
              </w:rPr>
            </w:pPr>
            <w:r w:rsidRPr="00BF04E0">
              <w:rPr>
                <w:color w:val="000000" w:themeColor="text1"/>
                <w:sz w:val="22"/>
                <w:szCs w:val="22"/>
              </w:rPr>
              <w:t>(-2.61)</w:t>
            </w:r>
          </w:p>
        </w:tc>
      </w:tr>
      <w:tr w:rsidR="009368FD" w:rsidRPr="00BF04E0" w14:paraId="7FB7A319" w14:textId="77777777" w:rsidTr="00D02AB1">
        <w:trPr>
          <w:gridAfter w:val="1"/>
          <w:wAfter w:w="138" w:type="dxa"/>
          <w:trHeight w:val="280"/>
        </w:trPr>
        <w:tc>
          <w:tcPr>
            <w:tcW w:w="1903" w:type="dxa"/>
            <w:tcBorders>
              <w:top w:val="nil"/>
              <w:left w:val="nil"/>
              <w:bottom w:val="nil"/>
              <w:right w:val="nil"/>
            </w:tcBorders>
            <w:shd w:val="clear" w:color="auto" w:fill="auto"/>
            <w:noWrap/>
            <w:vAlign w:val="bottom"/>
            <w:hideMark/>
          </w:tcPr>
          <w:p w14:paraId="4AC93C69" w14:textId="19809598" w:rsidR="006E4AF2" w:rsidRPr="00BF04E0" w:rsidRDefault="006E4AF2" w:rsidP="006A4A7C">
            <w:pPr>
              <w:jc w:val="center"/>
              <w:rPr>
                <w:color w:val="000000" w:themeColor="text1"/>
                <w:sz w:val="22"/>
                <w:szCs w:val="22"/>
              </w:rPr>
            </w:pPr>
            <w:proofErr w:type="spellStart"/>
            <w:r w:rsidRPr="00BF04E0">
              <w:rPr>
                <w:color w:val="000000" w:themeColor="text1"/>
                <w:sz w:val="22"/>
                <w:szCs w:val="22"/>
              </w:rPr>
              <w:t>λ</w:t>
            </w:r>
            <w:r w:rsidRPr="00BF04E0">
              <w:rPr>
                <w:color w:val="000000" w:themeColor="text1"/>
                <w:sz w:val="22"/>
                <w:szCs w:val="22"/>
                <w:vertAlign w:val="subscript"/>
              </w:rPr>
              <w:t>ESG</w:t>
            </w:r>
            <w:proofErr w:type="spellEnd"/>
            <w:r w:rsidR="003F64F6" w:rsidRPr="00BF04E0">
              <w:rPr>
                <w:color w:val="000000" w:themeColor="text1"/>
                <w:sz w:val="22"/>
                <w:szCs w:val="22"/>
                <w:vertAlign w:val="subscript"/>
              </w:rPr>
              <w:t xml:space="preserve"> x </w:t>
            </w:r>
            <w:r w:rsidR="005C71D4" w:rsidRPr="00BF04E0">
              <w:rPr>
                <w:color w:val="000000" w:themeColor="text1"/>
                <w:sz w:val="22"/>
                <w:szCs w:val="22"/>
                <w:vertAlign w:val="subscript"/>
              </w:rPr>
              <w:t>Ret</w:t>
            </w:r>
            <w:r w:rsidR="005C71D4" w:rsidRPr="00BF04E0">
              <w:rPr>
                <w:color w:val="000000" w:themeColor="text1"/>
                <w:sz w:val="12"/>
                <w:szCs w:val="12"/>
                <w:vertAlign w:val="subscript"/>
              </w:rPr>
              <w:t>t-1, t-12</w:t>
            </w:r>
          </w:p>
        </w:tc>
        <w:tc>
          <w:tcPr>
            <w:tcW w:w="1152" w:type="dxa"/>
            <w:tcBorders>
              <w:top w:val="nil"/>
              <w:left w:val="nil"/>
              <w:bottom w:val="nil"/>
              <w:right w:val="nil"/>
            </w:tcBorders>
            <w:shd w:val="clear" w:color="auto" w:fill="auto"/>
            <w:noWrap/>
            <w:vAlign w:val="bottom"/>
            <w:hideMark/>
          </w:tcPr>
          <w:p w14:paraId="251F7491" w14:textId="77777777" w:rsidR="006E4AF2" w:rsidRPr="00BF04E0" w:rsidRDefault="006E4AF2" w:rsidP="006A4A7C">
            <w:pPr>
              <w:jc w:val="center"/>
              <w:rPr>
                <w:color w:val="000000" w:themeColor="text1"/>
                <w:sz w:val="22"/>
                <w:szCs w:val="22"/>
              </w:rPr>
            </w:pPr>
          </w:p>
        </w:tc>
        <w:tc>
          <w:tcPr>
            <w:tcW w:w="1153" w:type="dxa"/>
            <w:tcBorders>
              <w:top w:val="nil"/>
              <w:left w:val="nil"/>
              <w:bottom w:val="nil"/>
              <w:right w:val="nil"/>
            </w:tcBorders>
            <w:shd w:val="clear" w:color="auto" w:fill="auto"/>
            <w:noWrap/>
            <w:vAlign w:val="bottom"/>
            <w:hideMark/>
          </w:tcPr>
          <w:p w14:paraId="42C7B225" w14:textId="77777777" w:rsidR="006E4AF2" w:rsidRPr="00BF04E0" w:rsidRDefault="006E4AF2" w:rsidP="006A4A7C">
            <w:pPr>
              <w:jc w:val="center"/>
              <w:rPr>
                <w:color w:val="000000" w:themeColor="text1"/>
                <w:sz w:val="22"/>
                <w:szCs w:val="22"/>
              </w:rPr>
            </w:pPr>
          </w:p>
        </w:tc>
        <w:tc>
          <w:tcPr>
            <w:tcW w:w="1041" w:type="dxa"/>
            <w:tcBorders>
              <w:top w:val="nil"/>
              <w:left w:val="nil"/>
              <w:bottom w:val="nil"/>
              <w:right w:val="nil"/>
            </w:tcBorders>
            <w:vAlign w:val="bottom"/>
          </w:tcPr>
          <w:p w14:paraId="431E5BC2" w14:textId="1384A1F1" w:rsidR="006E4AF2" w:rsidRPr="00BF04E0" w:rsidRDefault="006E4AF2" w:rsidP="006A4A7C">
            <w:pPr>
              <w:jc w:val="center"/>
              <w:rPr>
                <w:color w:val="000000" w:themeColor="text1"/>
                <w:sz w:val="22"/>
                <w:szCs w:val="22"/>
              </w:rPr>
            </w:pPr>
          </w:p>
        </w:tc>
        <w:tc>
          <w:tcPr>
            <w:tcW w:w="1153" w:type="dxa"/>
            <w:gridSpan w:val="2"/>
            <w:tcBorders>
              <w:top w:val="nil"/>
              <w:left w:val="nil"/>
              <w:bottom w:val="nil"/>
              <w:right w:val="nil"/>
            </w:tcBorders>
            <w:shd w:val="clear" w:color="auto" w:fill="auto"/>
            <w:noWrap/>
            <w:vAlign w:val="bottom"/>
            <w:hideMark/>
          </w:tcPr>
          <w:p w14:paraId="020A1C9F" w14:textId="4290ABDF" w:rsidR="006E4AF2" w:rsidRPr="00BF04E0" w:rsidRDefault="006E4AF2" w:rsidP="006A4A7C">
            <w:pPr>
              <w:jc w:val="center"/>
              <w:rPr>
                <w:color w:val="000000" w:themeColor="text1"/>
                <w:sz w:val="22"/>
                <w:szCs w:val="22"/>
              </w:rPr>
            </w:pPr>
          </w:p>
        </w:tc>
        <w:tc>
          <w:tcPr>
            <w:tcW w:w="1243" w:type="dxa"/>
            <w:gridSpan w:val="2"/>
            <w:tcBorders>
              <w:top w:val="nil"/>
              <w:left w:val="nil"/>
              <w:bottom w:val="nil"/>
              <w:right w:val="nil"/>
            </w:tcBorders>
            <w:shd w:val="clear" w:color="auto" w:fill="auto"/>
            <w:noWrap/>
            <w:vAlign w:val="bottom"/>
            <w:hideMark/>
          </w:tcPr>
          <w:p w14:paraId="58F8B7CF" w14:textId="6C230442" w:rsidR="006E4AF2" w:rsidRPr="00BF04E0" w:rsidRDefault="006E4AF2" w:rsidP="006A4A7C">
            <w:pPr>
              <w:jc w:val="center"/>
              <w:rPr>
                <w:color w:val="000000" w:themeColor="text1"/>
                <w:sz w:val="22"/>
                <w:szCs w:val="22"/>
              </w:rPr>
            </w:pPr>
            <w:r w:rsidRPr="00BF04E0">
              <w:rPr>
                <w:color w:val="000000" w:themeColor="text1"/>
                <w:sz w:val="22"/>
                <w:szCs w:val="22"/>
              </w:rPr>
              <w:t>-0.014</w:t>
            </w:r>
          </w:p>
        </w:tc>
        <w:tc>
          <w:tcPr>
            <w:tcW w:w="1153" w:type="dxa"/>
            <w:gridSpan w:val="3"/>
            <w:tcBorders>
              <w:top w:val="nil"/>
              <w:left w:val="nil"/>
              <w:bottom w:val="nil"/>
              <w:right w:val="nil"/>
            </w:tcBorders>
            <w:shd w:val="clear" w:color="auto" w:fill="auto"/>
            <w:noWrap/>
            <w:vAlign w:val="bottom"/>
            <w:hideMark/>
          </w:tcPr>
          <w:p w14:paraId="58B054F2" w14:textId="77777777" w:rsidR="006E4AF2" w:rsidRPr="00BF04E0" w:rsidRDefault="006E4AF2" w:rsidP="006A4A7C">
            <w:pPr>
              <w:jc w:val="center"/>
              <w:rPr>
                <w:color w:val="000000" w:themeColor="text1"/>
                <w:sz w:val="22"/>
                <w:szCs w:val="22"/>
              </w:rPr>
            </w:pPr>
          </w:p>
        </w:tc>
      </w:tr>
      <w:tr w:rsidR="009368FD" w:rsidRPr="00BF04E0" w14:paraId="0F8529EF" w14:textId="77777777" w:rsidTr="00D02AB1">
        <w:trPr>
          <w:gridAfter w:val="1"/>
          <w:wAfter w:w="138" w:type="dxa"/>
          <w:trHeight w:val="280"/>
        </w:trPr>
        <w:tc>
          <w:tcPr>
            <w:tcW w:w="1903" w:type="dxa"/>
            <w:tcBorders>
              <w:top w:val="nil"/>
              <w:left w:val="nil"/>
              <w:bottom w:val="nil"/>
              <w:right w:val="nil"/>
            </w:tcBorders>
            <w:shd w:val="clear" w:color="auto" w:fill="auto"/>
            <w:noWrap/>
            <w:vAlign w:val="bottom"/>
            <w:hideMark/>
          </w:tcPr>
          <w:p w14:paraId="42F8F875" w14:textId="77777777" w:rsidR="006E4AF2" w:rsidRPr="00BF04E0" w:rsidRDefault="006E4AF2" w:rsidP="006A4A7C">
            <w:pPr>
              <w:jc w:val="center"/>
              <w:rPr>
                <w:color w:val="000000" w:themeColor="text1"/>
                <w:sz w:val="22"/>
                <w:szCs w:val="22"/>
              </w:rPr>
            </w:pPr>
          </w:p>
        </w:tc>
        <w:tc>
          <w:tcPr>
            <w:tcW w:w="1152" w:type="dxa"/>
            <w:tcBorders>
              <w:top w:val="nil"/>
              <w:left w:val="nil"/>
              <w:bottom w:val="nil"/>
              <w:right w:val="nil"/>
            </w:tcBorders>
            <w:shd w:val="clear" w:color="auto" w:fill="auto"/>
            <w:noWrap/>
            <w:vAlign w:val="bottom"/>
            <w:hideMark/>
          </w:tcPr>
          <w:p w14:paraId="64607C70" w14:textId="77777777" w:rsidR="006E4AF2" w:rsidRPr="00BF04E0" w:rsidRDefault="006E4AF2" w:rsidP="006A4A7C">
            <w:pPr>
              <w:jc w:val="center"/>
              <w:rPr>
                <w:color w:val="000000" w:themeColor="text1"/>
                <w:sz w:val="22"/>
                <w:szCs w:val="22"/>
              </w:rPr>
            </w:pPr>
          </w:p>
        </w:tc>
        <w:tc>
          <w:tcPr>
            <w:tcW w:w="1153" w:type="dxa"/>
            <w:tcBorders>
              <w:top w:val="nil"/>
              <w:left w:val="nil"/>
              <w:bottom w:val="nil"/>
              <w:right w:val="nil"/>
            </w:tcBorders>
            <w:shd w:val="clear" w:color="auto" w:fill="auto"/>
            <w:noWrap/>
            <w:vAlign w:val="bottom"/>
            <w:hideMark/>
          </w:tcPr>
          <w:p w14:paraId="6492D004" w14:textId="77777777" w:rsidR="006E4AF2" w:rsidRPr="00BF04E0" w:rsidRDefault="006E4AF2" w:rsidP="006A4A7C">
            <w:pPr>
              <w:jc w:val="center"/>
              <w:rPr>
                <w:color w:val="000000" w:themeColor="text1"/>
                <w:sz w:val="22"/>
                <w:szCs w:val="22"/>
              </w:rPr>
            </w:pPr>
          </w:p>
        </w:tc>
        <w:tc>
          <w:tcPr>
            <w:tcW w:w="1041" w:type="dxa"/>
            <w:tcBorders>
              <w:top w:val="nil"/>
              <w:left w:val="nil"/>
              <w:bottom w:val="nil"/>
              <w:right w:val="nil"/>
            </w:tcBorders>
            <w:vAlign w:val="bottom"/>
          </w:tcPr>
          <w:p w14:paraId="345A38D9" w14:textId="18EBC76A" w:rsidR="006E4AF2" w:rsidRPr="00BF04E0" w:rsidRDefault="006E4AF2" w:rsidP="006A4A7C">
            <w:pPr>
              <w:jc w:val="center"/>
              <w:rPr>
                <w:color w:val="000000" w:themeColor="text1"/>
                <w:sz w:val="22"/>
                <w:szCs w:val="22"/>
              </w:rPr>
            </w:pPr>
          </w:p>
        </w:tc>
        <w:tc>
          <w:tcPr>
            <w:tcW w:w="1153" w:type="dxa"/>
            <w:gridSpan w:val="2"/>
            <w:tcBorders>
              <w:top w:val="nil"/>
              <w:left w:val="nil"/>
              <w:bottom w:val="nil"/>
              <w:right w:val="nil"/>
            </w:tcBorders>
            <w:shd w:val="clear" w:color="auto" w:fill="auto"/>
            <w:noWrap/>
            <w:vAlign w:val="bottom"/>
            <w:hideMark/>
          </w:tcPr>
          <w:p w14:paraId="6F4328E7" w14:textId="7EB301D5" w:rsidR="006E4AF2" w:rsidRPr="00BF04E0" w:rsidRDefault="006E4AF2" w:rsidP="006A4A7C">
            <w:pPr>
              <w:jc w:val="center"/>
              <w:rPr>
                <w:color w:val="000000" w:themeColor="text1"/>
                <w:sz w:val="22"/>
                <w:szCs w:val="22"/>
              </w:rPr>
            </w:pPr>
          </w:p>
        </w:tc>
        <w:tc>
          <w:tcPr>
            <w:tcW w:w="1243" w:type="dxa"/>
            <w:gridSpan w:val="2"/>
            <w:tcBorders>
              <w:top w:val="nil"/>
              <w:left w:val="nil"/>
              <w:bottom w:val="nil"/>
              <w:right w:val="nil"/>
            </w:tcBorders>
            <w:shd w:val="clear" w:color="auto" w:fill="auto"/>
            <w:noWrap/>
            <w:vAlign w:val="bottom"/>
            <w:hideMark/>
          </w:tcPr>
          <w:p w14:paraId="7E8524FE" w14:textId="505DA087" w:rsidR="006E4AF2" w:rsidRPr="00BF04E0" w:rsidRDefault="006E4AF2" w:rsidP="006A4A7C">
            <w:pPr>
              <w:jc w:val="center"/>
              <w:rPr>
                <w:color w:val="000000" w:themeColor="text1"/>
                <w:sz w:val="22"/>
                <w:szCs w:val="22"/>
              </w:rPr>
            </w:pPr>
            <w:r w:rsidRPr="00BF04E0">
              <w:rPr>
                <w:color w:val="000000" w:themeColor="text1"/>
                <w:sz w:val="22"/>
                <w:szCs w:val="22"/>
              </w:rPr>
              <w:t>(-0.41)</w:t>
            </w:r>
          </w:p>
        </w:tc>
        <w:tc>
          <w:tcPr>
            <w:tcW w:w="1153" w:type="dxa"/>
            <w:gridSpan w:val="3"/>
            <w:tcBorders>
              <w:top w:val="nil"/>
              <w:left w:val="nil"/>
              <w:bottom w:val="nil"/>
              <w:right w:val="nil"/>
            </w:tcBorders>
            <w:shd w:val="clear" w:color="auto" w:fill="auto"/>
            <w:noWrap/>
            <w:vAlign w:val="bottom"/>
            <w:hideMark/>
          </w:tcPr>
          <w:p w14:paraId="54E926DF" w14:textId="77777777" w:rsidR="006E4AF2" w:rsidRPr="00BF04E0" w:rsidRDefault="006E4AF2" w:rsidP="006A4A7C">
            <w:pPr>
              <w:jc w:val="center"/>
              <w:rPr>
                <w:color w:val="000000" w:themeColor="text1"/>
                <w:sz w:val="22"/>
                <w:szCs w:val="22"/>
              </w:rPr>
            </w:pPr>
          </w:p>
        </w:tc>
      </w:tr>
      <w:tr w:rsidR="009368FD" w:rsidRPr="00BF04E0" w14:paraId="4B0C39DA" w14:textId="77777777" w:rsidTr="00D02AB1">
        <w:trPr>
          <w:gridAfter w:val="1"/>
          <w:wAfter w:w="138" w:type="dxa"/>
          <w:trHeight w:val="280"/>
        </w:trPr>
        <w:tc>
          <w:tcPr>
            <w:tcW w:w="1903" w:type="dxa"/>
            <w:tcBorders>
              <w:top w:val="nil"/>
              <w:left w:val="nil"/>
              <w:bottom w:val="nil"/>
              <w:right w:val="nil"/>
            </w:tcBorders>
            <w:shd w:val="clear" w:color="auto" w:fill="auto"/>
            <w:noWrap/>
            <w:vAlign w:val="bottom"/>
            <w:hideMark/>
          </w:tcPr>
          <w:p w14:paraId="02A65F0A" w14:textId="1680E294" w:rsidR="006E4AF2" w:rsidRPr="00BF04E0" w:rsidRDefault="006E4AF2" w:rsidP="006A4A7C">
            <w:pPr>
              <w:jc w:val="center"/>
              <w:rPr>
                <w:color w:val="000000" w:themeColor="text1"/>
                <w:sz w:val="22"/>
                <w:szCs w:val="22"/>
              </w:rPr>
            </w:pPr>
            <w:proofErr w:type="spellStart"/>
            <w:r w:rsidRPr="00BF04E0">
              <w:rPr>
                <w:color w:val="000000" w:themeColor="text1"/>
                <w:sz w:val="22"/>
                <w:szCs w:val="22"/>
              </w:rPr>
              <w:t>λ</w:t>
            </w:r>
            <w:r w:rsidRPr="00BF04E0">
              <w:rPr>
                <w:color w:val="000000" w:themeColor="text1"/>
                <w:sz w:val="22"/>
                <w:szCs w:val="22"/>
                <w:vertAlign w:val="subscript"/>
              </w:rPr>
              <w:t>ESG</w:t>
            </w:r>
            <w:proofErr w:type="spellEnd"/>
            <w:r w:rsidR="003F64F6" w:rsidRPr="00BF04E0">
              <w:rPr>
                <w:color w:val="000000" w:themeColor="text1"/>
                <w:sz w:val="22"/>
                <w:szCs w:val="22"/>
                <w:vertAlign w:val="subscript"/>
              </w:rPr>
              <w:t xml:space="preserve"> x </w:t>
            </w:r>
            <w:r w:rsidR="005C71D4" w:rsidRPr="00BF04E0">
              <w:rPr>
                <w:color w:val="000000" w:themeColor="text1"/>
                <w:sz w:val="22"/>
                <w:szCs w:val="22"/>
                <w:vertAlign w:val="subscript"/>
              </w:rPr>
              <w:t>ln(cap)</w:t>
            </w:r>
          </w:p>
        </w:tc>
        <w:tc>
          <w:tcPr>
            <w:tcW w:w="1152" w:type="dxa"/>
            <w:tcBorders>
              <w:top w:val="nil"/>
              <w:left w:val="nil"/>
              <w:bottom w:val="nil"/>
              <w:right w:val="nil"/>
            </w:tcBorders>
            <w:shd w:val="clear" w:color="auto" w:fill="auto"/>
            <w:noWrap/>
            <w:vAlign w:val="bottom"/>
            <w:hideMark/>
          </w:tcPr>
          <w:p w14:paraId="4398B25D" w14:textId="77777777" w:rsidR="006E4AF2" w:rsidRPr="00BF04E0" w:rsidRDefault="006E4AF2" w:rsidP="006A4A7C">
            <w:pPr>
              <w:jc w:val="center"/>
              <w:rPr>
                <w:color w:val="000000" w:themeColor="text1"/>
                <w:sz w:val="22"/>
                <w:szCs w:val="22"/>
              </w:rPr>
            </w:pPr>
          </w:p>
        </w:tc>
        <w:tc>
          <w:tcPr>
            <w:tcW w:w="1153" w:type="dxa"/>
            <w:tcBorders>
              <w:top w:val="nil"/>
              <w:left w:val="nil"/>
              <w:bottom w:val="nil"/>
              <w:right w:val="nil"/>
            </w:tcBorders>
            <w:shd w:val="clear" w:color="auto" w:fill="auto"/>
            <w:noWrap/>
            <w:vAlign w:val="bottom"/>
            <w:hideMark/>
          </w:tcPr>
          <w:p w14:paraId="53FF6850" w14:textId="77777777" w:rsidR="006E4AF2" w:rsidRPr="00BF04E0" w:rsidRDefault="006E4AF2" w:rsidP="006A4A7C">
            <w:pPr>
              <w:jc w:val="center"/>
              <w:rPr>
                <w:color w:val="000000" w:themeColor="text1"/>
                <w:sz w:val="22"/>
                <w:szCs w:val="22"/>
              </w:rPr>
            </w:pPr>
          </w:p>
        </w:tc>
        <w:tc>
          <w:tcPr>
            <w:tcW w:w="1041" w:type="dxa"/>
            <w:tcBorders>
              <w:top w:val="nil"/>
              <w:left w:val="nil"/>
              <w:bottom w:val="nil"/>
              <w:right w:val="nil"/>
            </w:tcBorders>
            <w:vAlign w:val="bottom"/>
          </w:tcPr>
          <w:p w14:paraId="32B88DB2" w14:textId="50C53DCF" w:rsidR="006E4AF2" w:rsidRPr="00BF04E0" w:rsidRDefault="006E4AF2" w:rsidP="006A4A7C">
            <w:pPr>
              <w:jc w:val="center"/>
              <w:rPr>
                <w:color w:val="000000" w:themeColor="text1"/>
                <w:sz w:val="22"/>
                <w:szCs w:val="22"/>
              </w:rPr>
            </w:pPr>
          </w:p>
        </w:tc>
        <w:tc>
          <w:tcPr>
            <w:tcW w:w="1153" w:type="dxa"/>
            <w:gridSpan w:val="2"/>
            <w:tcBorders>
              <w:top w:val="nil"/>
              <w:left w:val="nil"/>
              <w:bottom w:val="nil"/>
              <w:right w:val="nil"/>
            </w:tcBorders>
            <w:shd w:val="clear" w:color="auto" w:fill="auto"/>
            <w:noWrap/>
            <w:vAlign w:val="bottom"/>
            <w:hideMark/>
          </w:tcPr>
          <w:p w14:paraId="08519D55" w14:textId="0443A90A" w:rsidR="006E4AF2" w:rsidRPr="00BF04E0" w:rsidRDefault="006E4AF2" w:rsidP="006A4A7C">
            <w:pPr>
              <w:jc w:val="center"/>
              <w:rPr>
                <w:color w:val="000000" w:themeColor="text1"/>
                <w:sz w:val="22"/>
                <w:szCs w:val="22"/>
              </w:rPr>
            </w:pPr>
            <w:r w:rsidRPr="00BF04E0">
              <w:rPr>
                <w:color w:val="000000" w:themeColor="text1"/>
                <w:sz w:val="22"/>
                <w:szCs w:val="22"/>
              </w:rPr>
              <w:t>0.000*</w:t>
            </w:r>
          </w:p>
        </w:tc>
        <w:tc>
          <w:tcPr>
            <w:tcW w:w="1243" w:type="dxa"/>
            <w:gridSpan w:val="2"/>
            <w:tcBorders>
              <w:top w:val="nil"/>
              <w:left w:val="nil"/>
              <w:bottom w:val="nil"/>
              <w:right w:val="nil"/>
            </w:tcBorders>
            <w:shd w:val="clear" w:color="auto" w:fill="auto"/>
            <w:noWrap/>
            <w:vAlign w:val="bottom"/>
            <w:hideMark/>
          </w:tcPr>
          <w:p w14:paraId="3E0D784E" w14:textId="77777777" w:rsidR="006E4AF2" w:rsidRPr="00BF04E0" w:rsidRDefault="006E4AF2" w:rsidP="006A4A7C">
            <w:pPr>
              <w:jc w:val="center"/>
              <w:rPr>
                <w:color w:val="000000" w:themeColor="text1"/>
                <w:sz w:val="22"/>
                <w:szCs w:val="22"/>
              </w:rPr>
            </w:pPr>
          </w:p>
        </w:tc>
        <w:tc>
          <w:tcPr>
            <w:tcW w:w="1153" w:type="dxa"/>
            <w:gridSpan w:val="3"/>
            <w:tcBorders>
              <w:top w:val="nil"/>
              <w:left w:val="nil"/>
              <w:bottom w:val="nil"/>
              <w:right w:val="nil"/>
            </w:tcBorders>
            <w:shd w:val="clear" w:color="auto" w:fill="auto"/>
            <w:noWrap/>
            <w:vAlign w:val="bottom"/>
            <w:hideMark/>
          </w:tcPr>
          <w:p w14:paraId="25CD2B8B" w14:textId="77777777" w:rsidR="006E4AF2" w:rsidRPr="00BF04E0" w:rsidRDefault="006E4AF2" w:rsidP="006A4A7C">
            <w:pPr>
              <w:jc w:val="center"/>
              <w:rPr>
                <w:color w:val="000000" w:themeColor="text1"/>
                <w:sz w:val="22"/>
                <w:szCs w:val="22"/>
              </w:rPr>
            </w:pPr>
          </w:p>
        </w:tc>
      </w:tr>
      <w:tr w:rsidR="009368FD" w:rsidRPr="00BF04E0" w14:paraId="02E48676" w14:textId="77777777" w:rsidTr="00D02AB1">
        <w:trPr>
          <w:gridAfter w:val="1"/>
          <w:wAfter w:w="138" w:type="dxa"/>
          <w:trHeight w:val="280"/>
        </w:trPr>
        <w:tc>
          <w:tcPr>
            <w:tcW w:w="1903" w:type="dxa"/>
            <w:tcBorders>
              <w:top w:val="nil"/>
              <w:left w:val="nil"/>
              <w:bottom w:val="nil"/>
              <w:right w:val="nil"/>
            </w:tcBorders>
            <w:shd w:val="clear" w:color="auto" w:fill="auto"/>
            <w:noWrap/>
            <w:vAlign w:val="bottom"/>
            <w:hideMark/>
          </w:tcPr>
          <w:p w14:paraId="2F144F8A" w14:textId="77777777" w:rsidR="006E4AF2" w:rsidRPr="00BF04E0" w:rsidRDefault="006E4AF2" w:rsidP="006A4A7C">
            <w:pPr>
              <w:jc w:val="center"/>
              <w:rPr>
                <w:color w:val="000000" w:themeColor="text1"/>
                <w:sz w:val="22"/>
                <w:szCs w:val="22"/>
              </w:rPr>
            </w:pPr>
          </w:p>
        </w:tc>
        <w:tc>
          <w:tcPr>
            <w:tcW w:w="1152" w:type="dxa"/>
            <w:tcBorders>
              <w:top w:val="nil"/>
              <w:left w:val="nil"/>
              <w:bottom w:val="nil"/>
              <w:right w:val="nil"/>
            </w:tcBorders>
            <w:shd w:val="clear" w:color="auto" w:fill="auto"/>
            <w:noWrap/>
            <w:vAlign w:val="bottom"/>
            <w:hideMark/>
          </w:tcPr>
          <w:p w14:paraId="393C37D3" w14:textId="77777777" w:rsidR="006E4AF2" w:rsidRPr="00BF04E0" w:rsidRDefault="006E4AF2" w:rsidP="006A4A7C">
            <w:pPr>
              <w:jc w:val="center"/>
              <w:rPr>
                <w:color w:val="000000" w:themeColor="text1"/>
                <w:sz w:val="22"/>
                <w:szCs w:val="22"/>
              </w:rPr>
            </w:pPr>
          </w:p>
        </w:tc>
        <w:tc>
          <w:tcPr>
            <w:tcW w:w="1153" w:type="dxa"/>
            <w:tcBorders>
              <w:top w:val="nil"/>
              <w:left w:val="nil"/>
              <w:bottom w:val="nil"/>
              <w:right w:val="nil"/>
            </w:tcBorders>
            <w:shd w:val="clear" w:color="auto" w:fill="auto"/>
            <w:noWrap/>
            <w:vAlign w:val="bottom"/>
            <w:hideMark/>
          </w:tcPr>
          <w:p w14:paraId="5636798F" w14:textId="77777777" w:rsidR="006E4AF2" w:rsidRPr="00BF04E0" w:rsidRDefault="006E4AF2" w:rsidP="006A4A7C">
            <w:pPr>
              <w:jc w:val="center"/>
              <w:rPr>
                <w:color w:val="000000" w:themeColor="text1"/>
                <w:sz w:val="22"/>
                <w:szCs w:val="22"/>
              </w:rPr>
            </w:pPr>
          </w:p>
        </w:tc>
        <w:tc>
          <w:tcPr>
            <w:tcW w:w="1041" w:type="dxa"/>
            <w:tcBorders>
              <w:top w:val="nil"/>
              <w:left w:val="nil"/>
              <w:bottom w:val="nil"/>
              <w:right w:val="nil"/>
            </w:tcBorders>
            <w:vAlign w:val="bottom"/>
          </w:tcPr>
          <w:p w14:paraId="19B9280F" w14:textId="0C20353A" w:rsidR="006E4AF2" w:rsidRPr="00BF04E0" w:rsidRDefault="006E4AF2" w:rsidP="006A4A7C">
            <w:pPr>
              <w:jc w:val="center"/>
              <w:rPr>
                <w:color w:val="000000" w:themeColor="text1"/>
                <w:sz w:val="22"/>
                <w:szCs w:val="22"/>
              </w:rPr>
            </w:pPr>
          </w:p>
        </w:tc>
        <w:tc>
          <w:tcPr>
            <w:tcW w:w="1153" w:type="dxa"/>
            <w:gridSpan w:val="2"/>
            <w:tcBorders>
              <w:top w:val="nil"/>
              <w:left w:val="nil"/>
              <w:bottom w:val="nil"/>
              <w:right w:val="nil"/>
            </w:tcBorders>
            <w:shd w:val="clear" w:color="auto" w:fill="auto"/>
            <w:noWrap/>
            <w:vAlign w:val="bottom"/>
            <w:hideMark/>
          </w:tcPr>
          <w:p w14:paraId="02E24FF9" w14:textId="6D20ADD1" w:rsidR="006E4AF2" w:rsidRPr="00BF04E0" w:rsidRDefault="006E4AF2" w:rsidP="006A4A7C">
            <w:pPr>
              <w:jc w:val="center"/>
              <w:rPr>
                <w:color w:val="000000" w:themeColor="text1"/>
                <w:sz w:val="22"/>
                <w:szCs w:val="22"/>
              </w:rPr>
            </w:pPr>
            <w:r w:rsidRPr="00BF04E0">
              <w:rPr>
                <w:color w:val="000000" w:themeColor="text1"/>
                <w:sz w:val="22"/>
                <w:szCs w:val="22"/>
              </w:rPr>
              <w:t>(1.68)</w:t>
            </w:r>
          </w:p>
        </w:tc>
        <w:tc>
          <w:tcPr>
            <w:tcW w:w="1243" w:type="dxa"/>
            <w:gridSpan w:val="2"/>
            <w:tcBorders>
              <w:top w:val="nil"/>
              <w:left w:val="nil"/>
              <w:bottom w:val="nil"/>
              <w:right w:val="nil"/>
            </w:tcBorders>
            <w:shd w:val="clear" w:color="auto" w:fill="auto"/>
            <w:noWrap/>
            <w:vAlign w:val="bottom"/>
            <w:hideMark/>
          </w:tcPr>
          <w:p w14:paraId="3F22C1F3" w14:textId="77777777" w:rsidR="006E4AF2" w:rsidRPr="00BF04E0" w:rsidRDefault="006E4AF2" w:rsidP="006A4A7C">
            <w:pPr>
              <w:jc w:val="center"/>
              <w:rPr>
                <w:color w:val="000000" w:themeColor="text1"/>
                <w:sz w:val="22"/>
                <w:szCs w:val="22"/>
              </w:rPr>
            </w:pPr>
          </w:p>
        </w:tc>
        <w:tc>
          <w:tcPr>
            <w:tcW w:w="1153" w:type="dxa"/>
            <w:gridSpan w:val="3"/>
            <w:tcBorders>
              <w:top w:val="nil"/>
              <w:left w:val="nil"/>
              <w:bottom w:val="nil"/>
              <w:right w:val="nil"/>
            </w:tcBorders>
            <w:shd w:val="clear" w:color="auto" w:fill="auto"/>
            <w:noWrap/>
            <w:vAlign w:val="bottom"/>
            <w:hideMark/>
          </w:tcPr>
          <w:p w14:paraId="33774D7D" w14:textId="77777777" w:rsidR="006E4AF2" w:rsidRPr="00BF04E0" w:rsidRDefault="006E4AF2" w:rsidP="006A4A7C">
            <w:pPr>
              <w:jc w:val="center"/>
              <w:rPr>
                <w:color w:val="000000" w:themeColor="text1"/>
                <w:sz w:val="22"/>
                <w:szCs w:val="22"/>
              </w:rPr>
            </w:pPr>
          </w:p>
        </w:tc>
      </w:tr>
      <w:tr w:rsidR="009368FD" w:rsidRPr="00BF04E0" w14:paraId="7665EF22" w14:textId="77777777" w:rsidTr="00D02AB1">
        <w:trPr>
          <w:gridAfter w:val="1"/>
          <w:wAfter w:w="138" w:type="dxa"/>
          <w:trHeight w:val="280"/>
        </w:trPr>
        <w:tc>
          <w:tcPr>
            <w:tcW w:w="1903" w:type="dxa"/>
            <w:tcBorders>
              <w:top w:val="nil"/>
              <w:left w:val="nil"/>
              <w:bottom w:val="nil"/>
              <w:right w:val="nil"/>
            </w:tcBorders>
            <w:shd w:val="clear" w:color="auto" w:fill="auto"/>
            <w:noWrap/>
            <w:vAlign w:val="bottom"/>
            <w:hideMark/>
          </w:tcPr>
          <w:p w14:paraId="14070C60" w14:textId="146489AA" w:rsidR="006E4AF2" w:rsidRPr="00BF04E0" w:rsidRDefault="006E4AF2" w:rsidP="006A4A7C">
            <w:pPr>
              <w:jc w:val="center"/>
              <w:rPr>
                <w:color w:val="000000" w:themeColor="text1"/>
                <w:sz w:val="22"/>
                <w:szCs w:val="22"/>
              </w:rPr>
            </w:pPr>
            <w:proofErr w:type="spellStart"/>
            <w:r w:rsidRPr="00BF04E0">
              <w:rPr>
                <w:color w:val="000000" w:themeColor="text1"/>
                <w:sz w:val="22"/>
                <w:szCs w:val="22"/>
              </w:rPr>
              <w:t>λ</w:t>
            </w:r>
            <w:r w:rsidRPr="00BF04E0">
              <w:rPr>
                <w:color w:val="000000" w:themeColor="text1"/>
                <w:sz w:val="22"/>
                <w:szCs w:val="22"/>
                <w:vertAlign w:val="subscript"/>
              </w:rPr>
              <w:t>ESG</w:t>
            </w:r>
            <w:proofErr w:type="spellEnd"/>
            <w:r w:rsidR="003F64F6" w:rsidRPr="00BF04E0">
              <w:rPr>
                <w:color w:val="000000" w:themeColor="text1"/>
                <w:sz w:val="22"/>
                <w:szCs w:val="22"/>
                <w:vertAlign w:val="subscript"/>
              </w:rPr>
              <w:t xml:space="preserve"> x </w:t>
            </w:r>
            <w:r w:rsidR="005C71D4" w:rsidRPr="00BF04E0">
              <w:rPr>
                <w:color w:val="000000" w:themeColor="text1"/>
                <w:sz w:val="22"/>
                <w:szCs w:val="22"/>
                <w:vertAlign w:val="subscript"/>
              </w:rPr>
              <w:t>ROE</w:t>
            </w:r>
          </w:p>
        </w:tc>
        <w:tc>
          <w:tcPr>
            <w:tcW w:w="1152" w:type="dxa"/>
            <w:tcBorders>
              <w:top w:val="nil"/>
              <w:left w:val="nil"/>
              <w:bottom w:val="nil"/>
              <w:right w:val="nil"/>
            </w:tcBorders>
            <w:shd w:val="clear" w:color="auto" w:fill="auto"/>
            <w:noWrap/>
            <w:vAlign w:val="bottom"/>
            <w:hideMark/>
          </w:tcPr>
          <w:p w14:paraId="6D72787F" w14:textId="77777777" w:rsidR="006E4AF2" w:rsidRPr="00BF04E0" w:rsidRDefault="006E4AF2" w:rsidP="006A4A7C">
            <w:pPr>
              <w:jc w:val="center"/>
              <w:rPr>
                <w:color w:val="000000" w:themeColor="text1"/>
                <w:sz w:val="22"/>
                <w:szCs w:val="22"/>
              </w:rPr>
            </w:pPr>
          </w:p>
        </w:tc>
        <w:tc>
          <w:tcPr>
            <w:tcW w:w="1153" w:type="dxa"/>
            <w:tcBorders>
              <w:top w:val="nil"/>
              <w:left w:val="nil"/>
              <w:bottom w:val="nil"/>
              <w:right w:val="nil"/>
            </w:tcBorders>
            <w:shd w:val="clear" w:color="auto" w:fill="auto"/>
            <w:noWrap/>
            <w:vAlign w:val="bottom"/>
            <w:hideMark/>
          </w:tcPr>
          <w:p w14:paraId="5B8584C4" w14:textId="77777777" w:rsidR="006E4AF2" w:rsidRPr="00BF04E0" w:rsidRDefault="006E4AF2" w:rsidP="006A4A7C">
            <w:pPr>
              <w:jc w:val="center"/>
              <w:rPr>
                <w:color w:val="000000" w:themeColor="text1"/>
                <w:sz w:val="22"/>
                <w:szCs w:val="22"/>
              </w:rPr>
            </w:pPr>
          </w:p>
        </w:tc>
        <w:tc>
          <w:tcPr>
            <w:tcW w:w="1041" w:type="dxa"/>
            <w:tcBorders>
              <w:top w:val="nil"/>
              <w:left w:val="nil"/>
              <w:bottom w:val="nil"/>
              <w:right w:val="nil"/>
            </w:tcBorders>
            <w:vAlign w:val="bottom"/>
          </w:tcPr>
          <w:p w14:paraId="666C9102" w14:textId="76439C5D" w:rsidR="006E4AF2" w:rsidRPr="00BF04E0" w:rsidRDefault="006E4AF2" w:rsidP="006A4A7C">
            <w:pPr>
              <w:jc w:val="center"/>
              <w:rPr>
                <w:color w:val="000000" w:themeColor="text1"/>
                <w:sz w:val="22"/>
                <w:szCs w:val="22"/>
              </w:rPr>
            </w:pPr>
          </w:p>
        </w:tc>
        <w:tc>
          <w:tcPr>
            <w:tcW w:w="1153" w:type="dxa"/>
            <w:gridSpan w:val="2"/>
            <w:tcBorders>
              <w:top w:val="nil"/>
              <w:left w:val="nil"/>
              <w:bottom w:val="nil"/>
              <w:right w:val="nil"/>
            </w:tcBorders>
            <w:shd w:val="clear" w:color="auto" w:fill="auto"/>
            <w:noWrap/>
            <w:vAlign w:val="bottom"/>
            <w:hideMark/>
          </w:tcPr>
          <w:p w14:paraId="2C432AF2" w14:textId="6F42881C" w:rsidR="006E4AF2" w:rsidRPr="00BF04E0" w:rsidRDefault="006E4AF2" w:rsidP="006A4A7C">
            <w:pPr>
              <w:jc w:val="center"/>
              <w:rPr>
                <w:color w:val="000000" w:themeColor="text1"/>
                <w:sz w:val="22"/>
                <w:szCs w:val="22"/>
              </w:rPr>
            </w:pPr>
          </w:p>
        </w:tc>
        <w:tc>
          <w:tcPr>
            <w:tcW w:w="1243" w:type="dxa"/>
            <w:gridSpan w:val="2"/>
            <w:tcBorders>
              <w:top w:val="nil"/>
              <w:left w:val="nil"/>
              <w:bottom w:val="nil"/>
              <w:right w:val="nil"/>
            </w:tcBorders>
            <w:shd w:val="clear" w:color="auto" w:fill="auto"/>
            <w:noWrap/>
            <w:vAlign w:val="bottom"/>
            <w:hideMark/>
          </w:tcPr>
          <w:p w14:paraId="27D3544A" w14:textId="77777777" w:rsidR="006E4AF2" w:rsidRPr="00BF04E0" w:rsidRDefault="006E4AF2" w:rsidP="006A4A7C">
            <w:pPr>
              <w:jc w:val="center"/>
              <w:rPr>
                <w:color w:val="000000" w:themeColor="text1"/>
                <w:sz w:val="22"/>
                <w:szCs w:val="22"/>
              </w:rPr>
            </w:pPr>
          </w:p>
        </w:tc>
        <w:tc>
          <w:tcPr>
            <w:tcW w:w="1153" w:type="dxa"/>
            <w:gridSpan w:val="3"/>
            <w:tcBorders>
              <w:top w:val="nil"/>
              <w:left w:val="nil"/>
              <w:bottom w:val="nil"/>
              <w:right w:val="nil"/>
            </w:tcBorders>
            <w:shd w:val="clear" w:color="auto" w:fill="auto"/>
            <w:noWrap/>
            <w:vAlign w:val="bottom"/>
            <w:hideMark/>
          </w:tcPr>
          <w:p w14:paraId="71557492" w14:textId="1575310C" w:rsidR="006E4AF2" w:rsidRPr="00BF04E0" w:rsidRDefault="006E4AF2" w:rsidP="006A4A7C">
            <w:pPr>
              <w:jc w:val="center"/>
              <w:rPr>
                <w:color w:val="000000" w:themeColor="text1"/>
                <w:sz w:val="22"/>
                <w:szCs w:val="22"/>
              </w:rPr>
            </w:pPr>
            <w:r w:rsidRPr="00BF04E0">
              <w:rPr>
                <w:color w:val="000000" w:themeColor="text1"/>
                <w:sz w:val="22"/>
                <w:szCs w:val="22"/>
              </w:rPr>
              <w:t>0.002**</w:t>
            </w:r>
          </w:p>
        </w:tc>
      </w:tr>
      <w:tr w:rsidR="009368FD" w:rsidRPr="00BF04E0" w14:paraId="6242BC15" w14:textId="77777777" w:rsidTr="00D02AB1">
        <w:trPr>
          <w:gridAfter w:val="1"/>
          <w:wAfter w:w="138" w:type="dxa"/>
          <w:trHeight w:val="280"/>
        </w:trPr>
        <w:tc>
          <w:tcPr>
            <w:tcW w:w="1903" w:type="dxa"/>
            <w:tcBorders>
              <w:top w:val="nil"/>
              <w:left w:val="nil"/>
              <w:bottom w:val="nil"/>
              <w:right w:val="nil"/>
            </w:tcBorders>
            <w:shd w:val="clear" w:color="auto" w:fill="auto"/>
            <w:noWrap/>
            <w:vAlign w:val="bottom"/>
            <w:hideMark/>
          </w:tcPr>
          <w:p w14:paraId="3F93F359" w14:textId="77777777" w:rsidR="006E4AF2" w:rsidRPr="00BF04E0" w:rsidRDefault="006E4AF2" w:rsidP="006A4A7C">
            <w:pPr>
              <w:jc w:val="center"/>
              <w:rPr>
                <w:color w:val="000000" w:themeColor="text1"/>
                <w:sz w:val="22"/>
                <w:szCs w:val="22"/>
              </w:rPr>
            </w:pPr>
          </w:p>
        </w:tc>
        <w:tc>
          <w:tcPr>
            <w:tcW w:w="1152" w:type="dxa"/>
            <w:tcBorders>
              <w:top w:val="nil"/>
              <w:left w:val="nil"/>
              <w:bottom w:val="nil"/>
              <w:right w:val="nil"/>
            </w:tcBorders>
            <w:shd w:val="clear" w:color="auto" w:fill="auto"/>
            <w:noWrap/>
            <w:vAlign w:val="bottom"/>
            <w:hideMark/>
          </w:tcPr>
          <w:p w14:paraId="29EB6AE2" w14:textId="77777777" w:rsidR="006E4AF2" w:rsidRPr="00BF04E0" w:rsidRDefault="006E4AF2" w:rsidP="006A4A7C">
            <w:pPr>
              <w:jc w:val="center"/>
              <w:rPr>
                <w:color w:val="000000" w:themeColor="text1"/>
                <w:sz w:val="22"/>
                <w:szCs w:val="22"/>
              </w:rPr>
            </w:pPr>
          </w:p>
        </w:tc>
        <w:tc>
          <w:tcPr>
            <w:tcW w:w="1153" w:type="dxa"/>
            <w:tcBorders>
              <w:top w:val="nil"/>
              <w:left w:val="nil"/>
              <w:bottom w:val="nil"/>
              <w:right w:val="nil"/>
            </w:tcBorders>
            <w:shd w:val="clear" w:color="auto" w:fill="auto"/>
            <w:noWrap/>
            <w:vAlign w:val="bottom"/>
            <w:hideMark/>
          </w:tcPr>
          <w:p w14:paraId="477039DE" w14:textId="77777777" w:rsidR="006E4AF2" w:rsidRPr="00BF04E0" w:rsidRDefault="006E4AF2" w:rsidP="006A4A7C">
            <w:pPr>
              <w:jc w:val="center"/>
              <w:rPr>
                <w:color w:val="000000" w:themeColor="text1"/>
                <w:sz w:val="22"/>
                <w:szCs w:val="22"/>
              </w:rPr>
            </w:pPr>
          </w:p>
        </w:tc>
        <w:tc>
          <w:tcPr>
            <w:tcW w:w="1041" w:type="dxa"/>
            <w:tcBorders>
              <w:top w:val="nil"/>
              <w:left w:val="nil"/>
              <w:bottom w:val="nil"/>
              <w:right w:val="nil"/>
            </w:tcBorders>
            <w:vAlign w:val="bottom"/>
          </w:tcPr>
          <w:p w14:paraId="2456ADA9" w14:textId="1CD6A950" w:rsidR="006E4AF2" w:rsidRPr="00BF04E0" w:rsidRDefault="006E4AF2" w:rsidP="006A4A7C">
            <w:pPr>
              <w:jc w:val="center"/>
              <w:rPr>
                <w:color w:val="000000" w:themeColor="text1"/>
                <w:sz w:val="22"/>
                <w:szCs w:val="22"/>
              </w:rPr>
            </w:pPr>
          </w:p>
        </w:tc>
        <w:tc>
          <w:tcPr>
            <w:tcW w:w="1153" w:type="dxa"/>
            <w:gridSpan w:val="2"/>
            <w:tcBorders>
              <w:top w:val="nil"/>
              <w:left w:val="nil"/>
              <w:bottom w:val="nil"/>
              <w:right w:val="nil"/>
            </w:tcBorders>
            <w:shd w:val="clear" w:color="auto" w:fill="auto"/>
            <w:noWrap/>
            <w:vAlign w:val="bottom"/>
            <w:hideMark/>
          </w:tcPr>
          <w:p w14:paraId="3768C45A" w14:textId="6E03D6DC" w:rsidR="006E4AF2" w:rsidRPr="00BF04E0" w:rsidRDefault="006E4AF2" w:rsidP="006A4A7C">
            <w:pPr>
              <w:jc w:val="center"/>
              <w:rPr>
                <w:color w:val="000000" w:themeColor="text1"/>
                <w:sz w:val="22"/>
                <w:szCs w:val="22"/>
              </w:rPr>
            </w:pPr>
          </w:p>
        </w:tc>
        <w:tc>
          <w:tcPr>
            <w:tcW w:w="1243" w:type="dxa"/>
            <w:gridSpan w:val="2"/>
            <w:tcBorders>
              <w:top w:val="nil"/>
              <w:left w:val="nil"/>
              <w:bottom w:val="nil"/>
              <w:right w:val="nil"/>
            </w:tcBorders>
            <w:shd w:val="clear" w:color="auto" w:fill="auto"/>
            <w:noWrap/>
            <w:vAlign w:val="bottom"/>
            <w:hideMark/>
          </w:tcPr>
          <w:p w14:paraId="49418E35" w14:textId="77777777" w:rsidR="006E4AF2" w:rsidRPr="00BF04E0" w:rsidRDefault="006E4AF2" w:rsidP="006A4A7C">
            <w:pPr>
              <w:jc w:val="center"/>
              <w:rPr>
                <w:color w:val="000000" w:themeColor="text1"/>
                <w:sz w:val="22"/>
                <w:szCs w:val="22"/>
              </w:rPr>
            </w:pPr>
          </w:p>
        </w:tc>
        <w:tc>
          <w:tcPr>
            <w:tcW w:w="1153" w:type="dxa"/>
            <w:gridSpan w:val="3"/>
            <w:tcBorders>
              <w:top w:val="nil"/>
              <w:left w:val="nil"/>
              <w:bottom w:val="nil"/>
              <w:right w:val="nil"/>
            </w:tcBorders>
            <w:shd w:val="clear" w:color="auto" w:fill="auto"/>
            <w:noWrap/>
            <w:vAlign w:val="bottom"/>
            <w:hideMark/>
          </w:tcPr>
          <w:p w14:paraId="72F9551A" w14:textId="3A4BB246" w:rsidR="006E4AF2" w:rsidRPr="00BF04E0" w:rsidRDefault="006E4AF2" w:rsidP="006A4A7C">
            <w:pPr>
              <w:jc w:val="center"/>
              <w:rPr>
                <w:color w:val="000000" w:themeColor="text1"/>
                <w:sz w:val="22"/>
                <w:szCs w:val="22"/>
              </w:rPr>
            </w:pPr>
            <w:r w:rsidRPr="00BF04E0">
              <w:rPr>
                <w:color w:val="000000" w:themeColor="text1"/>
                <w:sz w:val="22"/>
                <w:szCs w:val="22"/>
              </w:rPr>
              <w:t>(2.40)</w:t>
            </w:r>
          </w:p>
        </w:tc>
      </w:tr>
      <w:tr w:rsidR="009368FD" w:rsidRPr="00BF04E0" w14:paraId="2B67E4D7" w14:textId="77777777" w:rsidTr="00D02AB1">
        <w:trPr>
          <w:gridAfter w:val="1"/>
          <w:wAfter w:w="138" w:type="dxa"/>
          <w:trHeight w:val="320"/>
        </w:trPr>
        <w:tc>
          <w:tcPr>
            <w:tcW w:w="1903" w:type="dxa"/>
            <w:tcBorders>
              <w:top w:val="nil"/>
              <w:left w:val="nil"/>
              <w:bottom w:val="nil"/>
              <w:right w:val="nil"/>
            </w:tcBorders>
            <w:shd w:val="clear" w:color="auto" w:fill="auto"/>
            <w:noWrap/>
            <w:vAlign w:val="bottom"/>
            <w:hideMark/>
          </w:tcPr>
          <w:p w14:paraId="3536525D" w14:textId="77777777" w:rsidR="006E4AF2" w:rsidRPr="00BF04E0" w:rsidRDefault="006E4AF2" w:rsidP="006A4A7C">
            <w:pPr>
              <w:jc w:val="center"/>
              <w:rPr>
                <w:color w:val="000000" w:themeColor="text1"/>
                <w:sz w:val="22"/>
                <w:szCs w:val="22"/>
              </w:rPr>
            </w:pPr>
            <w:r w:rsidRPr="00BF04E0">
              <w:rPr>
                <w:color w:val="000000" w:themeColor="text1"/>
                <w:sz w:val="22"/>
                <w:szCs w:val="22"/>
              </w:rPr>
              <w:t>Adj. R</w:t>
            </w:r>
            <w:r w:rsidRPr="00BF04E0">
              <w:rPr>
                <w:color w:val="000000" w:themeColor="text1"/>
                <w:sz w:val="22"/>
                <w:szCs w:val="22"/>
                <w:vertAlign w:val="superscript"/>
              </w:rPr>
              <w:t>2</w:t>
            </w:r>
          </w:p>
        </w:tc>
        <w:tc>
          <w:tcPr>
            <w:tcW w:w="1152" w:type="dxa"/>
            <w:tcBorders>
              <w:top w:val="nil"/>
              <w:left w:val="nil"/>
              <w:bottom w:val="nil"/>
              <w:right w:val="nil"/>
            </w:tcBorders>
            <w:shd w:val="clear" w:color="auto" w:fill="auto"/>
            <w:noWrap/>
            <w:vAlign w:val="bottom"/>
            <w:hideMark/>
          </w:tcPr>
          <w:p w14:paraId="0002805F" w14:textId="763D448D" w:rsidR="006E4AF2" w:rsidRPr="00BF04E0" w:rsidRDefault="006E4AF2" w:rsidP="006A4A7C">
            <w:pPr>
              <w:jc w:val="center"/>
              <w:rPr>
                <w:color w:val="000000" w:themeColor="text1"/>
                <w:sz w:val="22"/>
                <w:szCs w:val="22"/>
              </w:rPr>
            </w:pPr>
            <w:r w:rsidRPr="00BF04E0">
              <w:rPr>
                <w:color w:val="000000" w:themeColor="text1"/>
                <w:sz w:val="22"/>
                <w:szCs w:val="22"/>
              </w:rPr>
              <w:t>0.250</w:t>
            </w:r>
          </w:p>
        </w:tc>
        <w:tc>
          <w:tcPr>
            <w:tcW w:w="1153" w:type="dxa"/>
            <w:tcBorders>
              <w:top w:val="nil"/>
              <w:left w:val="nil"/>
              <w:bottom w:val="nil"/>
              <w:right w:val="nil"/>
            </w:tcBorders>
            <w:shd w:val="clear" w:color="auto" w:fill="auto"/>
            <w:noWrap/>
            <w:vAlign w:val="bottom"/>
            <w:hideMark/>
          </w:tcPr>
          <w:p w14:paraId="7B037408" w14:textId="7BB1FCD4" w:rsidR="006E4AF2" w:rsidRPr="00BF04E0" w:rsidRDefault="006E4AF2" w:rsidP="006A4A7C">
            <w:pPr>
              <w:jc w:val="center"/>
              <w:rPr>
                <w:color w:val="000000" w:themeColor="text1"/>
                <w:sz w:val="22"/>
                <w:szCs w:val="22"/>
              </w:rPr>
            </w:pPr>
            <w:r w:rsidRPr="00BF04E0">
              <w:rPr>
                <w:color w:val="000000" w:themeColor="text1"/>
                <w:sz w:val="22"/>
                <w:szCs w:val="22"/>
              </w:rPr>
              <w:t>0.268</w:t>
            </w:r>
          </w:p>
        </w:tc>
        <w:tc>
          <w:tcPr>
            <w:tcW w:w="1041" w:type="dxa"/>
            <w:tcBorders>
              <w:top w:val="nil"/>
              <w:left w:val="nil"/>
              <w:bottom w:val="nil"/>
              <w:right w:val="nil"/>
            </w:tcBorders>
            <w:vAlign w:val="bottom"/>
          </w:tcPr>
          <w:p w14:paraId="37302E19" w14:textId="5483358D" w:rsidR="006E4AF2" w:rsidRPr="00BF04E0" w:rsidRDefault="006E4AF2" w:rsidP="006E4AF2">
            <w:pPr>
              <w:jc w:val="center"/>
              <w:rPr>
                <w:color w:val="000000" w:themeColor="text1"/>
                <w:sz w:val="22"/>
                <w:szCs w:val="22"/>
              </w:rPr>
            </w:pPr>
            <w:r w:rsidRPr="00BF04E0">
              <w:rPr>
                <w:color w:val="000000" w:themeColor="text1"/>
                <w:sz w:val="22"/>
                <w:szCs w:val="22"/>
              </w:rPr>
              <w:t>0.290</w:t>
            </w:r>
          </w:p>
        </w:tc>
        <w:tc>
          <w:tcPr>
            <w:tcW w:w="1153" w:type="dxa"/>
            <w:gridSpan w:val="2"/>
            <w:tcBorders>
              <w:top w:val="nil"/>
              <w:left w:val="nil"/>
              <w:bottom w:val="nil"/>
              <w:right w:val="nil"/>
            </w:tcBorders>
            <w:shd w:val="clear" w:color="auto" w:fill="auto"/>
            <w:noWrap/>
            <w:vAlign w:val="bottom"/>
            <w:hideMark/>
          </w:tcPr>
          <w:p w14:paraId="4E874799" w14:textId="2C50EA10" w:rsidR="006E4AF2" w:rsidRPr="00BF04E0" w:rsidRDefault="006E4AF2" w:rsidP="006A4A7C">
            <w:pPr>
              <w:jc w:val="center"/>
              <w:rPr>
                <w:color w:val="000000" w:themeColor="text1"/>
                <w:sz w:val="22"/>
                <w:szCs w:val="22"/>
              </w:rPr>
            </w:pPr>
            <w:r w:rsidRPr="00BF04E0">
              <w:rPr>
                <w:color w:val="000000" w:themeColor="text1"/>
                <w:sz w:val="22"/>
                <w:szCs w:val="22"/>
              </w:rPr>
              <w:t>0.306</w:t>
            </w:r>
          </w:p>
        </w:tc>
        <w:tc>
          <w:tcPr>
            <w:tcW w:w="1243" w:type="dxa"/>
            <w:gridSpan w:val="2"/>
            <w:tcBorders>
              <w:top w:val="nil"/>
              <w:left w:val="nil"/>
              <w:bottom w:val="nil"/>
              <w:right w:val="nil"/>
            </w:tcBorders>
            <w:shd w:val="clear" w:color="auto" w:fill="auto"/>
            <w:noWrap/>
            <w:vAlign w:val="bottom"/>
            <w:hideMark/>
          </w:tcPr>
          <w:p w14:paraId="36D2A78D" w14:textId="277BD906" w:rsidR="006E4AF2" w:rsidRPr="00BF04E0" w:rsidRDefault="006E4AF2" w:rsidP="006A4A7C">
            <w:pPr>
              <w:jc w:val="center"/>
              <w:rPr>
                <w:color w:val="000000" w:themeColor="text1"/>
                <w:sz w:val="22"/>
                <w:szCs w:val="22"/>
              </w:rPr>
            </w:pPr>
            <w:r w:rsidRPr="00BF04E0">
              <w:rPr>
                <w:color w:val="000000" w:themeColor="text1"/>
                <w:sz w:val="22"/>
                <w:szCs w:val="22"/>
              </w:rPr>
              <w:t>0.349</w:t>
            </w:r>
          </w:p>
        </w:tc>
        <w:tc>
          <w:tcPr>
            <w:tcW w:w="1153" w:type="dxa"/>
            <w:gridSpan w:val="3"/>
            <w:tcBorders>
              <w:top w:val="nil"/>
              <w:left w:val="nil"/>
              <w:bottom w:val="nil"/>
              <w:right w:val="nil"/>
            </w:tcBorders>
            <w:shd w:val="clear" w:color="auto" w:fill="auto"/>
            <w:noWrap/>
            <w:vAlign w:val="bottom"/>
            <w:hideMark/>
          </w:tcPr>
          <w:p w14:paraId="4A72A670" w14:textId="4BE7590C" w:rsidR="006E4AF2" w:rsidRPr="00BF04E0" w:rsidRDefault="006E4AF2" w:rsidP="006A4A7C">
            <w:pPr>
              <w:jc w:val="center"/>
              <w:rPr>
                <w:color w:val="000000" w:themeColor="text1"/>
                <w:sz w:val="22"/>
                <w:szCs w:val="22"/>
              </w:rPr>
            </w:pPr>
            <w:r w:rsidRPr="00BF04E0">
              <w:rPr>
                <w:color w:val="000000" w:themeColor="text1"/>
                <w:sz w:val="22"/>
                <w:szCs w:val="22"/>
              </w:rPr>
              <w:t>0.330</w:t>
            </w:r>
          </w:p>
        </w:tc>
      </w:tr>
      <w:tr w:rsidR="003F64F6" w:rsidRPr="00BF04E0" w14:paraId="0FE99B5F" w14:textId="77777777" w:rsidTr="00D02AB1">
        <w:trPr>
          <w:gridAfter w:val="1"/>
          <w:wAfter w:w="138" w:type="dxa"/>
          <w:trHeight w:val="320"/>
        </w:trPr>
        <w:tc>
          <w:tcPr>
            <w:tcW w:w="1903" w:type="dxa"/>
            <w:tcBorders>
              <w:top w:val="nil"/>
              <w:left w:val="nil"/>
              <w:bottom w:val="single" w:sz="4" w:space="0" w:color="auto"/>
              <w:right w:val="nil"/>
            </w:tcBorders>
            <w:shd w:val="clear" w:color="auto" w:fill="auto"/>
            <w:noWrap/>
            <w:vAlign w:val="bottom"/>
            <w:hideMark/>
          </w:tcPr>
          <w:p w14:paraId="4BC2D0E4" w14:textId="77777777" w:rsidR="003F64F6" w:rsidRPr="00BF04E0" w:rsidRDefault="003F64F6" w:rsidP="003F64F6">
            <w:pPr>
              <w:jc w:val="center"/>
              <w:rPr>
                <w:color w:val="000000" w:themeColor="text1"/>
                <w:sz w:val="22"/>
                <w:szCs w:val="22"/>
              </w:rPr>
            </w:pPr>
            <w:r w:rsidRPr="00BF04E0">
              <w:rPr>
                <w:color w:val="000000" w:themeColor="text1"/>
                <w:sz w:val="22"/>
                <w:szCs w:val="22"/>
              </w:rPr>
              <w:t>∆R</w:t>
            </w:r>
            <w:r w:rsidRPr="00BF04E0">
              <w:rPr>
                <w:color w:val="000000" w:themeColor="text1"/>
                <w:sz w:val="22"/>
                <w:szCs w:val="22"/>
                <w:vertAlign w:val="superscript"/>
              </w:rPr>
              <w:t>2</w:t>
            </w:r>
          </w:p>
        </w:tc>
        <w:tc>
          <w:tcPr>
            <w:tcW w:w="1152" w:type="dxa"/>
            <w:tcBorders>
              <w:top w:val="nil"/>
              <w:left w:val="nil"/>
              <w:bottom w:val="single" w:sz="4" w:space="0" w:color="auto"/>
              <w:right w:val="nil"/>
            </w:tcBorders>
            <w:shd w:val="clear" w:color="auto" w:fill="auto"/>
            <w:noWrap/>
            <w:vAlign w:val="bottom"/>
            <w:hideMark/>
          </w:tcPr>
          <w:p w14:paraId="0BD48AEE" w14:textId="010645D9" w:rsidR="003F64F6" w:rsidRPr="00BF04E0" w:rsidRDefault="003F64F6" w:rsidP="003F64F6">
            <w:pPr>
              <w:jc w:val="center"/>
              <w:rPr>
                <w:color w:val="000000" w:themeColor="text1"/>
                <w:sz w:val="22"/>
                <w:szCs w:val="22"/>
              </w:rPr>
            </w:pPr>
          </w:p>
        </w:tc>
        <w:tc>
          <w:tcPr>
            <w:tcW w:w="1153" w:type="dxa"/>
            <w:tcBorders>
              <w:top w:val="nil"/>
              <w:left w:val="nil"/>
              <w:bottom w:val="single" w:sz="4" w:space="0" w:color="auto"/>
              <w:right w:val="nil"/>
            </w:tcBorders>
            <w:shd w:val="clear" w:color="auto" w:fill="auto"/>
            <w:noWrap/>
            <w:vAlign w:val="bottom"/>
            <w:hideMark/>
          </w:tcPr>
          <w:p w14:paraId="73E2869A" w14:textId="2B0B2439" w:rsidR="003F64F6" w:rsidRPr="00BF04E0" w:rsidRDefault="003F64F6" w:rsidP="003F64F6">
            <w:pPr>
              <w:jc w:val="center"/>
              <w:rPr>
                <w:color w:val="000000" w:themeColor="text1"/>
                <w:sz w:val="22"/>
                <w:szCs w:val="22"/>
              </w:rPr>
            </w:pPr>
            <w:r w:rsidRPr="00BF04E0">
              <w:rPr>
                <w:color w:val="000000"/>
                <w:sz w:val="22"/>
                <w:szCs w:val="22"/>
              </w:rPr>
              <w:t>0.02</w:t>
            </w:r>
          </w:p>
        </w:tc>
        <w:tc>
          <w:tcPr>
            <w:tcW w:w="1041" w:type="dxa"/>
            <w:tcBorders>
              <w:top w:val="nil"/>
              <w:left w:val="nil"/>
              <w:bottom w:val="single" w:sz="4" w:space="0" w:color="auto"/>
              <w:right w:val="nil"/>
            </w:tcBorders>
            <w:vAlign w:val="bottom"/>
          </w:tcPr>
          <w:p w14:paraId="1BFF6E89" w14:textId="181F769F" w:rsidR="003F64F6" w:rsidRPr="00BF04E0" w:rsidRDefault="003F64F6" w:rsidP="003F64F6">
            <w:pPr>
              <w:jc w:val="center"/>
              <w:rPr>
                <w:color w:val="000000" w:themeColor="text1"/>
                <w:sz w:val="22"/>
                <w:szCs w:val="22"/>
              </w:rPr>
            </w:pPr>
            <w:r w:rsidRPr="00BF04E0">
              <w:rPr>
                <w:color w:val="000000"/>
                <w:sz w:val="22"/>
                <w:szCs w:val="22"/>
              </w:rPr>
              <w:t>0.04</w:t>
            </w:r>
          </w:p>
        </w:tc>
        <w:tc>
          <w:tcPr>
            <w:tcW w:w="1153" w:type="dxa"/>
            <w:gridSpan w:val="2"/>
            <w:tcBorders>
              <w:top w:val="nil"/>
              <w:left w:val="nil"/>
              <w:bottom w:val="single" w:sz="4" w:space="0" w:color="auto"/>
              <w:right w:val="nil"/>
            </w:tcBorders>
            <w:shd w:val="clear" w:color="auto" w:fill="auto"/>
            <w:noWrap/>
            <w:vAlign w:val="bottom"/>
            <w:hideMark/>
          </w:tcPr>
          <w:p w14:paraId="5452C059" w14:textId="3CBC1FDF" w:rsidR="003F64F6" w:rsidRPr="00BF04E0" w:rsidRDefault="003F64F6" w:rsidP="003F64F6">
            <w:pPr>
              <w:jc w:val="center"/>
              <w:rPr>
                <w:color w:val="000000" w:themeColor="text1"/>
                <w:sz w:val="22"/>
                <w:szCs w:val="22"/>
              </w:rPr>
            </w:pPr>
            <w:r w:rsidRPr="00BF04E0">
              <w:rPr>
                <w:color w:val="000000"/>
                <w:sz w:val="22"/>
                <w:szCs w:val="22"/>
              </w:rPr>
              <w:t>0.06</w:t>
            </w:r>
          </w:p>
        </w:tc>
        <w:tc>
          <w:tcPr>
            <w:tcW w:w="1243" w:type="dxa"/>
            <w:gridSpan w:val="2"/>
            <w:tcBorders>
              <w:top w:val="nil"/>
              <w:left w:val="nil"/>
              <w:bottom w:val="single" w:sz="4" w:space="0" w:color="auto"/>
              <w:right w:val="nil"/>
            </w:tcBorders>
            <w:shd w:val="clear" w:color="auto" w:fill="auto"/>
            <w:noWrap/>
            <w:vAlign w:val="bottom"/>
            <w:hideMark/>
          </w:tcPr>
          <w:p w14:paraId="05AA00A9" w14:textId="7C7B492C" w:rsidR="003F64F6" w:rsidRPr="00BF04E0" w:rsidRDefault="003F64F6" w:rsidP="003F64F6">
            <w:pPr>
              <w:jc w:val="center"/>
              <w:rPr>
                <w:color w:val="000000" w:themeColor="text1"/>
                <w:sz w:val="22"/>
                <w:szCs w:val="22"/>
              </w:rPr>
            </w:pPr>
            <w:r w:rsidRPr="00BF04E0">
              <w:rPr>
                <w:color w:val="000000"/>
                <w:sz w:val="22"/>
                <w:szCs w:val="22"/>
              </w:rPr>
              <w:t>0.10</w:t>
            </w:r>
          </w:p>
        </w:tc>
        <w:tc>
          <w:tcPr>
            <w:tcW w:w="1153" w:type="dxa"/>
            <w:gridSpan w:val="3"/>
            <w:tcBorders>
              <w:top w:val="nil"/>
              <w:left w:val="nil"/>
              <w:bottom w:val="single" w:sz="4" w:space="0" w:color="auto"/>
              <w:right w:val="nil"/>
            </w:tcBorders>
            <w:shd w:val="clear" w:color="auto" w:fill="auto"/>
            <w:noWrap/>
            <w:vAlign w:val="bottom"/>
            <w:hideMark/>
          </w:tcPr>
          <w:p w14:paraId="65E7FD34" w14:textId="27CD6F6B" w:rsidR="003F64F6" w:rsidRPr="00BF04E0" w:rsidRDefault="003F64F6" w:rsidP="003F64F6">
            <w:pPr>
              <w:jc w:val="center"/>
              <w:rPr>
                <w:color w:val="000000" w:themeColor="text1"/>
                <w:sz w:val="22"/>
                <w:szCs w:val="22"/>
              </w:rPr>
            </w:pPr>
            <w:r w:rsidRPr="00BF04E0">
              <w:rPr>
                <w:color w:val="000000"/>
                <w:sz w:val="22"/>
                <w:szCs w:val="22"/>
              </w:rPr>
              <w:t>0.08</w:t>
            </w:r>
          </w:p>
        </w:tc>
      </w:tr>
    </w:tbl>
    <w:p w14:paraId="2BAAB481" w14:textId="77777777" w:rsidR="00074E3E" w:rsidRPr="00BF04E0" w:rsidRDefault="00074E3E" w:rsidP="00160ADC">
      <w:pPr>
        <w:rPr>
          <w:color w:val="000000" w:themeColor="text1"/>
        </w:rPr>
      </w:pPr>
    </w:p>
    <w:p w14:paraId="010C8C6B" w14:textId="77777777" w:rsidR="00E86FB8" w:rsidRPr="00BF04E0" w:rsidRDefault="00E86FB8">
      <w:pPr>
        <w:rPr>
          <w:b/>
          <w:bCs/>
          <w:color w:val="000000" w:themeColor="text1"/>
        </w:rPr>
      </w:pPr>
      <w:r w:rsidRPr="00BF04E0">
        <w:rPr>
          <w:b/>
          <w:bCs/>
          <w:color w:val="000000" w:themeColor="text1"/>
        </w:rPr>
        <w:br w:type="page"/>
      </w:r>
    </w:p>
    <w:p w14:paraId="3DCB3953" w14:textId="13DEAB0E" w:rsidR="00160ADC" w:rsidRPr="00BF04E0" w:rsidRDefault="00E86FB8" w:rsidP="004B4779">
      <w:pPr>
        <w:jc w:val="both"/>
        <w:rPr>
          <w:b/>
          <w:bCs/>
          <w:color w:val="000000" w:themeColor="text1"/>
        </w:rPr>
      </w:pPr>
      <w:r w:rsidRPr="00BF04E0">
        <w:rPr>
          <w:b/>
          <w:bCs/>
          <w:color w:val="000000" w:themeColor="text1"/>
        </w:rPr>
        <w:lastRenderedPageBreak/>
        <w:t>REFERENCES</w:t>
      </w:r>
    </w:p>
    <w:p w14:paraId="538A29C4" w14:textId="77777777" w:rsidR="00326C15" w:rsidRPr="00BF04E0" w:rsidRDefault="00326C15" w:rsidP="00326C15">
      <w:pPr>
        <w:spacing w:before="200"/>
        <w:ind w:left="720" w:hanging="720"/>
        <w:jc w:val="both"/>
        <w:rPr>
          <w:color w:val="000000" w:themeColor="text1"/>
          <w:shd w:val="clear" w:color="auto" w:fill="FFFFFF"/>
        </w:rPr>
      </w:pPr>
      <w:r w:rsidRPr="00BF04E0">
        <w:rPr>
          <w:color w:val="000000" w:themeColor="text1"/>
          <w:shd w:val="clear" w:color="auto" w:fill="FFFFFF"/>
        </w:rPr>
        <w:t>Ang, A. (2014). </w:t>
      </w:r>
      <w:r w:rsidRPr="00BF04E0">
        <w:rPr>
          <w:i/>
          <w:iCs/>
          <w:color w:val="000000" w:themeColor="text1"/>
          <w:shd w:val="clear" w:color="auto" w:fill="FFFFFF"/>
        </w:rPr>
        <w:t>Asset management: A systematic approach to factor investing</w:t>
      </w:r>
      <w:r w:rsidRPr="00BF04E0">
        <w:rPr>
          <w:color w:val="000000" w:themeColor="text1"/>
          <w:shd w:val="clear" w:color="auto" w:fill="FFFFFF"/>
        </w:rPr>
        <w:t>. Oxford University Press.</w:t>
      </w:r>
    </w:p>
    <w:p w14:paraId="76712070" w14:textId="77777777" w:rsidR="00326C15" w:rsidRPr="00BF04E0" w:rsidRDefault="00326C15" w:rsidP="00326C15">
      <w:pPr>
        <w:spacing w:before="200"/>
        <w:ind w:left="709" w:hanging="709"/>
        <w:jc w:val="both"/>
        <w:rPr>
          <w:color w:val="000000" w:themeColor="text1"/>
        </w:rPr>
      </w:pPr>
      <w:r w:rsidRPr="00BF04E0">
        <w:rPr>
          <w:color w:val="000000" w:themeColor="text1"/>
        </w:rPr>
        <w:t xml:space="preserve">Bender, J., Sun, X., &amp; Wang, T. (2017). </w:t>
      </w:r>
      <w:proofErr w:type="gramStart"/>
      <w:r w:rsidRPr="00BF04E0">
        <w:rPr>
          <w:color w:val="000000" w:themeColor="text1"/>
        </w:rPr>
        <w:t>Thematic indexing,</w:t>
      </w:r>
      <w:proofErr w:type="gramEnd"/>
      <w:r w:rsidRPr="00BF04E0">
        <w:rPr>
          <w:color w:val="000000" w:themeColor="text1"/>
        </w:rPr>
        <w:t xml:space="preserve"> meet smart beta! merging ESG into factor portfolios. Working Paper. State Street Global Advisors. </w:t>
      </w:r>
    </w:p>
    <w:p w14:paraId="6CF65987" w14:textId="4E7C0227" w:rsidR="00326C15" w:rsidRPr="00BF04E0" w:rsidRDefault="00326C15" w:rsidP="00326C15">
      <w:pPr>
        <w:spacing w:before="200"/>
        <w:ind w:left="720" w:hanging="720"/>
        <w:jc w:val="both"/>
        <w:rPr>
          <w:color w:val="000000" w:themeColor="text1"/>
        </w:rPr>
      </w:pPr>
      <w:r w:rsidRPr="00BF04E0">
        <w:rPr>
          <w:color w:val="000000" w:themeColor="text1"/>
          <w:shd w:val="clear" w:color="auto" w:fill="FFFFFF"/>
        </w:rPr>
        <w:t xml:space="preserve">Black, F., Jensen, M. &amp; Scholes, M. (1972). The Capital Asset Pricing Model: Some Empirical Tests. </w:t>
      </w:r>
      <w:r w:rsidRPr="00BF04E0">
        <w:rPr>
          <w:i/>
          <w:iCs/>
          <w:color w:val="000000" w:themeColor="text1"/>
          <w:shd w:val="clear" w:color="auto" w:fill="FFFFFF"/>
        </w:rPr>
        <w:t>Studies in the Theory of Capital Markets</w:t>
      </w:r>
      <w:r w:rsidRPr="00BF04E0">
        <w:rPr>
          <w:color w:val="000000" w:themeColor="text1"/>
          <w:shd w:val="clear" w:color="auto" w:fill="FFFFFF"/>
        </w:rPr>
        <w:t>, edited by M. C. Jensen. New York: Praeger.</w:t>
      </w:r>
    </w:p>
    <w:p w14:paraId="41D57F29" w14:textId="3657521B" w:rsidR="00326C15" w:rsidRPr="00BF04E0" w:rsidRDefault="00326C15" w:rsidP="00326C15">
      <w:pPr>
        <w:spacing w:before="200"/>
        <w:ind w:left="720" w:hanging="720"/>
        <w:jc w:val="both"/>
        <w:rPr>
          <w:color w:val="000000" w:themeColor="text1"/>
        </w:rPr>
      </w:pPr>
      <w:r w:rsidRPr="00BF04E0">
        <w:rPr>
          <w:color w:val="000000" w:themeColor="text1"/>
          <w:shd w:val="clear" w:color="auto" w:fill="FFFFFF"/>
        </w:rPr>
        <w:t xml:space="preserve">BlackRock. (2020). ESG in Factors. Retrieved on 16 July 2020 from </w:t>
      </w:r>
      <w:hyperlink r:id="rId9" w:history="1">
        <w:r w:rsidRPr="00BF04E0">
          <w:rPr>
            <w:rStyle w:val="Hyperlink"/>
            <w:color w:val="000000" w:themeColor="text1"/>
          </w:rPr>
          <w:t>https://www.blackrock.com/us/individual/investment-ideas/what-is-factor-investing/factor-commentary/andrews-angle/esg-in-factors</w:t>
        </w:r>
      </w:hyperlink>
      <w:r w:rsidRPr="00BF04E0">
        <w:rPr>
          <w:color w:val="000000" w:themeColor="text1"/>
        </w:rPr>
        <w:t>.</w:t>
      </w:r>
    </w:p>
    <w:p w14:paraId="367C301F" w14:textId="77777777" w:rsidR="00326C15" w:rsidRPr="00BF04E0" w:rsidRDefault="00326C15" w:rsidP="00326C15">
      <w:pPr>
        <w:spacing w:before="200"/>
        <w:ind w:left="709" w:hanging="709"/>
        <w:jc w:val="both"/>
        <w:rPr>
          <w:color w:val="000000" w:themeColor="text1"/>
        </w:rPr>
      </w:pPr>
      <w:r w:rsidRPr="00BF04E0">
        <w:rPr>
          <w:color w:val="000000" w:themeColor="text1"/>
          <w:shd w:val="clear" w:color="auto" w:fill="FFFFFF"/>
        </w:rPr>
        <w:t>Cornell, B., &amp; Shapiro, A. C. (1987). Corporate stakeholders and corporate finance. </w:t>
      </w:r>
      <w:r w:rsidRPr="00BF04E0">
        <w:rPr>
          <w:i/>
          <w:iCs/>
          <w:color w:val="000000" w:themeColor="text1"/>
          <w:shd w:val="clear" w:color="auto" w:fill="FFFFFF"/>
        </w:rPr>
        <w:t>Financial management</w:t>
      </w:r>
      <w:r w:rsidRPr="00BF04E0">
        <w:rPr>
          <w:color w:val="000000" w:themeColor="text1"/>
          <w:shd w:val="clear" w:color="auto" w:fill="FFFFFF"/>
        </w:rPr>
        <w:t xml:space="preserve">, </w:t>
      </w:r>
      <w:r w:rsidRPr="00BF04E0">
        <w:rPr>
          <w:i/>
          <w:iCs/>
          <w:color w:val="000000" w:themeColor="text1"/>
          <w:shd w:val="clear" w:color="auto" w:fill="FFFFFF"/>
        </w:rPr>
        <w:t>16</w:t>
      </w:r>
      <w:r w:rsidRPr="00BF04E0">
        <w:rPr>
          <w:color w:val="000000" w:themeColor="text1"/>
          <w:shd w:val="clear" w:color="auto" w:fill="FFFFFF"/>
        </w:rPr>
        <w:t>(1), 5-14.</w:t>
      </w:r>
    </w:p>
    <w:p w14:paraId="554EE223" w14:textId="77777777" w:rsidR="00326C15" w:rsidRPr="00BF04E0" w:rsidRDefault="00326C15" w:rsidP="00326C15">
      <w:pPr>
        <w:spacing w:before="200"/>
        <w:ind w:left="720" w:hanging="720"/>
        <w:jc w:val="both"/>
        <w:rPr>
          <w:color w:val="000000" w:themeColor="text1"/>
          <w:shd w:val="clear" w:color="auto" w:fill="FFFFFF"/>
        </w:rPr>
      </w:pPr>
      <w:r w:rsidRPr="00BF04E0">
        <w:rPr>
          <w:color w:val="000000" w:themeColor="text1"/>
          <w:shd w:val="clear" w:color="auto" w:fill="FFFFFF"/>
        </w:rPr>
        <w:t xml:space="preserve">Doan, P., Lin, C. T., &amp; </w:t>
      </w:r>
      <w:proofErr w:type="spellStart"/>
      <w:r w:rsidRPr="00BF04E0">
        <w:rPr>
          <w:color w:val="000000" w:themeColor="text1"/>
          <w:shd w:val="clear" w:color="auto" w:fill="FFFFFF"/>
        </w:rPr>
        <w:t>Zurbruegg</w:t>
      </w:r>
      <w:proofErr w:type="spellEnd"/>
      <w:r w:rsidRPr="00BF04E0">
        <w:rPr>
          <w:color w:val="000000" w:themeColor="text1"/>
          <w:shd w:val="clear" w:color="auto" w:fill="FFFFFF"/>
        </w:rPr>
        <w:t>, R. (2010). Pricing assets with higher moments: Evidence from the Australian and US stock markets. </w:t>
      </w:r>
      <w:r w:rsidRPr="00BF04E0">
        <w:rPr>
          <w:i/>
          <w:iCs/>
          <w:color w:val="000000" w:themeColor="text1"/>
          <w:shd w:val="clear" w:color="auto" w:fill="FFFFFF"/>
        </w:rPr>
        <w:t>Journal of International Financial Markets, Institutions and Money</w:t>
      </w:r>
      <w:r w:rsidRPr="00BF04E0">
        <w:rPr>
          <w:color w:val="000000" w:themeColor="text1"/>
          <w:shd w:val="clear" w:color="auto" w:fill="FFFFFF"/>
        </w:rPr>
        <w:t>, </w:t>
      </w:r>
      <w:r w:rsidRPr="00BF04E0">
        <w:rPr>
          <w:i/>
          <w:iCs/>
          <w:color w:val="000000" w:themeColor="text1"/>
          <w:shd w:val="clear" w:color="auto" w:fill="FFFFFF"/>
        </w:rPr>
        <w:t>20</w:t>
      </w:r>
      <w:r w:rsidRPr="00BF04E0">
        <w:rPr>
          <w:color w:val="000000" w:themeColor="text1"/>
          <w:shd w:val="clear" w:color="auto" w:fill="FFFFFF"/>
        </w:rPr>
        <w:t>(1), 51-67.</w:t>
      </w:r>
    </w:p>
    <w:p w14:paraId="4E46407D" w14:textId="77777777" w:rsidR="00326C15" w:rsidRPr="00BF04E0" w:rsidRDefault="00326C15" w:rsidP="00326C15">
      <w:pPr>
        <w:spacing w:before="200"/>
        <w:ind w:left="720" w:hanging="720"/>
        <w:jc w:val="both"/>
        <w:rPr>
          <w:color w:val="000000" w:themeColor="text1"/>
          <w:shd w:val="clear" w:color="auto" w:fill="FFFFFF"/>
        </w:rPr>
      </w:pPr>
      <w:proofErr w:type="spellStart"/>
      <w:r w:rsidRPr="00BF04E0">
        <w:rPr>
          <w:color w:val="000000" w:themeColor="text1"/>
          <w:shd w:val="clear" w:color="auto" w:fill="FFFFFF"/>
        </w:rPr>
        <w:t>Fama</w:t>
      </w:r>
      <w:proofErr w:type="spellEnd"/>
      <w:r w:rsidRPr="00BF04E0">
        <w:rPr>
          <w:color w:val="000000" w:themeColor="text1"/>
          <w:shd w:val="clear" w:color="auto" w:fill="FFFFFF"/>
        </w:rPr>
        <w:t xml:space="preserve">, E. F., &amp; </w:t>
      </w:r>
      <w:proofErr w:type="spellStart"/>
      <w:r w:rsidRPr="00BF04E0">
        <w:rPr>
          <w:color w:val="000000" w:themeColor="text1"/>
          <w:shd w:val="clear" w:color="auto" w:fill="FFFFFF"/>
        </w:rPr>
        <w:t>MacBeth</w:t>
      </w:r>
      <w:proofErr w:type="spellEnd"/>
      <w:r w:rsidRPr="00BF04E0">
        <w:rPr>
          <w:color w:val="000000" w:themeColor="text1"/>
          <w:shd w:val="clear" w:color="auto" w:fill="FFFFFF"/>
        </w:rPr>
        <w:t>, J. D. (1973). Risk, return, and equilibrium: Empirical tests. </w:t>
      </w:r>
      <w:r w:rsidRPr="00BF04E0">
        <w:rPr>
          <w:i/>
          <w:iCs/>
          <w:color w:val="000000" w:themeColor="text1"/>
          <w:shd w:val="clear" w:color="auto" w:fill="FFFFFF"/>
        </w:rPr>
        <w:t>Journal of Political Economy</w:t>
      </w:r>
      <w:r w:rsidRPr="00BF04E0">
        <w:rPr>
          <w:color w:val="000000" w:themeColor="text1"/>
          <w:shd w:val="clear" w:color="auto" w:fill="FFFFFF"/>
        </w:rPr>
        <w:t>, </w:t>
      </w:r>
      <w:r w:rsidRPr="00BF04E0">
        <w:rPr>
          <w:i/>
          <w:iCs/>
          <w:color w:val="000000" w:themeColor="text1"/>
          <w:shd w:val="clear" w:color="auto" w:fill="FFFFFF"/>
        </w:rPr>
        <w:t>81</w:t>
      </w:r>
      <w:r w:rsidRPr="00BF04E0">
        <w:rPr>
          <w:color w:val="000000" w:themeColor="text1"/>
          <w:shd w:val="clear" w:color="auto" w:fill="FFFFFF"/>
        </w:rPr>
        <w:t>(3), 607-636.</w:t>
      </w:r>
    </w:p>
    <w:p w14:paraId="7824EB33" w14:textId="77777777" w:rsidR="00326C15" w:rsidRPr="00BF04E0" w:rsidRDefault="00326C15" w:rsidP="00326C15">
      <w:pPr>
        <w:spacing w:before="200"/>
        <w:ind w:left="709" w:hanging="709"/>
        <w:jc w:val="both"/>
        <w:rPr>
          <w:color w:val="000000" w:themeColor="text1"/>
          <w:shd w:val="clear" w:color="auto" w:fill="FFFFFF"/>
        </w:rPr>
      </w:pPr>
      <w:r w:rsidRPr="00BF04E0">
        <w:rPr>
          <w:color w:val="000000" w:themeColor="text1"/>
          <w:shd w:val="clear" w:color="auto" w:fill="FFFFFF"/>
        </w:rPr>
        <w:t>Flammer, C. (2015). Does corporate social responsibility lead to superior financial performance? A regression discontinuity approach. </w:t>
      </w:r>
      <w:r w:rsidRPr="00BF04E0">
        <w:rPr>
          <w:i/>
          <w:iCs/>
          <w:color w:val="000000" w:themeColor="text1"/>
          <w:shd w:val="clear" w:color="auto" w:fill="FFFFFF"/>
        </w:rPr>
        <w:t>Management Science</w:t>
      </w:r>
      <w:r w:rsidRPr="00BF04E0">
        <w:rPr>
          <w:color w:val="000000" w:themeColor="text1"/>
          <w:shd w:val="clear" w:color="auto" w:fill="FFFFFF"/>
        </w:rPr>
        <w:t>, </w:t>
      </w:r>
      <w:r w:rsidRPr="00BF04E0">
        <w:rPr>
          <w:i/>
          <w:iCs/>
          <w:color w:val="000000" w:themeColor="text1"/>
          <w:shd w:val="clear" w:color="auto" w:fill="FFFFFF"/>
        </w:rPr>
        <w:t>61</w:t>
      </w:r>
      <w:r w:rsidRPr="00BF04E0">
        <w:rPr>
          <w:color w:val="000000" w:themeColor="text1"/>
          <w:shd w:val="clear" w:color="auto" w:fill="FFFFFF"/>
        </w:rPr>
        <w:t>(11), 2549-2568.</w:t>
      </w:r>
    </w:p>
    <w:p w14:paraId="3B600408" w14:textId="77777777" w:rsidR="00326C15" w:rsidRPr="00BF04E0" w:rsidRDefault="00326C15" w:rsidP="00326C15">
      <w:pPr>
        <w:spacing w:before="200"/>
        <w:ind w:left="720" w:hanging="720"/>
        <w:jc w:val="both"/>
        <w:rPr>
          <w:color w:val="000000" w:themeColor="text1"/>
          <w:shd w:val="clear" w:color="auto" w:fill="FFFFFF"/>
        </w:rPr>
      </w:pPr>
      <w:r w:rsidRPr="00BF04E0">
        <w:rPr>
          <w:color w:val="000000" w:themeColor="text1"/>
          <w:shd w:val="clear" w:color="auto" w:fill="FFFFFF"/>
        </w:rPr>
        <w:t>Galbreath, J. (2013). ESG in focus: The Australian evidence. </w:t>
      </w:r>
      <w:r w:rsidRPr="00BF04E0">
        <w:rPr>
          <w:i/>
          <w:iCs/>
          <w:color w:val="000000" w:themeColor="text1"/>
          <w:shd w:val="clear" w:color="auto" w:fill="FFFFFF"/>
        </w:rPr>
        <w:t>Journal of Business Ethics</w:t>
      </w:r>
      <w:r w:rsidRPr="00BF04E0">
        <w:rPr>
          <w:color w:val="000000" w:themeColor="text1"/>
          <w:shd w:val="clear" w:color="auto" w:fill="FFFFFF"/>
        </w:rPr>
        <w:t>, </w:t>
      </w:r>
      <w:r w:rsidRPr="00BF04E0">
        <w:rPr>
          <w:i/>
          <w:iCs/>
          <w:color w:val="000000" w:themeColor="text1"/>
          <w:shd w:val="clear" w:color="auto" w:fill="FFFFFF"/>
        </w:rPr>
        <w:t>118</w:t>
      </w:r>
      <w:r w:rsidRPr="00BF04E0">
        <w:rPr>
          <w:color w:val="000000" w:themeColor="text1"/>
          <w:shd w:val="clear" w:color="auto" w:fill="FFFFFF"/>
        </w:rPr>
        <w:t>(3), 529-541.</w:t>
      </w:r>
    </w:p>
    <w:p w14:paraId="6D876E29" w14:textId="77777777" w:rsidR="00326C15" w:rsidRPr="00BF04E0" w:rsidRDefault="00326C15" w:rsidP="00326C15">
      <w:pPr>
        <w:spacing w:before="200"/>
        <w:ind w:left="709" w:hanging="709"/>
        <w:jc w:val="both"/>
        <w:rPr>
          <w:color w:val="000000" w:themeColor="text1"/>
        </w:rPr>
      </w:pPr>
      <w:r w:rsidRPr="00BF04E0">
        <w:rPr>
          <w:color w:val="000000" w:themeColor="text1"/>
        </w:rPr>
        <w:t>Greis, M. (2018). Mainstreaming Sustainable Investing. CFA Institute Research Foundation.</w:t>
      </w:r>
    </w:p>
    <w:p w14:paraId="7F9A1121" w14:textId="77777777" w:rsidR="00326C15" w:rsidRPr="00BF04E0" w:rsidRDefault="00326C15" w:rsidP="00326C15">
      <w:pPr>
        <w:spacing w:before="200"/>
        <w:ind w:left="709" w:hanging="709"/>
        <w:jc w:val="both"/>
        <w:rPr>
          <w:color w:val="000000" w:themeColor="text1"/>
        </w:rPr>
      </w:pPr>
      <w:r w:rsidRPr="00BF04E0">
        <w:rPr>
          <w:color w:val="000000" w:themeColor="text1"/>
        </w:rPr>
        <w:t xml:space="preserve">Kaiser, L. (2018). ESG integration: Value, growth and momentum. Working Paper. University of Liechtenstein.  </w:t>
      </w:r>
    </w:p>
    <w:p w14:paraId="5490111A" w14:textId="77777777" w:rsidR="00326C15" w:rsidRPr="00BF04E0" w:rsidRDefault="00326C15" w:rsidP="00326C15">
      <w:pPr>
        <w:spacing w:before="200"/>
        <w:ind w:left="720" w:hanging="720"/>
        <w:jc w:val="both"/>
        <w:rPr>
          <w:color w:val="000000" w:themeColor="text1"/>
          <w:shd w:val="clear" w:color="auto" w:fill="FFFFFF"/>
        </w:rPr>
      </w:pPr>
      <w:r w:rsidRPr="00BF04E0">
        <w:rPr>
          <w:color w:val="000000" w:themeColor="text1"/>
          <w:shd w:val="clear" w:color="auto" w:fill="FFFFFF"/>
        </w:rPr>
        <w:t>Lim, M., &amp; Coggins, R. (2005). The immediate price impact of trades on the Australian Stock Exchange. </w:t>
      </w:r>
      <w:r w:rsidRPr="00BF04E0">
        <w:rPr>
          <w:i/>
          <w:iCs/>
          <w:color w:val="000000" w:themeColor="text1"/>
          <w:shd w:val="clear" w:color="auto" w:fill="FFFFFF"/>
        </w:rPr>
        <w:t>Quantitative Finance</w:t>
      </w:r>
      <w:r w:rsidRPr="00BF04E0">
        <w:rPr>
          <w:color w:val="000000" w:themeColor="text1"/>
          <w:shd w:val="clear" w:color="auto" w:fill="FFFFFF"/>
        </w:rPr>
        <w:t>, </w:t>
      </w:r>
      <w:r w:rsidRPr="00BF04E0">
        <w:rPr>
          <w:i/>
          <w:iCs/>
          <w:color w:val="000000" w:themeColor="text1"/>
          <w:shd w:val="clear" w:color="auto" w:fill="FFFFFF"/>
        </w:rPr>
        <w:t>5</w:t>
      </w:r>
      <w:r w:rsidRPr="00BF04E0">
        <w:rPr>
          <w:color w:val="000000" w:themeColor="text1"/>
          <w:shd w:val="clear" w:color="auto" w:fill="FFFFFF"/>
        </w:rPr>
        <w:t>(4), 365-377.</w:t>
      </w:r>
    </w:p>
    <w:p w14:paraId="35ED04DD" w14:textId="77777777" w:rsidR="00326C15" w:rsidRPr="00BF04E0" w:rsidRDefault="00326C15" w:rsidP="00326C15">
      <w:pPr>
        <w:spacing w:before="200"/>
        <w:ind w:left="720" w:hanging="720"/>
        <w:jc w:val="both"/>
        <w:rPr>
          <w:color w:val="000000" w:themeColor="text1"/>
          <w:shd w:val="clear" w:color="auto" w:fill="FFFFFF"/>
        </w:rPr>
      </w:pPr>
      <w:proofErr w:type="spellStart"/>
      <w:r w:rsidRPr="00BF04E0">
        <w:rPr>
          <w:color w:val="000000" w:themeColor="text1"/>
          <w:shd w:val="clear" w:color="auto" w:fill="FFFFFF"/>
        </w:rPr>
        <w:t>Limkriangkrai</w:t>
      </w:r>
      <w:proofErr w:type="spellEnd"/>
      <w:r w:rsidRPr="00BF04E0">
        <w:rPr>
          <w:color w:val="000000" w:themeColor="text1"/>
          <w:shd w:val="clear" w:color="auto" w:fill="FFFFFF"/>
        </w:rPr>
        <w:t>, M., Koh, S., &amp; Durand, R. B. (2017). Environmental, social, and governance (ESG) profiles, stock returns, and financial policy: Australian evidence. </w:t>
      </w:r>
      <w:r w:rsidRPr="00BF04E0">
        <w:rPr>
          <w:i/>
          <w:iCs/>
          <w:color w:val="000000" w:themeColor="text1"/>
          <w:shd w:val="clear" w:color="auto" w:fill="FFFFFF"/>
        </w:rPr>
        <w:t>International Review of Finance</w:t>
      </w:r>
      <w:r w:rsidRPr="00BF04E0">
        <w:rPr>
          <w:color w:val="000000" w:themeColor="text1"/>
          <w:shd w:val="clear" w:color="auto" w:fill="FFFFFF"/>
        </w:rPr>
        <w:t>, </w:t>
      </w:r>
      <w:r w:rsidRPr="00BF04E0">
        <w:rPr>
          <w:i/>
          <w:iCs/>
          <w:color w:val="000000" w:themeColor="text1"/>
          <w:shd w:val="clear" w:color="auto" w:fill="FFFFFF"/>
        </w:rPr>
        <w:t>17</w:t>
      </w:r>
      <w:r w:rsidRPr="00BF04E0">
        <w:rPr>
          <w:color w:val="000000" w:themeColor="text1"/>
          <w:shd w:val="clear" w:color="auto" w:fill="FFFFFF"/>
        </w:rPr>
        <w:t>(3), 461-471.</w:t>
      </w:r>
    </w:p>
    <w:p w14:paraId="60E053C5" w14:textId="77777777" w:rsidR="00326C15" w:rsidRPr="00BF04E0" w:rsidRDefault="00326C15" w:rsidP="00326C15">
      <w:pPr>
        <w:spacing w:before="200"/>
        <w:ind w:left="720" w:hanging="720"/>
        <w:rPr>
          <w:color w:val="000000" w:themeColor="text1"/>
        </w:rPr>
      </w:pPr>
      <w:r w:rsidRPr="00BF04E0">
        <w:rPr>
          <w:color w:val="000000" w:themeColor="text1"/>
        </w:rPr>
        <w:t xml:space="preserve">Market Index. (2020). About the S&amp;P/ASX300.  Retrieved on 20 July 2020 from </w:t>
      </w:r>
      <w:hyperlink r:id="rId10" w:anchor=":~:text=The%20S%26P%2FASX%20300%20(XKO,of%20the%20Australian%20equity%20market." w:history="1">
        <w:r w:rsidRPr="00BF04E0">
          <w:rPr>
            <w:rStyle w:val="Hyperlink"/>
            <w:color w:val="000000" w:themeColor="text1"/>
          </w:rPr>
          <w:t>https://www.marketindex.com.au/asx300#:~:text=The%20S%26P%2FASX%20300%20(XKO,of%20the%20Australian%20equity%20market.</w:t>
        </w:r>
      </w:hyperlink>
    </w:p>
    <w:p w14:paraId="18FAA355" w14:textId="77777777" w:rsidR="00326C15" w:rsidRPr="00BF04E0" w:rsidRDefault="00326C15" w:rsidP="00326C15">
      <w:pPr>
        <w:spacing w:before="200"/>
        <w:ind w:left="709" w:hanging="709"/>
        <w:jc w:val="both"/>
        <w:rPr>
          <w:color w:val="000000" w:themeColor="text1"/>
        </w:rPr>
      </w:pPr>
      <w:r w:rsidRPr="00BF04E0">
        <w:rPr>
          <w:color w:val="000000" w:themeColor="text1"/>
        </w:rPr>
        <w:t xml:space="preserve">Pedersen, L. H., Fitzgibbons, S., &amp; </w:t>
      </w:r>
      <w:proofErr w:type="spellStart"/>
      <w:r w:rsidRPr="00BF04E0">
        <w:rPr>
          <w:color w:val="000000" w:themeColor="text1"/>
        </w:rPr>
        <w:t>Pomorski</w:t>
      </w:r>
      <w:proofErr w:type="spellEnd"/>
      <w:r w:rsidRPr="00BF04E0">
        <w:rPr>
          <w:color w:val="000000" w:themeColor="text1"/>
        </w:rPr>
        <w:t>, L. (2019). Responsible investing: The ESG-efficient frontier. Working paper. AQR capital management.</w:t>
      </w:r>
    </w:p>
    <w:p w14:paraId="6258A388" w14:textId="77777777" w:rsidR="00326C15" w:rsidRPr="00BF04E0" w:rsidRDefault="00326C15" w:rsidP="00326C15">
      <w:pPr>
        <w:spacing w:before="200"/>
        <w:ind w:left="709" w:hanging="709"/>
        <w:jc w:val="both"/>
        <w:rPr>
          <w:color w:val="000000" w:themeColor="text1"/>
          <w:shd w:val="clear" w:color="auto" w:fill="FFFFFF"/>
        </w:rPr>
      </w:pPr>
      <w:bookmarkStart w:id="3" w:name="_Hlk46502386"/>
      <w:proofErr w:type="spellStart"/>
      <w:r w:rsidRPr="00BF04E0">
        <w:rPr>
          <w:color w:val="000000" w:themeColor="text1"/>
          <w:shd w:val="clear" w:color="auto" w:fill="FFFFFF"/>
        </w:rPr>
        <w:lastRenderedPageBreak/>
        <w:t>Revelli</w:t>
      </w:r>
      <w:proofErr w:type="spellEnd"/>
      <w:r w:rsidRPr="00BF04E0">
        <w:rPr>
          <w:color w:val="000000" w:themeColor="text1"/>
          <w:shd w:val="clear" w:color="auto" w:fill="FFFFFF"/>
        </w:rPr>
        <w:t>, C., &amp; Viviani, J. L. (2015). Financial performance of socially responsible investing (SRI): what have we learned? A meta‐analysis. </w:t>
      </w:r>
      <w:r w:rsidRPr="00BF04E0">
        <w:rPr>
          <w:i/>
          <w:iCs/>
          <w:color w:val="000000" w:themeColor="text1"/>
          <w:shd w:val="clear" w:color="auto" w:fill="FFFFFF"/>
        </w:rPr>
        <w:t>Business Ethics: A European Review</w:t>
      </w:r>
      <w:r w:rsidRPr="00BF04E0">
        <w:rPr>
          <w:color w:val="000000" w:themeColor="text1"/>
          <w:shd w:val="clear" w:color="auto" w:fill="FFFFFF"/>
        </w:rPr>
        <w:t>, </w:t>
      </w:r>
      <w:r w:rsidRPr="00BF04E0">
        <w:rPr>
          <w:i/>
          <w:iCs/>
          <w:color w:val="000000" w:themeColor="text1"/>
          <w:shd w:val="clear" w:color="auto" w:fill="FFFFFF"/>
        </w:rPr>
        <w:t>24</w:t>
      </w:r>
      <w:r w:rsidRPr="00BF04E0">
        <w:rPr>
          <w:color w:val="000000" w:themeColor="text1"/>
          <w:shd w:val="clear" w:color="auto" w:fill="FFFFFF"/>
        </w:rPr>
        <w:t>(2), 158-185.</w:t>
      </w:r>
    </w:p>
    <w:p w14:paraId="7D868653" w14:textId="77777777" w:rsidR="00326C15" w:rsidRPr="00BF04E0" w:rsidRDefault="00326C15" w:rsidP="00326C15">
      <w:pPr>
        <w:spacing w:before="200"/>
        <w:ind w:left="709" w:hanging="709"/>
        <w:jc w:val="both"/>
        <w:rPr>
          <w:color w:val="000000" w:themeColor="text1"/>
        </w:rPr>
      </w:pPr>
      <w:r w:rsidRPr="00BF04E0">
        <w:rPr>
          <w:color w:val="000000" w:themeColor="text1"/>
        </w:rPr>
        <w:t xml:space="preserve">S&amp;P. (2020). S&amp;P Index Methodology. Retrieved on 20 July 2020 from </w:t>
      </w:r>
      <w:hyperlink r:id="rId11" w:history="1">
        <w:r w:rsidRPr="00BF04E0">
          <w:rPr>
            <w:rStyle w:val="Hyperlink"/>
            <w:color w:val="000000" w:themeColor="text1"/>
          </w:rPr>
          <w:t>https://www.spglobal.com/spdji/en/documents/methodologies/methodology-sp-asx-australian-indices.pdf</w:t>
        </w:r>
      </w:hyperlink>
      <w:r w:rsidRPr="00BF04E0">
        <w:rPr>
          <w:color w:val="000000" w:themeColor="text1"/>
        </w:rPr>
        <w:t xml:space="preserve">  </w:t>
      </w:r>
    </w:p>
    <w:p w14:paraId="2CDC09E7" w14:textId="77777777" w:rsidR="00326C15" w:rsidRPr="00BF04E0" w:rsidRDefault="00326C15" w:rsidP="00326C15">
      <w:pPr>
        <w:spacing w:before="200"/>
        <w:ind w:left="709" w:hanging="709"/>
        <w:jc w:val="both"/>
        <w:rPr>
          <w:color w:val="000000" w:themeColor="text1"/>
        </w:rPr>
      </w:pPr>
      <w:r w:rsidRPr="00BF04E0">
        <w:rPr>
          <w:color w:val="000000" w:themeColor="text1"/>
          <w:shd w:val="clear" w:color="auto" w:fill="FFFFFF"/>
        </w:rPr>
        <w:t xml:space="preserve">Statista. (2020). Distribution of countries with largest stock markets worldwide as of January 2020. Retrieved on 20 July 2020 from </w:t>
      </w:r>
      <w:hyperlink r:id="rId12" w:history="1">
        <w:r w:rsidRPr="00BF04E0">
          <w:rPr>
            <w:rStyle w:val="Hyperlink"/>
            <w:color w:val="000000" w:themeColor="text1"/>
          </w:rPr>
          <w:t>https://www.statista.com/statistics/710680/global-stock-markets-by-country/</w:t>
        </w:r>
      </w:hyperlink>
    </w:p>
    <w:bookmarkEnd w:id="3"/>
    <w:p w14:paraId="10749E31" w14:textId="77777777" w:rsidR="00326C15" w:rsidRPr="007444E2" w:rsidRDefault="00326C15" w:rsidP="00326C15">
      <w:pPr>
        <w:spacing w:before="200"/>
        <w:ind w:left="709" w:hanging="709"/>
        <w:jc w:val="both"/>
        <w:rPr>
          <w:color w:val="000000" w:themeColor="text1"/>
        </w:rPr>
      </w:pPr>
      <w:r w:rsidRPr="00BF04E0">
        <w:rPr>
          <w:color w:val="000000" w:themeColor="text1"/>
          <w:shd w:val="clear" w:color="auto" w:fill="FFFFFF"/>
        </w:rPr>
        <w:t xml:space="preserve">Statman, M., &amp; </w:t>
      </w:r>
      <w:proofErr w:type="spellStart"/>
      <w:r w:rsidRPr="00BF04E0">
        <w:rPr>
          <w:color w:val="000000" w:themeColor="text1"/>
          <w:shd w:val="clear" w:color="auto" w:fill="FFFFFF"/>
        </w:rPr>
        <w:t>Glushkov</w:t>
      </w:r>
      <w:proofErr w:type="spellEnd"/>
      <w:r w:rsidRPr="00BF04E0">
        <w:rPr>
          <w:color w:val="000000" w:themeColor="text1"/>
          <w:shd w:val="clear" w:color="auto" w:fill="FFFFFF"/>
        </w:rPr>
        <w:t>, D. (2009). The wages of social responsibility. </w:t>
      </w:r>
      <w:r w:rsidRPr="00BF04E0">
        <w:rPr>
          <w:i/>
          <w:iCs/>
          <w:color w:val="000000" w:themeColor="text1"/>
          <w:shd w:val="clear" w:color="auto" w:fill="FFFFFF"/>
        </w:rPr>
        <w:t>Financial Analysts Journal</w:t>
      </w:r>
      <w:r w:rsidRPr="00BF04E0">
        <w:rPr>
          <w:color w:val="000000" w:themeColor="text1"/>
          <w:shd w:val="clear" w:color="auto" w:fill="FFFFFF"/>
        </w:rPr>
        <w:t>, </w:t>
      </w:r>
      <w:r w:rsidRPr="00BF04E0">
        <w:rPr>
          <w:i/>
          <w:iCs/>
          <w:color w:val="000000" w:themeColor="text1"/>
          <w:shd w:val="clear" w:color="auto" w:fill="FFFFFF"/>
        </w:rPr>
        <w:t>65</w:t>
      </w:r>
      <w:r w:rsidRPr="00BF04E0">
        <w:rPr>
          <w:color w:val="000000" w:themeColor="text1"/>
          <w:shd w:val="clear" w:color="auto" w:fill="FFFFFF"/>
        </w:rPr>
        <w:t>(4), 33-46.</w:t>
      </w:r>
      <w:r w:rsidRPr="007444E2">
        <w:rPr>
          <w:color w:val="000000" w:themeColor="text1"/>
        </w:rPr>
        <w:t xml:space="preserve"> </w:t>
      </w:r>
    </w:p>
    <w:sectPr w:rsidR="00326C15" w:rsidRPr="007444E2" w:rsidSect="00BD2D45">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EA4DE0" w14:textId="77777777" w:rsidR="00383EA2" w:rsidRDefault="00383EA2" w:rsidP="00E94692">
      <w:r>
        <w:separator/>
      </w:r>
    </w:p>
  </w:endnote>
  <w:endnote w:type="continuationSeparator" w:id="0">
    <w:p w14:paraId="32CF043E" w14:textId="77777777" w:rsidR="00383EA2" w:rsidRDefault="00383EA2" w:rsidP="00E94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3355830"/>
      <w:docPartObj>
        <w:docPartGallery w:val="Page Numbers (Bottom of Page)"/>
        <w:docPartUnique/>
      </w:docPartObj>
    </w:sdtPr>
    <w:sdtEndPr>
      <w:rPr>
        <w:noProof/>
      </w:rPr>
    </w:sdtEndPr>
    <w:sdtContent>
      <w:p w14:paraId="50439F0B" w14:textId="2A6F4A47" w:rsidR="00326C15" w:rsidRDefault="00326C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F28ECA" w14:textId="77777777" w:rsidR="00326C15" w:rsidRDefault="00326C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58257E" w14:textId="77777777" w:rsidR="00383EA2" w:rsidRDefault="00383EA2" w:rsidP="00E94692">
      <w:r>
        <w:separator/>
      </w:r>
    </w:p>
  </w:footnote>
  <w:footnote w:type="continuationSeparator" w:id="0">
    <w:p w14:paraId="287B9F33" w14:textId="77777777" w:rsidR="00383EA2" w:rsidRDefault="00383EA2" w:rsidP="00E946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F87A29"/>
    <w:multiLevelType w:val="multilevel"/>
    <w:tmpl w:val="A66E77BE"/>
    <w:lvl w:ilvl="0">
      <w:start w:val="1"/>
      <w:numFmt w:val="decimal"/>
      <w:lvlText w:val="%1."/>
      <w:lvlJc w:val="left"/>
      <w:pPr>
        <w:tabs>
          <w:tab w:val="num" w:pos="720"/>
        </w:tabs>
        <w:ind w:left="720" w:hanging="720"/>
      </w:pPr>
    </w:lvl>
    <w:lvl w:ilvl="1">
      <w:start w:val="1"/>
      <w:numFmt w:val="decimal"/>
      <w:pStyle w:val="Heading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ADC"/>
    <w:rsid w:val="0000241C"/>
    <w:rsid w:val="00006CDB"/>
    <w:rsid w:val="00037855"/>
    <w:rsid w:val="000448C5"/>
    <w:rsid w:val="00062D7E"/>
    <w:rsid w:val="00074DEE"/>
    <w:rsid w:val="00074E3E"/>
    <w:rsid w:val="00076333"/>
    <w:rsid w:val="000B4181"/>
    <w:rsid w:val="000B5BAE"/>
    <w:rsid w:val="000C1112"/>
    <w:rsid w:val="000C3A3A"/>
    <w:rsid w:val="000D139D"/>
    <w:rsid w:val="000E5C79"/>
    <w:rsid w:val="000E7208"/>
    <w:rsid w:val="001032C2"/>
    <w:rsid w:val="00104443"/>
    <w:rsid w:val="00105C06"/>
    <w:rsid w:val="00156EC1"/>
    <w:rsid w:val="00160ADC"/>
    <w:rsid w:val="00166A0B"/>
    <w:rsid w:val="001A7F85"/>
    <w:rsid w:val="001B444C"/>
    <w:rsid w:val="001B6023"/>
    <w:rsid w:val="001D61A9"/>
    <w:rsid w:val="001E790E"/>
    <w:rsid w:val="001F0AB4"/>
    <w:rsid w:val="001F24AA"/>
    <w:rsid w:val="00204976"/>
    <w:rsid w:val="00205F4B"/>
    <w:rsid w:val="002073A5"/>
    <w:rsid w:val="00214D83"/>
    <w:rsid w:val="002269B9"/>
    <w:rsid w:val="00252536"/>
    <w:rsid w:val="00255A3C"/>
    <w:rsid w:val="00262104"/>
    <w:rsid w:val="0026367F"/>
    <w:rsid w:val="002847ED"/>
    <w:rsid w:val="00292D64"/>
    <w:rsid w:val="002946DC"/>
    <w:rsid w:val="002A73E2"/>
    <w:rsid w:val="002C4C63"/>
    <w:rsid w:val="00302A2A"/>
    <w:rsid w:val="00316085"/>
    <w:rsid w:val="00316193"/>
    <w:rsid w:val="00326C15"/>
    <w:rsid w:val="00341732"/>
    <w:rsid w:val="00355D11"/>
    <w:rsid w:val="00360979"/>
    <w:rsid w:val="00361882"/>
    <w:rsid w:val="00363794"/>
    <w:rsid w:val="00383EA2"/>
    <w:rsid w:val="0038679A"/>
    <w:rsid w:val="003A4789"/>
    <w:rsid w:val="003D631B"/>
    <w:rsid w:val="003F64F6"/>
    <w:rsid w:val="0040039F"/>
    <w:rsid w:val="00400804"/>
    <w:rsid w:val="00403BC0"/>
    <w:rsid w:val="0040508D"/>
    <w:rsid w:val="00405FD5"/>
    <w:rsid w:val="00407E0A"/>
    <w:rsid w:val="00411653"/>
    <w:rsid w:val="004216B6"/>
    <w:rsid w:val="004265F8"/>
    <w:rsid w:val="00437168"/>
    <w:rsid w:val="00452C38"/>
    <w:rsid w:val="00455132"/>
    <w:rsid w:val="004A13C6"/>
    <w:rsid w:val="004B4779"/>
    <w:rsid w:val="004D0386"/>
    <w:rsid w:val="004E0520"/>
    <w:rsid w:val="004E2455"/>
    <w:rsid w:val="004F1EFD"/>
    <w:rsid w:val="004F26B1"/>
    <w:rsid w:val="00502D0B"/>
    <w:rsid w:val="00503C59"/>
    <w:rsid w:val="0050425F"/>
    <w:rsid w:val="0051031C"/>
    <w:rsid w:val="00511C7C"/>
    <w:rsid w:val="00521F33"/>
    <w:rsid w:val="0052454A"/>
    <w:rsid w:val="00534B6F"/>
    <w:rsid w:val="0054685A"/>
    <w:rsid w:val="005537DC"/>
    <w:rsid w:val="005614EE"/>
    <w:rsid w:val="005723D5"/>
    <w:rsid w:val="0057280A"/>
    <w:rsid w:val="00577508"/>
    <w:rsid w:val="0058152E"/>
    <w:rsid w:val="00590E3E"/>
    <w:rsid w:val="005B6B53"/>
    <w:rsid w:val="005C71D4"/>
    <w:rsid w:val="005C7CEC"/>
    <w:rsid w:val="005D02AC"/>
    <w:rsid w:val="005E1F46"/>
    <w:rsid w:val="005E23B5"/>
    <w:rsid w:val="005E5E6E"/>
    <w:rsid w:val="005F15B3"/>
    <w:rsid w:val="005F1D60"/>
    <w:rsid w:val="00606B2A"/>
    <w:rsid w:val="0061310F"/>
    <w:rsid w:val="0062639B"/>
    <w:rsid w:val="00645D58"/>
    <w:rsid w:val="00646521"/>
    <w:rsid w:val="00652D6B"/>
    <w:rsid w:val="00660218"/>
    <w:rsid w:val="00670506"/>
    <w:rsid w:val="0067307F"/>
    <w:rsid w:val="00683B20"/>
    <w:rsid w:val="00687A50"/>
    <w:rsid w:val="00691315"/>
    <w:rsid w:val="00694FE8"/>
    <w:rsid w:val="006A4A7C"/>
    <w:rsid w:val="006A5F38"/>
    <w:rsid w:val="006B1EED"/>
    <w:rsid w:val="006B526F"/>
    <w:rsid w:val="006B7BFF"/>
    <w:rsid w:val="006C0B1D"/>
    <w:rsid w:val="006E30B3"/>
    <w:rsid w:val="006E4AF2"/>
    <w:rsid w:val="006E7DD3"/>
    <w:rsid w:val="006F20D3"/>
    <w:rsid w:val="00703F1E"/>
    <w:rsid w:val="00704757"/>
    <w:rsid w:val="00713B9E"/>
    <w:rsid w:val="00721AE0"/>
    <w:rsid w:val="00734C56"/>
    <w:rsid w:val="00737360"/>
    <w:rsid w:val="00740B03"/>
    <w:rsid w:val="00744498"/>
    <w:rsid w:val="007444E2"/>
    <w:rsid w:val="007527E7"/>
    <w:rsid w:val="00770BA1"/>
    <w:rsid w:val="0078178E"/>
    <w:rsid w:val="00783B54"/>
    <w:rsid w:val="0078690F"/>
    <w:rsid w:val="00795D3D"/>
    <w:rsid w:val="007D49C9"/>
    <w:rsid w:val="007D7A7D"/>
    <w:rsid w:val="007F3772"/>
    <w:rsid w:val="00806DCE"/>
    <w:rsid w:val="00807EFE"/>
    <w:rsid w:val="00816607"/>
    <w:rsid w:val="00820CE1"/>
    <w:rsid w:val="008332C7"/>
    <w:rsid w:val="00840A87"/>
    <w:rsid w:val="00842FBF"/>
    <w:rsid w:val="00861564"/>
    <w:rsid w:val="0086727D"/>
    <w:rsid w:val="0088608D"/>
    <w:rsid w:val="00887A7E"/>
    <w:rsid w:val="008B4D2A"/>
    <w:rsid w:val="008B4D56"/>
    <w:rsid w:val="008C194D"/>
    <w:rsid w:val="008C1CD5"/>
    <w:rsid w:val="008D5D5A"/>
    <w:rsid w:val="008D69E4"/>
    <w:rsid w:val="008F2661"/>
    <w:rsid w:val="0092482B"/>
    <w:rsid w:val="009368FD"/>
    <w:rsid w:val="009405BA"/>
    <w:rsid w:val="00940B03"/>
    <w:rsid w:val="009471C6"/>
    <w:rsid w:val="00951532"/>
    <w:rsid w:val="00952574"/>
    <w:rsid w:val="009579DB"/>
    <w:rsid w:val="00971EF7"/>
    <w:rsid w:val="00974EEE"/>
    <w:rsid w:val="00975640"/>
    <w:rsid w:val="0098712E"/>
    <w:rsid w:val="0099164E"/>
    <w:rsid w:val="009968F1"/>
    <w:rsid w:val="009A3103"/>
    <w:rsid w:val="009B2901"/>
    <w:rsid w:val="009B32A4"/>
    <w:rsid w:val="009B3D98"/>
    <w:rsid w:val="009C108D"/>
    <w:rsid w:val="009C56B0"/>
    <w:rsid w:val="009C5A17"/>
    <w:rsid w:val="009D1A5A"/>
    <w:rsid w:val="009D625A"/>
    <w:rsid w:val="009F1A23"/>
    <w:rsid w:val="00A00B4E"/>
    <w:rsid w:val="00A01EC1"/>
    <w:rsid w:val="00A22349"/>
    <w:rsid w:val="00A30511"/>
    <w:rsid w:val="00A50E42"/>
    <w:rsid w:val="00A61A8A"/>
    <w:rsid w:val="00A62F85"/>
    <w:rsid w:val="00A70B63"/>
    <w:rsid w:val="00A72939"/>
    <w:rsid w:val="00A72FFB"/>
    <w:rsid w:val="00A73B4E"/>
    <w:rsid w:val="00A9699E"/>
    <w:rsid w:val="00AA3977"/>
    <w:rsid w:val="00AA4F10"/>
    <w:rsid w:val="00AB56BE"/>
    <w:rsid w:val="00AB6EE2"/>
    <w:rsid w:val="00AC11B9"/>
    <w:rsid w:val="00AD6B41"/>
    <w:rsid w:val="00AF23B8"/>
    <w:rsid w:val="00AF23BA"/>
    <w:rsid w:val="00B01E23"/>
    <w:rsid w:val="00B213B4"/>
    <w:rsid w:val="00B24356"/>
    <w:rsid w:val="00B46548"/>
    <w:rsid w:val="00B61FC8"/>
    <w:rsid w:val="00B656D8"/>
    <w:rsid w:val="00B75B39"/>
    <w:rsid w:val="00B84C54"/>
    <w:rsid w:val="00B9019E"/>
    <w:rsid w:val="00B935B7"/>
    <w:rsid w:val="00BA5189"/>
    <w:rsid w:val="00BB0793"/>
    <w:rsid w:val="00BB2906"/>
    <w:rsid w:val="00BB7948"/>
    <w:rsid w:val="00BD2D45"/>
    <w:rsid w:val="00BD3A48"/>
    <w:rsid w:val="00BD46E6"/>
    <w:rsid w:val="00BE1F46"/>
    <w:rsid w:val="00BE1FAD"/>
    <w:rsid w:val="00BE7B1B"/>
    <w:rsid w:val="00BF04E0"/>
    <w:rsid w:val="00C20D73"/>
    <w:rsid w:val="00C30BE7"/>
    <w:rsid w:val="00C313CF"/>
    <w:rsid w:val="00C33654"/>
    <w:rsid w:val="00C436A2"/>
    <w:rsid w:val="00C44359"/>
    <w:rsid w:val="00C62FDB"/>
    <w:rsid w:val="00C64361"/>
    <w:rsid w:val="00C878AF"/>
    <w:rsid w:val="00C94EB0"/>
    <w:rsid w:val="00CA1CF6"/>
    <w:rsid w:val="00CB5236"/>
    <w:rsid w:val="00CB594F"/>
    <w:rsid w:val="00CC1960"/>
    <w:rsid w:val="00CC42CE"/>
    <w:rsid w:val="00CC52C4"/>
    <w:rsid w:val="00CD57B2"/>
    <w:rsid w:val="00CE6BBE"/>
    <w:rsid w:val="00CF1494"/>
    <w:rsid w:val="00D02AB1"/>
    <w:rsid w:val="00D2391F"/>
    <w:rsid w:val="00D46233"/>
    <w:rsid w:val="00D526DB"/>
    <w:rsid w:val="00D67FA9"/>
    <w:rsid w:val="00D91432"/>
    <w:rsid w:val="00D95A74"/>
    <w:rsid w:val="00DA6C30"/>
    <w:rsid w:val="00DB7D12"/>
    <w:rsid w:val="00DE133C"/>
    <w:rsid w:val="00DE74C1"/>
    <w:rsid w:val="00DF3F42"/>
    <w:rsid w:val="00DF5748"/>
    <w:rsid w:val="00DF6A54"/>
    <w:rsid w:val="00DF6B28"/>
    <w:rsid w:val="00E06153"/>
    <w:rsid w:val="00E56FEE"/>
    <w:rsid w:val="00E80F5C"/>
    <w:rsid w:val="00E86FB8"/>
    <w:rsid w:val="00E91AA2"/>
    <w:rsid w:val="00E94692"/>
    <w:rsid w:val="00EA73CA"/>
    <w:rsid w:val="00EB0707"/>
    <w:rsid w:val="00EB4388"/>
    <w:rsid w:val="00EB77B3"/>
    <w:rsid w:val="00EB7F16"/>
    <w:rsid w:val="00EC4FA3"/>
    <w:rsid w:val="00ED503A"/>
    <w:rsid w:val="00ED5CAC"/>
    <w:rsid w:val="00EE4B21"/>
    <w:rsid w:val="00F03199"/>
    <w:rsid w:val="00F10C14"/>
    <w:rsid w:val="00F1246E"/>
    <w:rsid w:val="00F2225D"/>
    <w:rsid w:val="00F42F1C"/>
    <w:rsid w:val="00F43544"/>
    <w:rsid w:val="00F56043"/>
    <w:rsid w:val="00F60D61"/>
    <w:rsid w:val="00F632F8"/>
    <w:rsid w:val="00F73C8A"/>
    <w:rsid w:val="00F86C41"/>
    <w:rsid w:val="00FA7639"/>
    <w:rsid w:val="00FB2617"/>
    <w:rsid w:val="00FB5C64"/>
    <w:rsid w:val="00FC44CA"/>
    <w:rsid w:val="00FD0D6F"/>
    <w:rsid w:val="00FD1B90"/>
    <w:rsid w:val="00FD7826"/>
    <w:rsid w:val="00FE4917"/>
    <w:rsid w:val="00FE622D"/>
    <w:rsid w:val="00FF24BB"/>
    <w:rsid w:val="00FF31E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AC275"/>
  <w14:defaultImageDpi w14:val="32767"/>
  <w15:chartTrackingRefBased/>
  <w15:docId w15:val="{70067FFB-479D-724C-8659-B7ADC68EE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B4779"/>
    <w:rPr>
      <w:rFonts w:ascii="Times New Roman" w:eastAsia="Times New Roman" w:hAnsi="Times New Roman" w:cs="Times New Roman"/>
      <w:lang w:val="en-AU" w:eastAsia="en-GB"/>
    </w:rPr>
  </w:style>
  <w:style w:type="paragraph" w:styleId="Heading1">
    <w:name w:val="heading 1"/>
    <w:basedOn w:val="Normal"/>
    <w:next w:val="Normal"/>
    <w:link w:val="Heading1Char"/>
    <w:autoRedefine/>
    <w:uiPriority w:val="9"/>
    <w:qFormat/>
    <w:rsid w:val="00160ADC"/>
    <w:pPr>
      <w:keepNext/>
      <w:keepLines/>
      <w:numPr>
        <w:ilvl w:val="1"/>
        <w:numId w:val="1"/>
      </w:numPr>
      <w:spacing w:before="120" w:after="120"/>
      <w:ind w:left="357" w:hanging="357"/>
      <w:jc w:val="both"/>
      <w:outlineLvl w:val="0"/>
    </w:pPr>
    <w:rPr>
      <w:rFonts w:eastAsiaTheme="majorEastAsia"/>
      <w:b/>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ADC"/>
    <w:rPr>
      <w:rFonts w:ascii="Times New Roman" w:eastAsiaTheme="majorEastAsia" w:hAnsi="Times New Roman" w:cs="Times New Roman"/>
      <w:b/>
      <w:lang w:val="en-US" w:eastAsia="zh-CN"/>
    </w:rPr>
  </w:style>
  <w:style w:type="paragraph" w:styleId="ListParagraph">
    <w:name w:val="List Paragraph"/>
    <w:basedOn w:val="Normal"/>
    <w:uiPriority w:val="34"/>
    <w:qFormat/>
    <w:rsid w:val="00160ADC"/>
    <w:pPr>
      <w:ind w:left="720"/>
      <w:contextualSpacing/>
    </w:pPr>
  </w:style>
  <w:style w:type="paragraph" w:styleId="BalloonText">
    <w:name w:val="Balloon Text"/>
    <w:basedOn w:val="Normal"/>
    <w:link w:val="BalloonTextChar"/>
    <w:uiPriority w:val="99"/>
    <w:semiHidden/>
    <w:unhideWhenUsed/>
    <w:rsid w:val="00160ADC"/>
    <w:rPr>
      <w:sz w:val="18"/>
      <w:szCs w:val="18"/>
    </w:rPr>
  </w:style>
  <w:style w:type="character" w:customStyle="1" w:styleId="BalloonTextChar">
    <w:name w:val="Balloon Text Char"/>
    <w:basedOn w:val="DefaultParagraphFont"/>
    <w:link w:val="BalloonText"/>
    <w:uiPriority w:val="99"/>
    <w:semiHidden/>
    <w:rsid w:val="00160ADC"/>
    <w:rPr>
      <w:rFonts w:ascii="Times New Roman" w:eastAsia="Times New Roman" w:hAnsi="Times New Roman" w:cs="Times New Roman"/>
      <w:sz w:val="18"/>
      <w:szCs w:val="18"/>
      <w:lang w:val="en-AU" w:eastAsia="en-GB"/>
    </w:rPr>
  </w:style>
  <w:style w:type="paragraph" w:styleId="NormalWeb">
    <w:name w:val="Normal (Web)"/>
    <w:basedOn w:val="Normal"/>
    <w:uiPriority w:val="99"/>
    <w:semiHidden/>
    <w:unhideWhenUsed/>
    <w:rsid w:val="000D139D"/>
    <w:pPr>
      <w:spacing w:before="100" w:beforeAutospacing="1" w:after="100" w:afterAutospacing="1"/>
    </w:pPr>
  </w:style>
  <w:style w:type="character" w:styleId="CommentReference">
    <w:name w:val="annotation reference"/>
    <w:basedOn w:val="DefaultParagraphFont"/>
    <w:uiPriority w:val="99"/>
    <w:semiHidden/>
    <w:unhideWhenUsed/>
    <w:rsid w:val="009368FD"/>
    <w:rPr>
      <w:sz w:val="16"/>
      <w:szCs w:val="16"/>
    </w:rPr>
  </w:style>
  <w:style w:type="paragraph" w:styleId="CommentText">
    <w:name w:val="annotation text"/>
    <w:basedOn w:val="Normal"/>
    <w:link w:val="CommentTextChar"/>
    <w:uiPriority w:val="99"/>
    <w:semiHidden/>
    <w:unhideWhenUsed/>
    <w:rsid w:val="009368FD"/>
    <w:rPr>
      <w:sz w:val="20"/>
      <w:szCs w:val="20"/>
    </w:rPr>
  </w:style>
  <w:style w:type="character" w:customStyle="1" w:styleId="CommentTextChar">
    <w:name w:val="Comment Text Char"/>
    <w:basedOn w:val="DefaultParagraphFont"/>
    <w:link w:val="CommentText"/>
    <w:uiPriority w:val="99"/>
    <w:semiHidden/>
    <w:rsid w:val="009368FD"/>
    <w:rPr>
      <w:rFonts w:ascii="Times New Roman" w:eastAsia="Times New Roman" w:hAnsi="Times New Roman" w:cs="Times New Roman"/>
      <w:sz w:val="20"/>
      <w:szCs w:val="20"/>
      <w:lang w:val="en-AU" w:eastAsia="en-GB"/>
    </w:rPr>
  </w:style>
  <w:style w:type="paragraph" w:styleId="CommentSubject">
    <w:name w:val="annotation subject"/>
    <w:basedOn w:val="CommentText"/>
    <w:next w:val="CommentText"/>
    <w:link w:val="CommentSubjectChar"/>
    <w:uiPriority w:val="99"/>
    <w:semiHidden/>
    <w:unhideWhenUsed/>
    <w:rsid w:val="009368FD"/>
    <w:rPr>
      <w:b/>
      <w:bCs/>
    </w:rPr>
  </w:style>
  <w:style w:type="character" w:customStyle="1" w:styleId="CommentSubjectChar">
    <w:name w:val="Comment Subject Char"/>
    <w:basedOn w:val="CommentTextChar"/>
    <w:link w:val="CommentSubject"/>
    <w:uiPriority w:val="99"/>
    <w:semiHidden/>
    <w:rsid w:val="009368FD"/>
    <w:rPr>
      <w:rFonts w:ascii="Times New Roman" w:eastAsia="Times New Roman" w:hAnsi="Times New Roman" w:cs="Times New Roman"/>
      <w:b/>
      <w:bCs/>
      <w:sz w:val="20"/>
      <w:szCs w:val="20"/>
      <w:lang w:val="en-AU" w:eastAsia="en-GB"/>
    </w:rPr>
  </w:style>
  <w:style w:type="paragraph" w:styleId="Header">
    <w:name w:val="header"/>
    <w:basedOn w:val="Normal"/>
    <w:link w:val="HeaderChar"/>
    <w:uiPriority w:val="99"/>
    <w:unhideWhenUsed/>
    <w:rsid w:val="00E94692"/>
    <w:pPr>
      <w:tabs>
        <w:tab w:val="center" w:pos="4513"/>
        <w:tab w:val="right" w:pos="9026"/>
      </w:tabs>
    </w:pPr>
  </w:style>
  <w:style w:type="character" w:customStyle="1" w:styleId="HeaderChar">
    <w:name w:val="Header Char"/>
    <w:basedOn w:val="DefaultParagraphFont"/>
    <w:link w:val="Header"/>
    <w:uiPriority w:val="99"/>
    <w:rsid w:val="00E94692"/>
    <w:rPr>
      <w:rFonts w:ascii="Times New Roman" w:eastAsia="Times New Roman" w:hAnsi="Times New Roman" w:cs="Times New Roman"/>
      <w:lang w:val="en-AU" w:eastAsia="en-GB"/>
    </w:rPr>
  </w:style>
  <w:style w:type="paragraph" w:styleId="Footer">
    <w:name w:val="footer"/>
    <w:basedOn w:val="Normal"/>
    <w:link w:val="FooterChar"/>
    <w:uiPriority w:val="99"/>
    <w:unhideWhenUsed/>
    <w:rsid w:val="00E94692"/>
    <w:pPr>
      <w:tabs>
        <w:tab w:val="center" w:pos="4513"/>
        <w:tab w:val="right" w:pos="9026"/>
      </w:tabs>
    </w:pPr>
  </w:style>
  <w:style w:type="character" w:customStyle="1" w:styleId="FooterChar">
    <w:name w:val="Footer Char"/>
    <w:basedOn w:val="DefaultParagraphFont"/>
    <w:link w:val="Footer"/>
    <w:uiPriority w:val="99"/>
    <w:rsid w:val="00E94692"/>
    <w:rPr>
      <w:rFonts w:ascii="Times New Roman" w:eastAsia="Times New Roman" w:hAnsi="Times New Roman" w:cs="Times New Roman"/>
      <w:lang w:val="en-AU" w:eastAsia="en-GB"/>
    </w:rPr>
  </w:style>
  <w:style w:type="character" w:styleId="Hyperlink">
    <w:name w:val="Hyperlink"/>
    <w:basedOn w:val="DefaultParagraphFont"/>
    <w:uiPriority w:val="99"/>
    <w:unhideWhenUsed/>
    <w:rsid w:val="00FE622D"/>
    <w:rPr>
      <w:color w:val="0000FF"/>
      <w:u w:val="single"/>
    </w:rPr>
  </w:style>
  <w:style w:type="character" w:styleId="UnresolvedMention">
    <w:name w:val="Unresolved Mention"/>
    <w:basedOn w:val="DefaultParagraphFont"/>
    <w:uiPriority w:val="99"/>
    <w:rsid w:val="00FE622D"/>
    <w:rPr>
      <w:color w:val="605E5C"/>
      <w:shd w:val="clear" w:color="auto" w:fill="E1DFDD"/>
    </w:rPr>
  </w:style>
  <w:style w:type="paragraph" w:styleId="Revision">
    <w:name w:val="Revision"/>
    <w:hidden/>
    <w:uiPriority w:val="99"/>
    <w:semiHidden/>
    <w:rsid w:val="00BF04E0"/>
    <w:rPr>
      <w:rFonts w:ascii="Times New Roman" w:eastAsia="Times New Roman" w:hAnsi="Times New Roman" w:cs="Times New Roman"/>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19530">
      <w:bodyDiv w:val="1"/>
      <w:marLeft w:val="0"/>
      <w:marRight w:val="0"/>
      <w:marTop w:val="0"/>
      <w:marBottom w:val="0"/>
      <w:divBdr>
        <w:top w:val="none" w:sz="0" w:space="0" w:color="auto"/>
        <w:left w:val="none" w:sz="0" w:space="0" w:color="auto"/>
        <w:bottom w:val="none" w:sz="0" w:space="0" w:color="auto"/>
        <w:right w:val="none" w:sz="0" w:space="0" w:color="auto"/>
      </w:divBdr>
    </w:div>
    <w:div w:id="93400134">
      <w:bodyDiv w:val="1"/>
      <w:marLeft w:val="0"/>
      <w:marRight w:val="0"/>
      <w:marTop w:val="0"/>
      <w:marBottom w:val="0"/>
      <w:divBdr>
        <w:top w:val="none" w:sz="0" w:space="0" w:color="auto"/>
        <w:left w:val="none" w:sz="0" w:space="0" w:color="auto"/>
        <w:bottom w:val="none" w:sz="0" w:space="0" w:color="auto"/>
        <w:right w:val="none" w:sz="0" w:space="0" w:color="auto"/>
      </w:divBdr>
    </w:div>
    <w:div w:id="107311269">
      <w:bodyDiv w:val="1"/>
      <w:marLeft w:val="0"/>
      <w:marRight w:val="0"/>
      <w:marTop w:val="0"/>
      <w:marBottom w:val="0"/>
      <w:divBdr>
        <w:top w:val="none" w:sz="0" w:space="0" w:color="auto"/>
        <w:left w:val="none" w:sz="0" w:space="0" w:color="auto"/>
        <w:bottom w:val="none" w:sz="0" w:space="0" w:color="auto"/>
        <w:right w:val="none" w:sz="0" w:space="0" w:color="auto"/>
      </w:divBdr>
    </w:div>
    <w:div w:id="118112351">
      <w:bodyDiv w:val="1"/>
      <w:marLeft w:val="0"/>
      <w:marRight w:val="0"/>
      <w:marTop w:val="0"/>
      <w:marBottom w:val="0"/>
      <w:divBdr>
        <w:top w:val="none" w:sz="0" w:space="0" w:color="auto"/>
        <w:left w:val="none" w:sz="0" w:space="0" w:color="auto"/>
        <w:bottom w:val="none" w:sz="0" w:space="0" w:color="auto"/>
        <w:right w:val="none" w:sz="0" w:space="0" w:color="auto"/>
      </w:divBdr>
    </w:div>
    <w:div w:id="136343003">
      <w:bodyDiv w:val="1"/>
      <w:marLeft w:val="0"/>
      <w:marRight w:val="0"/>
      <w:marTop w:val="0"/>
      <w:marBottom w:val="0"/>
      <w:divBdr>
        <w:top w:val="none" w:sz="0" w:space="0" w:color="auto"/>
        <w:left w:val="none" w:sz="0" w:space="0" w:color="auto"/>
        <w:bottom w:val="none" w:sz="0" w:space="0" w:color="auto"/>
        <w:right w:val="none" w:sz="0" w:space="0" w:color="auto"/>
      </w:divBdr>
    </w:div>
    <w:div w:id="277639050">
      <w:bodyDiv w:val="1"/>
      <w:marLeft w:val="0"/>
      <w:marRight w:val="0"/>
      <w:marTop w:val="0"/>
      <w:marBottom w:val="0"/>
      <w:divBdr>
        <w:top w:val="none" w:sz="0" w:space="0" w:color="auto"/>
        <w:left w:val="none" w:sz="0" w:space="0" w:color="auto"/>
        <w:bottom w:val="none" w:sz="0" w:space="0" w:color="auto"/>
        <w:right w:val="none" w:sz="0" w:space="0" w:color="auto"/>
      </w:divBdr>
    </w:div>
    <w:div w:id="386416597">
      <w:bodyDiv w:val="1"/>
      <w:marLeft w:val="0"/>
      <w:marRight w:val="0"/>
      <w:marTop w:val="0"/>
      <w:marBottom w:val="0"/>
      <w:divBdr>
        <w:top w:val="none" w:sz="0" w:space="0" w:color="auto"/>
        <w:left w:val="none" w:sz="0" w:space="0" w:color="auto"/>
        <w:bottom w:val="none" w:sz="0" w:space="0" w:color="auto"/>
        <w:right w:val="none" w:sz="0" w:space="0" w:color="auto"/>
      </w:divBdr>
    </w:div>
    <w:div w:id="389035525">
      <w:bodyDiv w:val="1"/>
      <w:marLeft w:val="0"/>
      <w:marRight w:val="0"/>
      <w:marTop w:val="0"/>
      <w:marBottom w:val="0"/>
      <w:divBdr>
        <w:top w:val="none" w:sz="0" w:space="0" w:color="auto"/>
        <w:left w:val="none" w:sz="0" w:space="0" w:color="auto"/>
        <w:bottom w:val="none" w:sz="0" w:space="0" w:color="auto"/>
        <w:right w:val="none" w:sz="0" w:space="0" w:color="auto"/>
      </w:divBdr>
    </w:div>
    <w:div w:id="425538444">
      <w:bodyDiv w:val="1"/>
      <w:marLeft w:val="0"/>
      <w:marRight w:val="0"/>
      <w:marTop w:val="0"/>
      <w:marBottom w:val="0"/>
      <w:divBdr>
        <w:top w:val="none" w:sz="0" w:space="0" w:color="auto"/>
        <w:left w:val="none" w:sz="0" w:space="0" w:color="auto"/>
        <w:bottom w:val="none" w:sz="0" w:space="0" w:color="auto"/>
        <w:right w:val="none" w:sz="0" w:space="0" w:color="auto"/>
      </w:divBdr>
    </w:div>
    <w:div w:id="466507118">
      <w:bodyDiv w:val="1"/>
      <w:marLeft w:val="0"/>
      <w:marRight w:val="0"/>
      <w:marTop w:val="0"/>
      <w:marBottom w:val="0"/>
      <w:divBdr>
        <w:top w:val="none" w:sz="0" w:space="0" w:color="auto"/>
        <w:left w:val="none" w:sz="0" w:space="0" w:color="auto"/>
        <w:bottom w:val="none" w:sz="0" w:space="0" w:color="auto"/>
        <w:right w:val="none" w:sz="0" w:space="0" w:color="auto"/>
      </w:divBdr>
    </w:div>
    <w:div w:id="486753064">
      <w:bodyDiv w:val="1"/>
      <w:marLeft w:val="0"/>
      <w:marRight w:val="0"/>
      <w:marTop w:val="0"/>
      <w:marBottom w:val="0"/>
      <w:divBdr>
        <w:top w:val="none" w:sz="0" w:space="0" w:color="auto"/>
        <w:left w:val="none" w:sz="0" w:space="0" w:color="auto"/>
        <w:bottom w:val="none" w:sz="0" w:space="0" w:color="auto"/>
        <w:right w:val="none" w:sz="0" w:space="0" w:color="auto"/>
      </w:divBdr>
    </w:div>
    <w:div w:id="492260694">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68929048">
      <w:bodyDiv w:val="1"/>
      <w:marLeft w:val="0"/>
      <w:marRight w:val="0"/>
      <w:marTop w:val="0"/>
      <w:marBottom w:val="0"/>
      <w:divBdr>
        <w:top w:val="none" w:sz="0" w:space="0" w:color="auto"/>
        <w:left w:val="none" w:sz="0" w:space="0" w:color="auto"/>
        <w:bottom w:val="none" w:sz="0" w:space="0" w:color="auto"/>
        <w:right w:val="none" w:sz="0" w:space="0" w:color="auto"/>
      </w:divBdr>
    </w:div>
    <w:div w:id="647168805">
      <w:bodyDiv w:val="1"/>
      <w:marLeft w:val="0"/>
      <w:marRight w:val="0"/>
      <w:marTop w:val="0"/>
      <w:marBottom w:val="0"/>
      <w:divBdr>
        <w:top w:val="none" w:sz="0" w:space="0" w:color="auto"/>
        <w:left w:val="none" w:sz="0" w:space="0" w:color="auto"/>
        <w:bottom w:val="none" w:sz="0" w:space="0" w:color="auto"/>
        <w:right w:val="none" w:sz="0" w:space="0" w:color="auto"/>
      </w:divBdr>
    </w:div>
    <w:div w:id="696388264">
      <w:bodyDiv w:val="1"/>
      <w:marLeft w:val="0"/>
      <w:marRight w:val="0"/>
      <w:marTop w:val="0"/>
      <w:marBottom w:val="0"/>
      <w:divBdr>
        <w:top w:val="none" w:sz="0" w:space="0" w:color="auto"/>
        <w:left w:val="none" w:sz="0" w:space="0" w:color="auto"/>
        <w:bottom w:val="none" w:sz="0" w:space="0" w:color="auto"/>
        <w:right w:val="none" w:sz="0" w:space="0" w:color="auto"/>
      </w:divBdr>
    </w:div>
    <w:div w:id="723524460">
      <w:bodyDiv w:val="1"/>
      <w:marLeft w:val="0"/>
      <w:marRight w:val="0"/>
      <w:marTop w:val="0"/>
      <w:marBottom w:val="0"/>
      <w:divBdr>
        <w:top w:val="none" w:sz="0" w:space="0" w:color="auto"/>
        <w:left w:val="none" w:sz="0" w:space="0" w:color="auto"/>
        <w:bottom w:val="none" w:sz="0" w:space="0" w:color="auto"/>
        <w:right w:val="none" w:sz="0" w:space="0" w:color="auto"/>
      </w:divBdr>
    </w:div>
    <w:div w:id="831722658">
      <w:bodyDiv w:val="1"/>
      <w:marLeft w:val="0"/>
      <w:marRight w:val="0"/>
      <w:marTop w:val="0"/>
      <w:marBottom w:val="0"/>
      <w:divBdr>
        <w:top w:val="none" w:sz="0" w:space="0" w:color="auto"/>
        <w:left w:val="none" w:sz="0" w:space="0" w:color="auto"/>
        <w:bottom w:val="none" w:sz="0" w:space="0" w:color="auto"/>
        <w:right w:val="none" w:sz="0" w:space="0" w:color="auto"/>
      </w:divBdr>
    </w:div>
    <w:div w:id="861238493">
      <w:bodyDiv w:val="1"/>
      <w:marLeft w:val="0"/>
      <w:marRight w:val="0"/>
      <w:marTop w:val="0"/>
      <w:marBottom w:val="0"/>
      <w:divBdr>
        <w:top w:val="none" w:sz="0" w:space="0" w:color="auto"/>
        <w:left w:val="none" w:sz="0" w:space="0" w:color="auto"/>
        <w:bottom w:val="none" w:sz="0" w:space="0" w:color="auto"/>
        <w:right w:val="none" w:sz="0" w:space="0" w:color="auto"/>
      </w:divBdr>
    </w:div>
    <w:div w:id="904755799">
      <w:bodyDiv w:val="1"/>
      <w:marLeft w:val="0"/>
      <w:marRight w:val="0"/>
      <w:marTop w:val="0"/>
      <w:marBottom w:val="0"/>
      <w:divBdr>
        <w:top w:val="none" w:sz="0" w:space="0" w:color="auto"/>
        <w:left w:val="none" w:sz="0" w:space="0" w:color="auto"/>
        <w:bottom w:val="none" w:sz="0" w:space="0" w:color="auto"/>
        <w:right w:val="none" w:sz="0" w:space="0" w:color="auto"/>
      </w:divBdr>
    </w:div>
    <w:div w:id="965429632">
      <w:bodyDiv w:val="1"/>
      <w:marLeft w:val="0"/>
      <w:marRight w:val="0"/>
      <w:marTop w:val="0"/>
      <w:marBottom w:val="0"/>
      <w:divBdr>
        <w:top w:val="none" w:sz="0" w:space="0" w:color="auto"/>
        <w:left w:val="none" w:sz="0" w:space="0" w:color="auto"/>
        <w:bottom w:val="none" w:sz="0" w:space="0" w:color="auto"/>
        <w:right w:val="none" w:sz="0" w:space="0" w:color="auto"/>
      </w:divBdr>
    </w:div>
    <w:div w:id="967081645">
      <w:bodyDiv w:val="1"/>
      <w:marLeft w:val="0"/>
      <w:marRight w:val="0"/>
      <w:marTop w:val="0"/>
      <w:marBottom w:val="0"/>
      <w:divBdr>
        <w:top w:val="none" w:sz="0" w:space="0" w:color="auto"/>
        <w:left w:val="none" w:sz="0" w:space="0" w:color="auto"/>
        <w:bottom w:val="none" w:sz="0" w:space="0" w:color="auto"/>
        <w:right w:val="none" w:sz="0" w:space="0" w:color="auto"/>
      </w:divBdr>
    </w:div>
    <w:div w:id="988748779">
      <w:bodyDiv w:val="1"/>
      <w:marLeft w:val="0"/>
      <w:marRight w:val="0"/>
      <w:marTop w:val="0"/>
      <w:marBottom w:val="0"/>
      <w:divBdr>
        <w:top w:val="none" w:sz="0" w:space="0" w:color="auto"/>
        <w:left w:val="none" w:sz="0" w:space="0" w:color="auto"/>
        <w:bottom w:val="none" w:sz="0" w:space="0" w:color="auto"/>
        <w:right w:val="none" w:sz="0" w:space="0" w:color="auto"/>
      </w:divBdr>
    </w:div>
    <w:div w:id="992565488">
      <w:bodyDiv w:val="1"/>
      <w:marLeft w:val="0"/>
      <w:marRight w:val="0"/>
      <w:marTop w:val="0"/>
      <w:marBottom w:val="0"/>
      <w:divBdr>
        <w:top w:val="none" w:sz="0" w:space="0" w:color="auto"/>
        <w:left w:val="none" w:sz="0" w:space="0" w:color="auto"/>
        <w:bottom w:val="none" w:sz="0" w:space="0" w:color="auto"/>
        <w:right w:val="none" w:sz="0" w:space="0" w:color="auto"/>
      </w:divBdr>
    </w:div>
    <w:div w:id="1012613026">
      <w:bodyDiv w:val="1"/>
      <w:marLeft w:val="0"/>
      <w:marRight w:val="0"/>
      <w:marTop w:val="0"/>
      <w:marBottom w:val="0"/>
      <w:divBdr>
        <w:top w:val="none" w:sz="0" w:space="0" w:color="auto"/>
        <w:left w:val="none" w:sz="0" w:space="0" w:color="auto"/>
        <w:bottom w:val="none" w:sz="0" w:space="0" w:color="auto"/>
        <w:right w:val="none" w:sz="0" w:space="0" w:color="auto"/>
      </w:divBdr>
    </w:div>
    <w:div w:id="1019310404">
      <w:bodyDiv w:val="1"/>
      <w:marLeft w:val="0"/>
      <w:marRight w:val="0"/>
      <w:marTop w:val="0"/>
      <w:marBottom w:val="0"/>
      <w:divBdr>
        <w:top w:val="none" w:sz="0" w:space="0" w:color="auto"/>
        <w:left w:val="none" w:sz="0" w:space="0" w:color="auto"/>
        <w:bottom w:val="none" w:sz="0" w:space="0" w:color="auto"/>
        <w:right w:val="none" w:sz="0" w:space="0" w:color="auto"/>
      </w:divBdr>
    </w:div>
    <w:div w:id="1041132358">
      <w:bodyDiv w:val="1"/>
      <w:marLeft w:val="0"/>
      <w:marRight w:val="0"/>
      <w:marTop w:val="0"/>
      <w:marBottom w:val="0"/>
      <w:divBdr>
        <w:top w:val="none" w:sz="0" w:space="0" w:color="auto"/>
        <w:left w:val="none" w:sz="0" w:space="0" w:color="auto"/>
        <w:bottom w:val="none" w:sz="0" w:space="0" w:color="auto"/>
        <w:right w:val="none" w:sz="0" w:space="0" w:color="auto"/>
      </w:divBdr>
    </w:div>
    <w:div w:id="1079401969">
      <w:bodyDiv w:val="1"/>
      <w:marLeft w:val="0"/>
      <w:marRight w:val="0"/>
      <w:marTop w:val="0"/>
      <w:marBottom w:val="0"/>
      <w:divBdr>
        <w:top w:val="none" w:sz="0" w:space="0" w:color="auto"/>
        <w:left w:val="none" w:sz="0" w:space="0" w:color="auto"/>
        <w:bottom w:val="none" w:sz="0" w:space="0" w:color="auto"/>
        <w:right w:val="none" w:sz="0" w:space="0" w:color="auto"/>
      </w:divBdr>
    </w:div>
    <w:div w:id="1094546036">
      <w:bodyDiv w:val="1"/>
      <w:marLeft w:val="0"/>
      <w:marRight w:val="0"/>
      <w:marTop w:val="0"/>
      <w:marBottom w:val="0"/>
      <w:divBdr>
        <w:top w:val="none" w:sz="0" w:space="0" w:color="auto"/>
        <w:left w:val="none" w:sz="0" w:space="0" w:color="auto"/>
        <w:bottom w:val="none" w:sz="0" w:space="0" w:color="auto"/>
        <w:right w:val="none" w:sz="0" w:space="0" w:color="auto"/>
      </w:divBdr>
    </w:div>
    <w:div w:id="1099567109">
      <w:bodyDiv w:val="1"/>
      <w:marLeft w:val="0"/>
      <w:marRight w:val="0"/>
      <w:marTop w:val="0"/>
      <w:marBottom w:val="0"/>
      <w:divBdr>
        <w:top w:val="none" w:sz="0" w:space="0" w:color="auto"/>
        <w:left w:val="none" w:sz="0" w:space="0" w:color="auto"/>
        <w:bottom w:val="none" w:sz="0" w:space="0" w:color="auto"/>
        <w:right w:val="none" w:sz="0" w:space="0" w:color="auto"/>
      </w:divBdr>
    </w:div>
    <w:div w:id="1127511646">
      <w:bodyDiv w:val="1"/>
      <w:marLeft w:val="0"/>
      <w:marRight w:val="0"/>
      <w:marTop w:val="0"/>
      <w:marBottom w:val="0"/>
      <w:divBdr>
        <w:top w:val="none" w:sz="0" w:space="0" w:color="auto"/>
        <w:left w:val="none" w:sz="0" w:space="0" w:color="auto"/>
        <w:bottom w:val="none" w:sz="0" w:space="0" w:color="auto"/>
        <w:right w:val="none" w:sz="0" w:space="0" w:color="auto"/>
      </w:divBdr>
    </w:div>
    <w:div w:id="1141074263">
      <w:bodyDiv w:val="1"/>
      <w:marLeft w:val="0"/>
      <w:marRight w:val="0"/>
      <w:marTop w:val="0"/>
      <w:marBottom w:val="0"/>
      <w:divBdr>
        <w:top w:val="none" w:sz="0" w:space="0" w:color="auto"/>
        <w:left w:val="none" w:sz="0" w:space="0" w:color="auto"/>
        <w:bottom w:val="none" w:sz="0" w:space="0" w:color="auto"/>
        <w:right w:val="none" w:sz="0" w:space="0" w:color="auto"/>
      </w:divBdr>
    </w:div>
    <w:div w:id="1167818246">
      <w:bodyDiv w:val="1"/>
      <w:marLeft w:val="0"/>
      <w:marRight w:val="0"/>
      <w:marTop w:val="0"/>
      <w:marBottom w:val="0"/>
      <w:divBdr>
        <w:top w:val="none" w:sz="0" w:space="0" w:color="auto"/>
        <w:left w:val="none" w:sz="0" w:space="0" w:color="auto"/>
        <w:bottom w:val="none" w:sz="0" w:space="0" w:color="auto"/>
        <w:right w:val="none" w:sz="0" w:space="0" w:color="auto"/>
      </w:divBdr>
    </w:div>
    <w:div w:id="1198859083">
      <w:bodyDiv w:val="1"/>
      <w:marLeft w:val="0"/>
      <w:marRight w:val="0"/>
      <w:marTop w:val="0"/>
      <w:marBottom w:val="0"/>
      <w:divBdr>
        <w:top w:val="none" w:sz="0" w:space="0" w:color="auto"/>
        <w:left w:val="none" w:sz="0" w:space="0" w:color="auto"/>
        <w:bottom w:val="none" w:sz="0" w:space="0" w:color="auto"/>
        <w:right w:val="none" w:sz="0" w:space="0" w:color="auto"/>
      </w:divBdr>
    </w:div>
    <w:div w:id="1417166604">
      <w:bodyDiv w:val="1"/>
      <w:marLeft w:val="0"/>
      <w:marRight w:val="0"/>
      <w:marTop w:val="0"/>
      <w:marBottom w:val="0"/>
      <w:divBdr>
        <w:top w:val="none" w:sz="0" w:space="0" w:color="auto"/>
        <w:left w:val="none" w:sz="0" w:space="0" w:color="auto"/>
        <w:bottom w:val="none" w:sz="0" w:space="0" w:color="auto"/>
        <w:right w:val="none" w:sz="0" w:space="0" w:color="auto"/>
      </w:divBdr>
    </w:div>
    <w:div w:id="1425110049">
      <w:bodyDiv w:val="1"/>
      <w:marLeft w:val="0"/>
      <w:marRight w:val="0"/>
      <w:marTop w:val="0"/>
      <w:marBottom w:val="0"/>
      <w:divBdr>
        <w:top w:val="none" w:sz="0" w:space="0" w:color="auto"/>
        <w:left w:val="none" w:sz="0" w:space="0" w:color="auto"/>
        <w:bottom w:val="none" w:sz="0" w:space="0" w:color="auto"/>
        <w:right w:val="none" w:sz="0" w:space="0" w:color="auto"/>
      </w:divBdr>
    </w:div>
    <w:div w:id="1489437725">
      <w:bodyDiv w:val="1"/>
      <w:marLeft w:val="0"/>
      <w:marRight w:val="0"/>
      <w:marTop w:val="0"/>
      <w:marBottom w:val="0"/>
      <w:divBdr>
        <w:top w:val="none" w:sz="0" w:space="0" w:color="auto"/>
        <w:left w:val="none" w:sz="0" w:space="0" w:color="auto"/>
        <w:bottom w:val="none" w:sz="0" w:space="0" w:color="auto"/>
        <w:right w:val="none" w:sz="0" w:space="0" w:color="auto"/>
      </w:divBdr>
    </w:div>
    <w:div w:id="1529024051">
      <w:bodyDiv w:val="1"/>
      <w:marLeft w:val="0"/>
      <w:marRight w:val="0"/>
      <w:marTop w:val="0"/>
      <w:marBottom w:val="0"/>
      <w:divBdr>
        <w:top w:val="none" w:sz="0" w:space="0" w:color="auto"/>
        <w:left w:val="none" w:sz="0" w:space="0" w:color="auto"/>
        <w:bottom w:val="none" w:sz="0" w:space="0" w:color="auto"/>
        <w:right w:val="none" w:sz="0" w:space="0" w:color="auto"/>
      </w:divBdr>
    </w:div>
    <w:div w:id="1615163591">
      <w:bodyDiv w:val="1"/>
      <w:marLeft w:val="0"/>
      <w:marRight w:val="0"/>
      <w:marTop w:val="0"/>
      <w:marBottom w:val="0"/>
      <w:divBdr>
        <w:top w:val="none" w:sz="0" w:space="0" w:color="auto"/>
        <w:left w:val="none" w:sz="0" w:space="0" w:color="auto"/>
        <w:bottom w:val="none" w:sz="0" w:space="0" w:color="auto"/>
        <w:right w:val="none" w:sz="0" w:space="0" w:color="auto"/>
      </w:divBdr>
    </w:div>
    <w:div w:id="1729495352">
      <w:bodyDiv w:val="1"/>
      <w:marLeft w:val="0"/>
      <w:marRight w:val="0"/>
      <w:marTop w:val="0"/>
      <w:marBottom w:val="0"/>
      <w:divBdr>
        <w:top w:val="none" w:sz="0" w:space="0" w:color="auto"/>
        <w:left w:val="none" w:sz="0" w:space="0" w:color="auto"/>
        <w:bottom w:val="none" w:sz="0" w:space="0" w:color="auto"/>
        <w:right w:val="none" w:sz="0" w:space="0" w:color="auto"/>
      </w:divBdr>
    </w:div>
    <w:div w:id="1748382513">
      <w:bodyDiv w:val="1"/>
      <w:marLeft w:val="0"/>
      <w:marRight w:val="0"/>
      <w:marTop w:val="0"/>
      <w:marBottom w:val="0"/>
      <w:divBdr>
        <w:top w:val="none" w:sz="0" w:space="0" w:color="auto"/>
        <w:left w:val="none" w:sz="0" w:space="0" w:color="auto"/>
        <w:bottom w:val="none" w:sz="0" w:space="0" w:color="auto"/>
        <w:right w:val="none" w:sz="0" w:space="0" w:color="auto"/>
      </w:divBdr>
    </w:div>
    <w:div w:id="1818448905">
      <w:bodyDiv w:val="1"/>
      <w:marLeft w:val="0"/>
      <w:marRight w:val="0"/>
      <w:marTop w:val="0"/>
      <w:marBottom w:val="0"/>
      <w:divBdr>
        <w:top w:val="none" w:sz="0" w:space="0" w:color="auto"/>
        <w:left w:val="none" w:sz="0" w:space="0" w:color="auto"/>
        <w:bottom w:val="none" w:sz="0" w:space="0" w:color="auto"/>
        <w:right w:val="none" w:sz="0" w:space="0" w:color="auto"/>
      </w:divBdr>
    </w:div>
    <w:div w:id="1824277292">
      <w:bodyDiv w:val="1"/>
      <w:marLeft w:val="0"/>
      <w:marRight w:val="0"/>
      <w:marTop w:val="0"/>
      <w:marBottom w:val="0"/>
      <w:divBdr>
        <w:top w:val="none" w:sz="0" w:space="0" w:color="auto"/>
        <w:left w:val="none" w:sz="0" w:space="0" w:color="auto"/>
        <w:bottom w:val="none" w:sz="0" w:space="0" w:color="auto"/>
        <w:right w:val="none" w:sz="0" w:space="0" w:color="auto"/>
      </w:divBdr>
    </w:div>
    <w:div w:id="1860117263">
      <w:bodyDiv w:val="1"/>
      <w:marLeft w:val="0"/>
      <w:marRight w:val="0"/>
      <w:marTop w:val="0"/>
      <w:marBottom w:val="0"/>
      <w:divBdr>
        <w:top w:val="none" w:sz="0" w:space="0" w:color="auto"/>
        <w:left w:val="none" w:sz="0" w:space="0" w:color="auto"/>
        <w:bottom w:val="none" w:sz="0" w:space="0" w:color="auto"/>
        <w:right w:val="none" w:sz="0" w:space="0" w:color="auto"/>
      </w:divBdr>
    </w:div>
    <w:div w:id="1862470849">
      <w:bodyDiv w:val="1"/>
      <w:marLeft w:val="0"/>
      <w:marRight w:val="0"/>
      <w:marTop w:val="0"/>
      <w:marBottom w:val="0"/>
      <w:divBdr>
        <w:top w:val="none" w:sz="0" w:space="0" w:color="auto"/>
        <w:left w:val="none" w:sz="0" w:space="0" w:color="auto"/>
        <w:bottom w:val="none" w:sz="0" w:space="0" w:color="auto"/>
        <w:right w:val="none" w:sz="0" w:space="0" w:color="auto"/>
      </w:divBdr>
    </w:div>
    <w:div w:id="1904025875">
      <w:bodyDiv w:val="1"/>
      <w:marLeft w:val="0"/>
      <w:marRight w:val="0"/>
      <w:marTop w:val="0"/>
      <w:marBottom w:val="0"/>
      <w:divBdr>
        <w:top w:val="none" w:sz="0" w:space="0" w:color="auto"/>
        <w:left w:val="none" w:sz="0" w:space="0" w:color="auto"/>
        <w:bottom w:val="none" w:sz="0" w:space="0" w:color="auto"/>
        <w:right w:val="none" w:sz="0" w:space="0" w:color="auto"/>
      </w:divBdr>
    </w:div>
    <w:div w:id="1931767815">
      <w:bodyDiv w:val="1"/>
      <w:marLeft w:val="0"/>
      <w:marRight w:val="0"/>
      <w:marTop w:val="0"/>
      <w:marBottom w:val="0"/>
      <w:divBdr>
        <w:top w:val="none" w:sz="0" w:space="0" w:color="auto"/>
        <w:left w:val="none" w:sz="0" w:space="0" w:color="auto"/>
        <w:bottom w:val="none" w:sz="0" w:space="0" w:color="auto"/>
        <w:right w:val="none" w:sz="0" w:space="0" w:color="auto"/>
      </w:divBdr>
    </w:div>
    <w:div w:id="1939630504">
      <w:bodyDiv w:val="1"/>
      <w:marLeft w:val="0"/>
      <w:marRight w:val="0"/>
      <w:marTop w:val="0"/>
      <w:marBottom w:val="0"/>
      <w:divBdr>
        <w:top w:val="none" w:sz="0" w:space="0" w:color="auto"/>
        <w:left w:val="none" w:sz="0" w:space="0" w:color="auto"/>
        <w:bottom w:val="none" w:sz="0" w:space="0" w:color="auto"/>
        <w:right w:val="none" w:sz="0" w:space="0" w:color="auto"/>
      </w:divBdr>
    </w:div>
    <w:div w:id="1977293062">
      <w:bodyDiv w:val="1"/>
      <w:marLeft w:val="0"/>
      <w:marRight w:val="0"/>
      <w:marTop w:val="0"/>
      <w:marBottom w:val="0"/>
      <w:divBdr>
        <w:top w:val="none" w:sz="0" w:space="0" w:color="auto"/>
        <w:left w:val="none" w:sz="0" w:space="0" w:color="auto"/>
        <w:bottom w:val="none" w:sz="0" w:space="0" w:color="auto"/>
        <w:right w:val="none" w:sz="0" w:space="0" w:color="auto"/>
      </w:divBdr>
    </w:div>
    <w:div w:id="2058426809">
      <w:bodyDiv w:val="1"/>
      <w:marLeft w:val="0"/>
      <w:marRight w:val="0"/>
      <w:marTop w:val="0"/>
      <w:marBottom w:val="0"/>
      <w:divBdr>
        <w:top w:val="none" w:sz="0" w:space="0" w:color="auto"/>
        <w:left w:val="none" w:sz="0" w:space="0" w:color="auto"/>
        <w:bottom w:val="none" w:sz="0" w:space="0" w:color="auto"/>
        <w:right w:val="none" w:sz="0" w:space="0" w:color="auto"/>
      </w:divBdr>
    </w:div>
    <w:div w:id="2092265267">
      <w:bodyDiv w:val="1"/>
      <w:marLeft w:val="0"/>
      <w:marRight w:val="0"/>
      <w:marTop w:val="0"/>
      <w:marBottom w:val="0"/>
      <w:divBdr>
        <w:top w:val="none" w:sz="0" w:space="0" w:color="auto"/>
        <w:left w:val="none" w:sz="0" w:space="0" w:color="auto"/>
        <w:bottom w:val="none" w:sz="0" w:space="0" w:color="auto"/>
        <w:right w:val="none" w:sz="0" w:space="0" w:color="auto"/>
      </w:divBdr>
    </w:div>
    <w:div w:id="211670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ackrock.com/us/individual/investment-ideas/what-is-factor-investin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atista.com/statistics/710680/global-stock-markets-by-count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pglobal.com/spdji/en/documents/methodologies/methodology-sp-asx-australian-indices.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arketindex.com.au/asx300" TargetMode="External"/><Relationship Id="rId4" Type="http://schemas.openxmlformats.org/officeDocument/2006/relationships/settings" Target="settings.xml"/><Relationship Id="rId9" Type="http://schemas.openxmlformats.org/officeDocument/2006/relationships/hyperlink" Target="https://www.blackrock.com/us/individual/investment-ideas/what-is-factor-investing/factor-commentary/andrews-angle/esg-in-facto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2306C-A0A6-447F-915E-8B3390600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3396</Words>
  <Characters>19361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Lockie Michalski</dc:creator>
  <cp:keywords/>
  <dc:description/>
  <cp:lastModifiedBy>Lachlan Michalski</cp:lastModifiedBy>
  <cp:revision>3</cp:revision>
  <dcterms:created xsi:type="dcterms:W3CDTF">2020-07-26T13:45:00Z</dcterms:created>
  <dcterms:modified xsi:type="dcterms:W3CDTF">2021-03-10T17:44:00Z</dcterms:modified>
</cp:coreProperties>
</file>