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8187" w14:textId="77777777" w:rsidR="005A358C" w:rsidRDefault="005A358C">
      <w:pPr>
        <w:spacing w:before="2400"/>
        <w:jc w:val="center"/>
      </w:pPr>
    </w:p>
    <w:p w14:paraId="5520ED03" w14:textId="77777777" w:rsidR="005A358C" w:rsidRPr="000A5CAA" w:rsidRDefault="002F1C2C">
      <w:pPr>
        <w:spacing w:after="200"/>
        <w:jc w:val="center"/>
        <w:rPr>
          <w:lang w:val="pt-BR"/>
        </w:rPr>
      </w:pPr>
      <w:r w:rsidRPr="000A5CAA">
        <w:rPr>
          <w:b/>
          <w:bCs/>
          <w:color w:val="1B4F72"/>
          <w:sz w:val="56"/>
          <w:szCs w:val="56"/>
          <w:lang w:val="pt-BR"/>
        </w:rPr>
        <w:t>DEMOCRAC.IA</w:t>
      </w:r>
    </w:p>
    <w:p w14:paraId="6B31652D" w14:textId="77777777" w:rsidR="005A358C" w:rsidRPr="000A5CAA" w:rsidRDefault="002F1C2C">
      <w:pPr>
        <w:spacing w:after="100"/>
        <w:jc w:val="center"/>
        <w:rPr>
          <w:lang w:val="pt-BR"/>
        </w:rPr>
      </w:pPr>
      <w:r w:rsidRPr="000A5CAA">
        <w:rPr>
          <w:color w:val="00B894"/>
          <w:sz w:val="24"/>
          <w:szCs w:val="24"/>
          <w:lang w:val="pt-BR"/>
        </w:rPr>
        <w:t>Predictive Electoral Integrity &amp; Risk System</w:t>
      </w:r>
    </w:p>
    <w:p w14:paraId="61036E6D" w14:textId="77777777" w:rsidR="005A358C" w:rsidRDefault="002F1C2C">
      <w:pPr>
        <w:spacing w:after="600"/>
        <w:jc w:val="center"/>
      </w:pPr>
      <w:r>
        <w:rPr>
          <w:color w:val="7F8C8D"/>
          <w:sz w:val="20"/>
          <w:szCs w:val="20"/>
        </w:rPr>
        <w:t>PEIRS</w:t>
      </w:r>
    </w:p>
    <w:p w14:paraId="5BB027D5" w14:textId="77777777" w:rsidR="005A358C" w:rsidRDefault="002F1C2C">
      <w:pPr>
        <w:pBdr>
          <w:top w:val="single" w:sz="2" w:space="8" w:color="1B4F72"/>
          <w:bottom w:val="single" w:sz="2" w:space="8" w:color="1B4F72"/>
        </w:pBdr>
        <w:spacing w:after="100"/>
        <w:jc w:val="center"/>
      </w:pPr>
      <w:r>
        <w:rPr>
          <w:b/>
          <w:bCs/>
          <w:color w:val="1B4F72"/>
          <w:sz w:val="28"/>
          <w:szCs w:val="28"/>
        </w:rPr>
        <w:t>DOCUMENTO DE ARQUITECTURA,</w:t>
      </w:r>
    </w:p>
    <w:p w14:paraId="0FF50739" w14:textId="77777777" w:rsidR="005A358C" w:rsidRDefault="002F1C2C">
      <w:pPr>
        <w:pBdr>
          <w:bottom w:val="single" w:sz="2" w:space="8" w:color="1B4F72"/>
        </w:pBdr>
        <w:spacing w:after="400"/>
        <w:jc w:val="center"/>
      </w:pPr>
      <w:r>
        <w:rPr>
          <w:b/>
          <w:bCs/>
          <w:color w:val="1B4F72"/>
          <w:sz w:val="28"/>
          <w:szCs w:val="28"/>
        </w:rPr>
        <w:t>DIAGNÓSTICO Y ROADMAP DE IMPLEMENTACIÓN</w:t>
      </w:r>
    </w:p>
    <w:p w14:paraId="4622DE50" w14:textId="77777777" w:rsidR="005A358C" w:rsidRDefault="002F1C2C">
      <w:pPr>
        <w:spacing w:after="100"/>
        <w:jc w:val="center"/>
      </w:pPr>
      <w:r>
        <w:rPr>
          <w:color w:val="7F8C8D"/>
          <w:sz w:val="20"/>
          <w:szCs w:val="20"/>
        </w:rPr>
        <w:t>Versión 1.0  |  Marzo 2026</w:t>
      </w:r>
    </w:p>
    <w:p w14:paraId="42B77D47" w14:textId="77777777" w:rsidR="005A358C" w:rsidRDefault="002F1C2C">
      <w:pPr>
        <w:jc w:val="center"/>
      </w:pPr>
      <w:r>
        <w:rPr>
          <w:b/>
          <w:bCs/>
          <w:color w:val="E74C3C"/>
          <w:sz w:val="18"/>
          <w:szCs w:val="18"/>
        </w:rPr>
        <w:t>CONFIDENCIAL</w:t>
      </w:r>
    </w:p>
    <w:p w14:paraId="144DDAF2" w14:textId="77777777" w:rsidR="005A358C" w:rsidRDefault="002F1C2C">
      <w:r>
        <w:br w:type="page"/>
      </w:r>
    </w:p>
    <w:p w14:paraId="09D53AB4" w14:textId="77777777" w:rsidR="005A358C" w:rsidRDefault="002F1C2C">
      <w:pPr>
        <w:pStyle w:val="Ttulo1"/>
      </w:pPr>
      <w:r>
        <w:lastRenderedPageBreak/>
        <w:t>1. Diagnóstico del Estado Actual</w:t>
      </w:r>
    </w:p>
    <w:p w14:paraId="5439B520" w14:textId="77777777" w:rsidR="005A358C" w:rsidRDefault="002F1C2C">
      <w:pPr>
        <w:pStyle w:val="Ttulo2"/>
      </w:pPr>
      <w:r>
        <w:t>1.1 Lo que funciona</w:t>
      </w:r>
    </w:p>
    <w:p w14:paraId="44E66D22" w14:textId="77777777" w:rsidR="005A358C" w:rsidRDefault="002F1C2C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Pipeline LangGraph: </w:t>
      </w:r>
      <w:r>
        <w:t>4 agentes ejecutando en secuencia con estado compartido. Probado exitosamente para VEN, NIC, GTM, URY.</w:t>
      </w:r>
    </w:p>
    <w:p w14:paraId="56F58964" w14:textId="77777777" w:rsidR="005A358C" w:rsidRDefault="002F1C2C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API FastAPI: </w:t>
      </w:r>
      <w:r>
        <w:t>6 endpoints operativos con CORS habilitado. Health check, análisis por país, reportes completos y endpoint de dashboard.</w:t>
      </w:r>
    </w:p>
    <w:p w14:paraId="24A4AB94" w14:textId="77777777" w:rsidR="005A358C" w:rsidRDefault="002F1C2C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Dashboard React: </w:t>
      </w:r>
      <w:r>
        <w:t>Conectado al backend, muestra datos en tiempo real. 3 vistas (Overview, Detalle País, Metodología) con gráficos Recharts.</w:t>
      </w:r>
    </w:p>
    <w:p w14:paraId="5C5715F8" w14:textId="77777777" w:rsidR="005A358C" w:rsidRDefault="002F1C2C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Risk Score: </w:t>
      </w:r>
      <w:r>
        <w:t>Algoritmo de 8 dimensiones ponderadas calibrado correctamente (Venezuela 80.9, Nicaragua ~91, Guatemala ~58, Uruguay ~14).</w:t>
      </w:r>
    </w:p>
    <w:p w14:paraId="13F2B6B2" w14:textId="77777777" w:rsidR="005A358C" w:rsidRDefault="002F1C2C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Legal Compliance Agent: </w:t>
      </w:r>
      <w:r>
        <w:t>Mapeo rule-based de irregularidades a artículos del ICCPR. 8 violaciones detectadas para Venezuela.</w:t>
      </w:r>
    </w:p>
    <w:p w14:paraId="615777D8" w14:textId="77777777" w:rsidR="005A358C" w:rsidRDefault="002F1C2C">
      <w:pPr>
        <w:pStyle w:val="Ttulo2"/>
      </w:pPr>
      <w:r>
        <w:t>1.2 Brechas Críticas Identificadas</w:t>
      </w: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160"/>
        <w:gridCol w:w="1500"/>
        <w:gridCol w:w="1500"/>
      </w:tblGrid>
      <w:tr w:rsidR="00D8111A" w14:paraId="13CD9D1E" w14:textId="77777777">
        <w:tc>
          <w:tcPr>
            <w:tcW w:w="22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D879C" w14:textId="77777777" w:rsidR="005A358C" w:rsidRDefault="002F1C2C">
            <w:r>
              <w:rPr>
                <w:b/>
                <w:bCs/>
                <w:color w:val="FFFFFF"/>
                <w:sz w:val="20"/>
                <w:szCs w:val="20"/>
              </w:rPr>
              <w:t>Área</w:t>
            </w:r>
          </w:p>
        </w:tc>
        <w:tc>
          <w:tcPr>
            <w:tcW w:w="41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6C52" w14:textId="77777777" w:rsidR="005A358C" w:rsidRDefault="002F1C2C">
            <w:r>
              <w:rPr>
                <w:b/>
                <w:bCs/>
                <w:color w:val="FFFFFF"/>
                <w:sz w:val="20"/>
                <w:szCs w:val="20"/>
              </w:rPr>
              <w:t>Brecha</w:t>
            </w:r>
          </w:p>
        </w:tc>
        <w:tc>
          <w:tcPr>
            <w:tcW w:w="1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8159" w14:textId="77777777" w:rsidR="005A358C" w:rsidRDefault="002F1C2C">
            <w:r>
              <w:rPr>
                <w:b/>
                <w:bCs/>
                <w:color w:val="FFFFFF"/>
                <w:sz w:val="20"/>
                <w:szCs w:val="20"/>
              </w:rPr>
              <w:t>Impacto</w:t>
            </w:r>
          </w:p>
        </w:tc>
        <w:tc>
          <w:tcPr>
            <w:tcW w:w="1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FB0A" w14:textId="77777777" w:rsidR="005A358C" w:rsidRDefault="002F1C2C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160"/>
        <w:gridCol w:w="1500"/>
        <w:gridCol w:w="1500"/>
      </w:tblGrid>
      <w:tr w:rsidR="00D8111A" w14:paraId="7AFCF9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46E2" w14:textId="77777777" w:rsidR="005A358C" w:rsidRDefault="002F1C2C">
            <w:r>
              <w:rPr>
                <w:sz w:val="20"/>
                <w:szCs w:val="20"/>
              </w:rPr>
              <w:t>Trazabilidad</w:t>
            </w:r>
          </w:p>
        </w:tc>
        <w:tc>
          <w:tcPr>
            <w:tcW w:w="4160" w:type="dxa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30C65" w14:textId="77777777" w:rsidR="005A358C" w:rsidRDefault="002F1C2C">
            <w:r>
              <w:rPr>
                <w:sz w:val="20"/>
                <w:szCs w:val="20"/>
              </w:rPr>
              <w:t>Los datos no tienen fuente verificable. No hay timestamps de recolección ni cadena de custodia digital.</w:t>
            </w:r>
          </w:p>
        </w:tc>
        <w:tc>
          <w:tcPr>
            <w:tcW w:w="1500" w:type="dxa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2C52" w14:textId="77777777" w:rsidR="005A358C" w:rsidRDefault="002F1C2C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1500" w:type="dxa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3762" w14:textId="77777777" w:rsidR="005A358C" w:rsidRDefault="002F1C2C">
            <w:r>
              <w:rPr>
                <w:sz w:val="20"/>
                <w:szCs w:val="20"/>
              </w:rPr>
              <w:t>P0</w:t>
            </w:r>
          </w:p>
        </w:tc>
      </w:tr>
      <w:tr w:rsidR="00D8111A" w14:paraId="54FA84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B5EA1" w14:textId="77777777" w:rsidR="005A358C" w:rsidRDefault="002F1C2C">
            <w:r>
              <w:rPr>
                <w:sz w:val="20"/>
                <w:szCs w:val="20"/>
              </w:rPr>
              <w:t>Datos</w:t>
            </w:r>
          </w:p>
        </w:tc>
        <w:tc>
          <w:tcPr>
            <w:tcW w:w="4160" w:type="dxa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F206" w14:textId="77777777" w:rsidR="005A358C" w:rsidRDefault="002F1C2C">
            <w:r>
              <w:rPr>
                <w:sz w:val="20"/>
                <w:szCs w:val="20"/>
              </w:rPr>
              <w:t>100% de los datos son mock. No hay conexión a fuentes reales (Freedom House, V-Dem, portales EMB).</w:t>
            </w:r>
          </w:p>
        </w:tc>
        <w:tc>
          <w:tcPr>
            <w:tcW w:w="1500" w:type="dxa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981D" w14:textId="77777777" w:rsidR="005A358C" w:rsidRDefault="002F1C2C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1500" w:type="dxa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5266" w14:textId="77777777" w:rsidR="005A358C" w:rsidRDefault="002F1C2C">
            <w:r>
              <w:rPr>
                <w:sz w:val="20"/>
                <w:szCs w:val="20"/>
              </w:rPr>
              <w:t>P0</w:t>
            </w:r>
          </w:p>
        </w:tc>
      </w:tr>
      <w:tr w:rsidR="00D8111A" w14:paraId="5D7960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953D" w14:textId="77777777" w:rsidR="005A358C" w:rsidRDefault="002F1C2C">
            <w:r>
              <w:rPr>
                <w:sz w:val="20"/>
                <w:szCs w:val="20"/>
              </w:rPr>
              <w:t>Base Legal</w:t>
            </w:r>
          </w:p>
        </w:tc>
        <w:tc>
          <w:tcPr>
            <w:tcW w:w="4160" w:type="dxa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40E96" w14:textId="77777777" w:rsidR="005A358C" w:rsidRDefault="002F1C2C">
            <w:r>
              <w:rPr>
                <w:sz w:val="20"/>
                <w:szCs w:val="20"/>
              </w:rPr>
              <w:t>El Legal Agent usa reglas estáticas. No hay RAG ni corpus vectorizado de tratados internacionales.</w:t>
            </w:r>
          </w:p>
        </w:tc>
        <w:tc>
          <w:tcPr>
            <w:tcW w:w="1500" w:type="dxa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090FF" w14:textId="77777777" w:rsidR="005A358C" w:rsidRDefault="002F1C2C">
            <w:r>
              <w:rPr>
                <w:sz w:val="20"/>
                <w:szCs w:val="20"/>
              </w:rPr>
              <w:t>CRÍTICO</w:t>
            </w:r>
          </w:p>
        </w:tc>
        <w:tc>
          <w:tcPr>
            <w:tcW w:w="1500" w:type="dxa"/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74DE4" w14:textId="77777777" w:rsidR="005A358C" w:rsidRDefault="002F1C2C">
            <w:r>
              <w:rPr>
                <w:sz w:val="20"/>
                <w:szCs w:val="20"/>
              </w:rPr>
              <w:t>P1</w:t>
            </w:r>
          </w:p>
        </w:tc>
      </w:tr>
      <w:tr w:rsidR="00D8111A" w14:paraId="17A55E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8C9C7" w14:textId="77777777" w:rsidR="005A358C" w:rsidRDefault="002F1C2C">
            <w:r>
              <w:rPr>
                <w:sz w:val="20"/>
                <w:szCs w:val="20"/>
              </w:rPr>
              <w:t>Cobertura</w:t>
            </w:r>
          </w:p>
        </w:tc>
        <w:tc>
          <w:tcPr>
            <w:tcW w:w="416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1BBB2" w14:textId="77777777" w:rsidR="005A358C" w:rsidRDefault="002F1C2C">
            <w:r>
              <w:rPr>
                <w:sz w:val="20"/>
                <w:szCs w:val="20"/>
              </w:rPr>
              <w:t>Solo ICCPR referenciado. Faltan CEDAW, ICERD, CRPD, UNDRIP, convenciones regionales (OEA, UA, OSCE).</w:t>
            </w:r>
          </w:p>
        </w:tc>
        <w:tc>
          <w:tcPr>
            <w:tcW w:w="15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84CA" w14:textId="77777777" w:rsidR="005A358C" w:rsidRDefault="002F1C2C">
            <w:r>
              <w:rPr>
                <w:sz w:val="20"/>
                <w:szCs w:val="20"/>
              </w:rPr>
              <w:t>ALTO</w:t>
            </w:r>
          </w:p>
        </w:tc>
        <w:tc>
          <w:tcPr>
            <w:tcW w:w="15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50D28" w14:textId="77777777" w:rsidR="005A358C" w:rsidRDefault="002F1C2C">
            <w:r>
              <w:rPr>
                <w:sz w:val="20"/>
                <w:szCs w:val="20"/>
              </w:rPr>
              <w:t>P1</w:t>
            </w:r>
          </w:p>
        </w:tc>
      </w:tr>
      <w:tr w:rsidR="00D8111A" w14:paraId="302F53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387D" w14:textId="77777777" w:rsidR="005A358C" w:rsidRDefault="002F1C2C">
            <w:r>
              <w:rPr>
                <w:sz w:val="20"/>
                <w:szCs w:val="20"/>
              </w:rPr>
              <w:t>Organismos</w:t>
            </w:r>
          </w:p>
        </w:tc>
        <w:tc>
          <w:tcPr>
            <w:tcW w:w="416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0C349" w14:textId="77777777" w:rsidR="005A358C" w:rsidRDefault="002F1C2C">
            <w:r>
              <w:rPr>
                <w:sz w:val="20"/>
                <w:szCs w:val="20"/>
              </w:rPr>
              <w:t>No hay diferenciación por región. Cada continente tiene organismos de observación con metodologías distintas.</w:t>
            </w:r>
          </w:p>
        </w:tc>
        <w:tc>
          <w:tcPr>
            <w:tcW w:w="15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CA59" w14:textId="77777777" w:rsidR="005A358C" w:rsidRDefault="002F1C2C">
            <w:r>
              <w:rPr>
                <w:sz w:val="20"/>
                <w:szCs w:val="20"/>
              </w:rPr>
              <w:t>ALTO</w:t>
            </w:r>
          </w:p>
        </w:tc>
        <w:tc>
          <w:tcPr>
            <w:tcW w:w="15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7181" w14:textId="77777777" w:rsidR="005A358C" w:rsidRDefault="002F1C2C">
            <w:r>
              <w:rPr>
                <w:sz w:val="20"/>
                <w:szCs w:val="20"/>
              </w:rPr>
              <w:t>P1</w:t>
            </w:r>
          </w:p>
        </w:tc>
      </w:tr>
      <w:tr w:rsidR="00D8111A" w14:paraId="37C909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7517" w14:textId="77777777" w:rsidR="005A358C" w:rsidRDefault="002F1C2C">
            <w:r>
              <w:rPr>
                <w:sz w:val="20"/>
                <w:szCs w:val="20"/>
              </w:rPr>
              <w:t>Persistencia</w:t>
            </w:r>
          </w:p>
        </w:tc>
        <w:tc>
          <w:tcPr>
            <w:tcW w:w="416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DE21" w14:textId="77777777" w:rsidR="005A358C" w:rsidRDefault="002F1C2C">
            <w:r>
              <w:rPr>
                <w:sz w:val="20"/>
                <w:szCs w:val="20"/>
              </w:rPr>
              <w:t>Datos en memoria (diccionarios Python). Se pierden al reiniciar. Falta PostgreSQL, Neo4j, Pinecone.</w:t>
            </w:r>
          </w:p>
        </w:tc>
        <w:tc>
          <w:tcPr>
            <w:tcW w:w="15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E6B9D" w14:textId="77777777" w:rsidR="005A358C" w:rsidRDefault="002F1C2C">
            <w:r>
              <w:rPr>
                <w:sz w:val="20"/>
                <w:szCs w:val="20"/>
              </w:rPr>
              <w:t>ALTO</w:t>
            </w:r>
          </w:p>
        </w:tc>
        <w:tc>
          <w:tcPr>
            <w:tcW w:w="15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0E6D" w14:textId="77777777" w:rsidR="005A358C" w:rsidRDefault="002F1C2C">
            <w:r>
              <w:rPr>
                <w:sz w:val="20"/>
                <w:szCs w:val="20"/>
              </w:rPr>
              <w:t>P2</w:t>
            </w:r>
          </w:p>
        </w:tc>
      </w:tr>
      <w:tr w:rsidR="00D8111A" w14:paraId="37F2F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1F68" w14:textId="77777777" w:rsidR="005A358C" w:rsidRDefault="002F1C2C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C355" w14:textId="77777777" w:rsidR="005A358C" w:rsidRDefault="002F1C2C">
            <w:r>
              <w:rPr>
                <w:sz w:val="20"/>
                <w:szCs w:val="20"/>
              </w:rPr>
              <w:t>Layout incompleto (lado derecho en blanco). Falta responsividad.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85299" w14:textId="77777777" w:rsidR="005A358C" w:rsidRDefault="002F1C2C">
            <w:r>
              <w:rPr>
                <w:sz w:val="20"/>
                <w:szCs w:val="20"/>
              </w:rPr>
              <w:t>MEDIO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6C55" w14:textId="77777777" w:rsidR="005A358C" w:rsidRDefault="002F1C2C">
            <w:r>
              <w:rPr>
                <w:sz w:val="20"/>
                <w:szCs w:val="20"/>
              </w:rPr>
              <w:t>P2</w:t>
            </w:r>
          </w:p>
        </w:tc>
      </w:tr>
      <w:tr w:rsidR="00D8111A" w14:paraId="6DB8CC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B6CA" w14:textId="77777777" w:rsidR="005A358C" w:rsidRDefault="002F1C2C">
            <w:r>
              <w:rPr>
                <w:sz w:val="20"/>
                <w:szCs w:val="20"/>
              </w:rPr>
              <w:t>Auth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5E58" w14:textId="77777777" w:rsidR="005A358C" w:rsidRDefault="002F1C2C">
            <w:r>
              <w:rPr>
                <w:sz w:val="20"/>
                <w:szCs w:val="20"/>
              </w:rPr>
              <w:t>Sin autenticación. Cualquiera puede acceder a los endpoints.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0C39" w14:textId="77777777" w:rsidR="005A358C" w:rsidRDefault="002F1C2C">
            <w:r>
              <w:rPr>
                <w:sz w:val="20"/>
                <w:szCs w:val="20"/>
              </w:rPr>
              <w:t>MEDIO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874C" w14:textId="77777777" w:rsidR="005A358C" w:rsidRDefault="002F1C2C">
            <w:r>
              <w:rPr>
                <w:sz w:val="20"/>
                <w:szCs w:val="20"/>
              </w:rPr>
              <w:t>P3</w:t>
            </w:r>
          </w:p>
        </w:tc>
      </w:tr>
    </w:tbl>
    <w:p w14:paraId="0CF61DDF" w14:textId="77777777" w:rsidR="005A358C" w:rsidRDefault="002F1C2C">
      <w:r>
        <w:br w:type="page"/>
      </w:r>
    </w:p>
    <w:p w14:paraId="58E4AF81" w14:textId="77777777" w:rsidR="005A358C" w:rsidRDefault="002F1C2C">
      <w:pPr>
        <w:pStyle w:val="Ttulo1"/>
      </w:pPr>
      <w:r>
        <w:lastRenderedPageBreak/>
        <w:t>2. Framework de Trazabilidad (Propuesta)</w:t>
      </w:r>
    </w:p>
    <w:p w14:paraId="582DCA3E" w14:textId="77777777" w:rsidR="005A358C" w:rsidRDefault="002F1C2C">
      <w:pPr>
        <w:spacing w:after="200"/>
      </w:pPr>
      <w:r>
        <w:t>Cada dato publicado en el dashboard o en informes VIP debe cumplir con el siguiente esquema de trazabilidad para garantizar credibilidad ante inversores, gobiernos y organismos internacionales:</w:t>
      </w:r>
    </w:p>
    <w:p w14:paraId="6FB49951" w14:textId="77777777" w:rsidR="005A358C" w:rsidRDefault="002F1C2C">
      <w:pPr>
        <w:pStyle w:val="Ttulo3"/>
      </w:pPr>
      <w:r>
        <w:t>Esquema de Metadatos por Dato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D8111A" w14:paraId="241A88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AAEBC" w14:textId="77777777" w:rsidR="005A358C" w:rsidRDefault="002F1C2C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35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5B4E" w14:textId="77777777" w:rsidR="005A358C" w:rsidRDefault="002F1C2C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336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1A6A9" w14:textId="77777777" w:rsidR="005A358C" w:rsidRDefault="002F1C2C">
            <w:r>
              <w:rPr>
                <w:b/>
                <w:bCs/>
                <w:color w:val="FFFFFF"/>
                <w:sz w:val="20"/>
                <w:szCs w:val="20"/>
              </w:rPr>
              <w:t>Ejemplo</w:t>
            </w:r>
          </w:p>
        </w:tc>
      </w:tr>
      <w:tr w:rsidR="00D8111A" w14:paraId="6ACC6D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17E86" w14:textId="77777777" w:rsidR="005A358C" w:rsidRDefault="002F1C2C">
            <w:r>
              <w:rPr>
                <w:sz w:val="20"/>
                <w:szCs w:val="20"/>
              </w:rPr>
              <w:t>source_id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FC5FA" w14:textId="77777777" w:rsidR="005A358C" w:rsidRDefault="002F1C2C">
            <w:r>
              <w:rPr>
                <w:sz w:val="20"/>
                <w:szCs w:val="20"/>
              </w:rPr>
              <w:t>Identificador único de la fuente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E5DB" w14:textId="77777777" w:rsidR="005A358C" w:rsidRDefault="002F1C2C">
            <w:r>
              <w:rPr>
                <w:sz w:val="20"/>
                <w:szCs w:val="20"/>
              </w:rPr>
              <w:t>freedom_house_api_v2</w:t>
            </w:r>
          </w:p>
        </w:tc>
      </w:tr>
      <w:tr w:rsidR="00D8111A" w14:paraId="3CF6A2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7A971" w14:textId="77777777" w:rsidR="005A358C" w:rsidRDefault="002F1C2C">
            <w:r>
              <w:rPr>
                <w:sz w:val="20"/>
                <w:szCs w:val="20"/>
              </w:rPr>
              <w:t>source_type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C3741" w14:textId="77777777" w:rsidR="005A358C" w:rsidRDefault="002F1C2C">
            <w:r>
              <w:rPr>
                <w:sz w:val="20"/>
                <w:szCs w:val="20"/>
              </w:rPr>
              <w:t>Tipo: api, scraping, document, manual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A556" w14:textId="77777777" w:rsidR="005A358C" w:rsidRDefault="002F1C2C">
            <w:r>
              <w:rPr>
                <w:sz w:val="20"/>
                <w:szCs w:val="20"/>
              </w:rPr>
              <w:t>api</w:t>
            </w:r>
          </w:p>
        </w:tc>
      </w:tr>
      <w:tr w:rsidR="00D8111A" w14:paraId="4DFF33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4A46" w14:textId="77777777" w:rsidR="005A358C" w:rsidRDefault="002F1C2C">
            <w:r>
              <w:rPr>
                <w:sz w:val="20"/>
                <w:szCs w:val="20"/>
              </w:rPr>
              <w:t>source_url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1501" w14:textId="77777777" w:rsidR="005A358C" w:rsidRDefault="002F1C2C">
            <w:r>
              <w:rPr>
                <w:sz w:val="20"/>
                <w:szCs w:val="20"/>
              </w:rPr>
              <w:t>URL exacta de origen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9C56" w14:textId="77777777" w:rsidR="005A358C" w:rsidRDefault="002F1C2C">
            <w:r>
              <w:rPr>
                <w:sz w:val="20"/>
                <w:szCs w:val="20"/>
              </w:rPr>
              <w:t>https://freedomhouse.org/api/...</w:t>
            </w:r>
          </w:p>
        </w:tc>
      </w:tr>
      <w:tr w:rsidR="00D8111A" w14:paraId="591B74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F9FCF" w14:textId="77777777" w:rsidR="005A358C" w:rsidRDefault="002F1C2C">
            <w:r>
              <w:rPr>
                <w:sz w:val="20"/>
                <w:szCs w:val="20"/>
              </w:rPr>
              <w:t>collected_at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2A471" w14:textId="77777777" w:rsidR="005A358C" w:rsidRDefault="002F1C2C">
            <w:r>
              <w:rPr>
                <w:sz w:val="20"/>
                <w:szCs w:val="20"/>
              </w:rPr>
              <w:t>Timestamp ISO 8601 de recolección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B272A" w14:textId="77777777" w:rsidR="005A358C" w:rsidRDefault="002F1C2C">
            <w:r>
              <w:rPr>
                <w:sz w:val="20"/>
                <w:szCs w:val="20"/>
              </w:rPr>
              <w:t>2026-03-10T20:14:31Z</w:t>
            </w:r>
          </w:p>
        </w:tc>
      </w:tr>
      <w:tr w:rsidR="00D8111A" w14:paraId="066351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47E6" w14:textId="77777777" w:rsidR="005A358C" w:rsidRDefault="002F1C2C">
            <w:r>
              <w:rPr>
                <w:sz w:val="20"/>
                <w:szCs w:val="20"/>
              </w:rPr>
              <w:t>data_hash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516A1" w14:textId="77777777" w:rsidR="005A358C" w:rsidRDefault="002F1C2C">
            <w:r>
              <w:rPr>
                <w:sz w:val="20"/>
                <w:szCs w:val="20"/>
              </w:rPr>
              <w:t>SHA-256 del dato crudo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1CA52" w14:textId="77777777" w:rsidR="005A358C" w:rsidRDefault="002F1C2C">
            <w:r>
              <w:rPr>
                <w:sz w:val="20"/>
                <w:szCs w:val="20"/>
              </w:rPr>
              <w:t>a3f2b7c8d1e4...</w:t>
            </w:r>
          </w:p>
        </w:tc>
      </w:tr>
      <w:tr w:rsidR="00D8111A" w14:paraId="3630EC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91F6" w14:textId="77777777" w:rsidR="005A358C" w:rsidRDefault="002F1C2C">
            <w:r>
              <w:rPr>
                <w:sz w:val="20"/>
                <w:szCs w:val="20"/>
              </w:rPr>
              <w:t>confidence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C58D2" w14:textId="77777777" w:rsidR="005A358C" w:rsidRDefault="002F1C2C">
            <w:r>
              <w:rPr>
                <w:sz w:val="20"/>
                <w:szCs w:val="20"/>
              </w:rPr>
              <w:t>Nivel: confirmed, probable, unverified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2A95" w14:textId="77777777" w:rsidR="005A358C" w:rsidRDefault="002F1C2C">
            <w:r>
              <w:rPr>
                <w:sz w:val="20"/>
                <w:szCs w:val="20"/>
              </w:rPr>
              <w:t>confirmed</w:t>
            </w:r>
          </w:p>
        </w:tc>
      </w:tr>
      <w:tr w:rsidR="00D8111A" w14:paraId="034846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F9E5" w14:textId="77777777" w:rsidR="005A358C" w:rsidRDefault="002F1C2C">
            <w:r>
              <w:rPr>
                <w:sz w:val="20"/>
                <w:szCs w:val="20"/>
              </w:rPr>
              <w:t>legal_basis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670C1" w14:textId="77777777" w:rsidR="005A358C" w:rsidRDefault="002F1C2C">
            <w:r>
              <w:rPr>
                <w:sz w:val="20"/>
                <w:szCs w:val="20"/>
              </w:rPr>
              <w:t>Artículo y tratado que fundamenta el análisis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562F" w14:textId="77777777" w:rsidR="005A358C" w:rsidRDefault="002F1C2C">
            <w:r>
              <w:rPr>
                <w:sz w:val="20"/>
                <w:szCs w:val="20"/>
              </w:rPr>
              <w:t>ICCPR Art. 19(2)</w:t>
            </w:r>
          </w:p>
        </w:tc>
      </w:tr>
      <w:tr w:rsidR="00D8111A" w14:paraId="50EE96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C27ED" w14:textId="77777777" w:rsidR="005A358C" w:rsidRDefault="002F1C2C">
            <w:r>
              <w:rPr>
                <w:sz w:val="20"/>
                <w:szCs w:val="20"/>
              </w:rPr>
              <w:t>agent_id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461AC" w14:textId="77777777" w:rsidR="005A358C" w:rsidRDefault="002F1C2C">
            <w:r>
              <w:rPr>
                <w:sz w:val="20"/>
                <w:szCs w:val="20"/>
              </w:rPr>
              <w:t>Agente que procesó el dato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F4A1" w14:textId="77777777" w:rsidR="005A358C" w:rsidRDefault="002F1C2C">
            <w:r>
              <w:rPr>
                <w:sz w:val="20"/>
                <w:szCs w:val="20"/>
              </w:rPr>
              <w:t>Legal_ComplianceAgent</w:t>
            </w:r>
          </w:p>
        </w:tc>
      </w:tr>
      <w:tr w:rsidR="00D8111A" w14:paraId="5C5073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FDC8" w14:textId="77777777" w:rsidR="005A358C" w:rsidRDefault="002F1C2C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4A910" w14:textId="77777777" w:rsidR="005A358C" w:rsidRDefault="002F1C2C">
            <w:r>
              <w:rPr>
                <w:sz w:val="20"/>
                <w:szCs w:val="20"/>
              </w:rPr>
              <w:t>Versión del dato (para rastreo histórico)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A89F" w14:textId="77777777" w:rsidR="005A358C" w:rsidRDefault="002F1C2C">
            <w:r>
              <w:rPr>
                <w:sz w:val="20"/>
                <w:szCs w:val="20"/>
              </w:rPr>
              <w:t>v1.0.2</w:t>
            </w:r>
          </w:p>
        </w:tc>
      </w:tr>
    </w:tbl>
    <w:p w14:paraId="13180B34" w14:textId="77777777" w:rsidR="005A358C" w:rsidRDefault="002F1C2C">
      <w:pPr>
        <w:spacing w:before="200" w:after="200"/>
      </w:pPr>
      <w:r>
        <w:rPr>
          <w:b/>
          <w:bCs/>
          <w:color w:val="E74C3C"/>
        </w:rPr>
        <w:t xml:space="preserve">Regla de oro: </w:t>
      </w:r>
      <w:r>
        <w:t>Si un dato no puede llenar todos estos campos, NO se publica. Se marca como "pendiente de verificación" y no alimenta el Risk Score.</w:t>
      </w:r>
    </w:p>
    <w:p w14:paraId="1C72859C" w14:textId="77777777" w:rsidR="005A358C" w:rsidRDefault="002F1C2C">
      <w:r>
        <w:br w:type="page"/>
      </w:r>
    </w:p>
    <w:p w14:paraId="707C8298" w14:textId="77777777" w:rsidR="005A358C" w:rsidRDefault="002F1C2C">
      <w:pPr>
        <w:pStyle w:val="Ttulo1"/>
      </w:pPr>
      <w:r>
        <w:lastRenderedPageBreak/>
        <w:t>3. Marco Legal Expandido por Región</w:t>
      </w:r>
    </w:p>
    <w:p w14:paraId="73AAE1A6" w14:textId="77777777" w:rsidR="005A358C" w:rsidRDefault="002F1C2C">
      <w:pPr>
        <w:spacing w:after="200"/>
      </w:pPr>
      <w:r>
        <w:t>El sistema actual solo referencia el ICCPR. Para ser creíble ante organismos internacionales, debe cubrir el marco normativo completo por región:</w:t>
      </w:r>
    </w:p>
    <w:p w14:paraId="7D9F94D0" w14:textId="77777777" w:rsidR="005A358C" w:rsidRDefault="002F1C2C">
      <w:pPr>
        <w:pStyle w:val="Ttulo2"/>
      </w:pPr>
      <w:r>
        <w:t>3.1 Instrumentos Universales (todos los países)</w:t>
      </w:r>
    </w:p>
    <w:p w14:paraId="6E1CE4F9" w14:textId="77777777" w:rsidR="005A358C" w:rsidRDefault="002F1C2C">
      <w:pPr>
        <w:pStyle w:val="Prrafodelista"/>
        <w:numPr>
          <w:ilvl w:val="0"/>
          <w:numId w:val="2"/>
        </w:numPr>
        <w:spacing w:after="60"/>
      </w:pPr>
      <w:r>
        <w:t>ICCPR — Pacto Internacional de Derechos Civiles y Políticos</w:t>
      </w:r>
    </w:p>
    <w:p w14:paraId="65891692" w14:textId="77777777" w:rsidR="005A358C" w:rsidRDefault="002F1C2C">
      <w:pPr>
        <w:pStyle w:val="Prrafodelista"/>
        <w:numPr>
          <w:ilvl w:val="0"/>
          <w:numId w:val="2"/>
        </w:numPr>
        <w:spacing w:after="60"/>
      </w:pPr>
      <w:r>
        <w:t>CEDAW — Convención sobre Discriminación contra la Mujer</w:t>
      </w:r>
    </w:p>
    <w:p w14:paraId="5733D174" w14:textId="77777777" w:rsidR="005A358C" w:rsidRDefault="002F1C2C">
      <w:pPr>
        <w:pStyle w:val="Prrafodelista"/>
        <w:numPr>
          <w:ilvl w:val="0"/>
          <w:numId w:val="2"/>
        </w:numPr>
        <w:spacing w:after="60"/>
      </w:pPr>
      <w:r>
        <w:t>ICERD — Convención sobre Discriminación Racial</w:t>
      </w:r>
    </w:p>
    <w:p w14:paraId="79F736FD" w14:textId="77777777" w:rsidR="005A358C" w:rsidRDefault="002F1C2C">
      <w:pPr>
        <w:pStyle w:val="Prrafodelista"/>
        <w:numPr>
          <w:ilvl w:val="0"/>
          <w:numId w:val="2"/>
        </w:numPr>
        <w:spacing w:after="60"/>
      </w:pPr>
      <w:r>
        <w:t>CRPD — Convención sobre Derechos de Personas con Discapacidad</w:t>
      </w:r>
    </w:p>
    <w:p w14:paraId="1C057EAD" w14:textId="77777777" w:rsidR="005A358C" w:rsidRDefault="002F1C2C">
      <w:pPr>
        <w:pStyle w:val="Prrafodelista"/>
        <w:numPr>
          <w:ilvl w:val="0"/>
          <w:numId w:val="2"/>
        </w:numPr>
        <w:spacing w:after="60"/>
      </w:pPr>
      <w:r>
        <w:t>UNDRIP — Derechos de los Pueblos Indígenas</w:t>
      </w:r>
    </w:p>
    <w:p w14:paraId="19D96294" w14:textId="77777777" w:rsidR="005A358C" w:rsidRDefault="002F1C2C">
      <w:pPr>
        <w:pStyle w:val="Prrafodelista"/>
        <w:numPr>
          <w:ilvl w:val="0"/>
          <w:numId w:val="2"/>
        </w:numPr>
        <w:spacing w:after="60"/>
      </w:pPr>
      <w:r>
        <w:t>UNCAC — Convención contra la Corrupción</w:t>
      </w:r>
    </w:p>
    <w:p w14:paraId="43A7964A" w14:textId="77777777" w:rsidR="005A358C" w:rsidRDefault="002F1C2C">
      <w:pPr>
        <w:pStyle w:val="Ttulo2"/>
      </w:pPr>
      <w:r>
        <w:t>3.2 Instrumentos Regionales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D8111A" w14:paraId="392B30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7C83" w14:textId="77777777" w:rsidR="005A358C" w:rsidRDefault="002F1C2C">
            <w:r>
              <w:rPr>
                <w:b/>
                <w:bCs/>
                <w:color w:val="FFFFFF"/>
                <w:sz w:val="20"/>
                <w:szCs w:val="20"/>
              </w:rPr>
              <w:t>Región</w:t>
            </w:r>
          </w:p>
        </w:tc>
        <w:tc>
          <w:tcPr>
            <w:tcW w:w="378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6915" w14:textId="77777777" w:rsidR="005A358C" w:rsidRDefault="002F1C2C">
            <w:r>
              <w:rPr>
                <w:b/>
                <w:bCs/>
                <w:color w:val="FFFFFF"/>
                <w:sz w:val="20"/>
                <w:szCs w:val="20"/>
              </w:rPr>
              <w:t>Instrumento Principal</w:t>
            </w:r>
          </w:p>
        </w:tc>
        <w:tc>
          <w:tcPr>
            <w:tcW w:w="3780" w:type="dxa"/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2D03" w14:textId="77777777" w:rsidR="005A358C" w:rsidRDefault="002F1C2C">
            <w:r>
              <w:rPr>
                <w:b/>
                <w:bCs/>
                <w:color w:val="FFFFFF"/>
                <w:sz w:val="20"/>
                <w:szCs w:val="20"/>
              </w:rPr>
              <w:t>Organismo de Observación</w:t>
            </w:r>
          </w:p>
        </w:tc>
      </w:tr>
      <w:tr w:rsidR="00D8111A" w14:paraId="220F60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EEA2" w14:textId="77777777" w:rsidR="005A358C" w:rsidRDefault="002F1C2C">
            <w:r>
              <w:rPr>
                <w:sz w:val="20"/>
                <w:szCs w:val="20"/>
              </w:rPr>
              <w:t>Américas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6922" w14:textId="77777777" w:rsidR="005A358C" w:rsidRDefault="002F1C2C">
            <w:r>
              <w:rPr>
                <w:sz w:val="20"/>
                <w:szCs w:val="20"/>
              </w:rPr>
              <w:t>Convención Americana sobre DDHH (Art. 23), Carta Democrática Interamericana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2499" w14:textId="77777777" w:rsidR="005A358C" w:rsidRPr="000A5CAA" w:rsidRDefault="002F1C2C">
            <w:pPr>
              <w:rPr>
                <w:lang w:val="pt-BR"/>
              </w:rPr>
            </w:pPr>
            <w:r w:rsidRPr="000A5CAA">
              <w:rPr>
                <w:sz w:val="20"/>
                <w:szCs w:val="20"/>
                <w:lang w:val="pt-BR"/>
              </w:rPr>
              <w:t>OEA/DECO, UNIORE, Centro Carter</w:t>
            </w:r>
          </w:p>
        </w:tc>
      </w:tr>
      <w:tr w:rsidR="00D8111A" w14:paraId="5F5C9C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6E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BF9DA" w14:textId="77777777" w:rsidR="005A358C" w:rsidRDefault="002F1C2C">
            <w:r>
              <w:rPr>
                <w:sz w:val="20"/>
                <w:szCs w:val="20"/>
              </w:rPr>
              <w:t>Europa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EBCC" w14:textId="77777777" w:rsidR="005A358C" w:rsidRPr="000A5CAA" w:rsidRDefault="002F1C2C">
            <w:pPr>
              <w:rPr>
                <w:lang w:val="pt-BR"/>
              </w:rPr>
            </w:pPr>
            <w:r w:rsidRPr="000A5CAA">
              <w:rPr>
                <w:sz w:val="20"/>
                <w:szCs w:val="20"/>
                <w:lang w:val="pt-BR"/>
              </w:rPr>
              <w:t>CEDH Protocolo 1 Art. 3, Documento de Copenhague OSCE 1990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ED583" w14:textId="77777777" w:rsidR="005A358C" w:rsidRDefault="002F1C2C">
            <w:r>
              <w:rPr>
                <w:sz w:val="20"/>
                <w:szCs w:val="20"/>
              </w:rPr>
              <w:t>OSCE/ODIHR, Comisión de Venecia, PE</w:t>
            </w:r>
          </w:p>
        </w:tc>
      </w:tr>
      <w:tr w:rsidR="00D8111A" w14:paraId="73D8CE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C9F3F" w14:textId="77777777" w:rsidR="005A358C" w:rsidRDefault="002F1C2C">
            <w:r>
              <w:rPr>
                <w:sz w:val="20"/>
                <w:szCs w:val="20"/>
              </w:rPr>
              <w:t>África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636EF" w14:textId="77777777" w:rsidR="005A358C" w:rsidRDefault="002F1C2C">
            <w:r>
              <w:rPr>
                <w:sz w:val="20"/>
                <w:szCs w:val="20"/>
              </w:rPr>
              <w:t>Carta Africana DDHP (Art. 13), Carta Africana sobre Democracia 2007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66330" w14:textId="77777777" w:rsidR="005A358C" w:rsidRDefault="002F1C2C">
            <w:r>
              <w:rPr>
                <w:sz w:val="20"/>
                <w:szCs w:val="20"/>
              </w:rPr>
              <w:t>UA, ECOWAS, SADC, IGAD</w:t>
            </w:r>
          </w:p>
        </w:tc>
      </w:tr>
      <w:tr w:rsidR="00D8111A" w14:paraId="0F0AFE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D89A6" w14:textId="77777777" w:rsidR="005A358C" w:rsidRDefault="002F1C2C">
            <w:r>
              <w:rPr>
                <w:sz w:val="20"/>
                <w:szCs w:val="20"/>
              </w:rPr>
              <w:t>Asia-Pacífico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5EB3" w14:textId="77777777" w:rsidR="005A358C" w:rsidRDefault="002F1C2C">
            <w:r>
              <w:rPr>
                <w:sz w:val="20"/>
                <w:szCs w:val="20"/>
              </w:rPr>
              <w:t>Declaración de Bangkok ANFREL, Pacific Islands Forum Biketawa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D81C" w14:textId="77777777" w:rsidR="005A358C" w:rsidRDefault="002F1C2C">
            <w:r>
              <w:rPr>
                <w:sz w:val="20"/>
                <w:szCs w:val="20"/>
              </w:rPr>
              <w:t>ANFREL, Pacific Islands Forum</w:t>
            </w:r>
          </w:p>
        </w:tc>
      </w:tr>
      <w:tr w:rsidR="00D8111A" w14:paraId="6CEFE3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DEBD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DF786" w14:textId="77777777" w:rsidR="005A358C" w:rsidRDefault="002F1C2C">
            <w:r>
              <w:rPr>
                <w:sz w:val="20"/>
                <w:szCs w:val="20"/>
              </w:rPr>
              <w:t>Mundo Árabe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B822" w14:textId="77777777" w:rsidR="005A358C" w:rsidRDefault="002F1C2C">
            <w:r>
              <w:rPr>
                <w:sz w:val="20"/>
                <w:szCs w:val="20"/>
              </w:rPr>
              <w:t>Carta Árabe de DDHH (Art. 24)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ABC4" w14:textId="77777777" w:rsidR="005A358C" w:rsidRDefault="002F1C2C">
            <w:r>
              <w:rPr>
                <w:sz w:val="20"/>
                <w:szCs w:val="20"/>
              </w:rPr>
              <w:t>Liga Árabe, Red Árabe Electoral</w:t>
            </w:r>
          </w:p>
        </w:tc>
      </w:tr>
    </w:tbl>
    <w:p w14:paraId="4F718ABD" w14:textId="77777777" w:rsidR="005A358C" w:rsidRDefault="002F1C2C">
      <w:pPr>
        <w:spacing w:before="200" w:after="200"/>
      </w:pPr>
      <w:r>
        <w:rPr>
          <w:b/>
          <w:bCs/>
        </w:rPr>
        <w:t xml:space="preserve">Impacto en el sistema: </w:t>
      </w:r>
      <w:r>
        <w:t>El Legal_ComplianceAgent debe detectar la región del país y aplicar tanto los instrumentos universales como los regionales correspondientes. Esto requiere expandir la Vector DB con estos documentos.</w:t>
      </w:r>
    </w:p>
    <w:p w14:paraId="51E4443C" w14:textId="77777777" w:rsidR="005A358C" w:rsidRDefault="002F1C2C">
      <w:r>
        <w:br w:type="page"/>
      </w:r>
    </w:p>
    <w:p w14:paraId="3D1A87E4" w14:textId="77777777" w:rsidR="005A358C" w:rsidRDefault="002F1C2C">
      <w:pPr>
        <w:pStyle w:val="Ttulo1"/>
      </w:pPr>
      <w:r>
        <w:lastRenderedPageBreak/>
        <w:t>4. Roadmap de Implementación</w:t>
      </w:r>
    </w:p>
    <w:p w14:paraId="3DDC045A" w14:textId="77777777" w:rsidR="005A358C" w:rsidRDefault="002F1C2C">
      <w:pPr>
        <w:pStyle w:val="Ttulo2"/>
      </w:pPr>
      <w:r>
        <w:t>Fase 0 — Fundación (COMPLETADA)</w:t>
      </w:r>
    </w:p>
    <w:p w14:paraId="3C9FD852" w14:textId="77777777" w:rsidR="005A358C" w:rsidRDefault="002F1C2C">
      <w:pPr>
        <w:pStyle w:val="Prrafodelista"/>
        <w:numPr>
          <w:ilvl w:val="0"/>
          <w:numId w:val="2"/>
        </w:numPr>
        <w:spacing w:after="60"/>
      </w:pPr>
      <w:r>
        <w:rPr>
          <w:color w:val="00B894"/>
        </w:rPr>
        <w:t xml:space="preserve">✅ </w:t>
      </w:r>
      <w:r>
        <w:t>Pipeline LangGraph con 4 agentes</w:t>
      </w:r>
    </w:p>
    <w:p w14:paraId="5B3AA3A5" w14:textId="77777777" w:rsidR="005A358C" w:rsidRDefault="002F1C2C">
      <w:pPr>
        <w:pStyle w:val="Prrafodelista"/>
        <w:numPr>
          <w:ilvl w:val="0"/>
          <w:numId w:val="2"/>
        </w:numPr>
        <w:spacing w:after="60"/>
      </w:pPr>
      <w:r>
        <w:rPr>
          <w:color w:val="00B894"/>
        </w:rPr>
        <w:t xml:space="preserve">✅ </w:t>
      </w:r>
      <w:r>
        <w:t>API FastAPI operativa</w:t>
      </w:r>
    </w:p>
    <w:p w14:paraId="73A4D352" w14:textId="77777777" w:rsidR="005A358C" w:rsidRDefault="002F1C2C">
      <w:pPr>
        <w:pStyle w:val="Prrafodelista"/>
        <w:numPr>
          <w:ilvl w:val="0"/>
          <w:numId w:val="2"/>
        </w:numPr>
        <w:spacing w:after="60"/>
      </w:pPr>
      <w:r>
        <w:rPr>
          <w:color w:val="00B894"/>
        </w:rPr>
        <w:t xml:space="preserve">✅ </w:t>
      </w:r>
      <w:r>
        <w:t>Dashboard React conectado al backend</w:t>
      </w:r>
    </w:p>
    <w:p w14:paraId="154BDD96" w14:textId="77777777" w:rsidR="005A358C" w:rsidRDefault="002F1C2C">
      <w:pPr>
        <w:pStyle w:val="Prrafodelista"/>
        <w:numPr>
          <w:ilvl w:val="0"/>
          <w:numId w:val="2"/>
        </w:numPr>
        <w:spacing w:after="60"/>
      </w:pPr>
      <w:r>
        <w:rPr>
          <w:color w:val="00B894"/>
        </w:rPr>
        <w:t xml:space="preserve">✅ </w:t>
      </w:r>
      <w:r>
        <w:t>Risk Score multidimensional funcionando</w:t>
      </w:r>
    </w:p>
    <w:p w14:paraId="1A809371" w14:textId="77777777" w:rsidR="005A358C" w:rsidRDefault="002F1C2C">
      <w:pPr>
        <w:pStyle w:val="Ttulo2"/>
      </w:pPr>
      <w:r>
        <w:t>Fase 1 — Trazabilidad + Datos Reales (Próximo)</w:t>
      </w:r>
    </w:p>
    <w:p w14:paraId="51A5289F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Implementar esquema de metadatos de trazabilidad en todos los agentes</w:t>
      </w:r>
    </w:p>
    <w:p w14:paraId="48143C0B" w14:textId="77777777" w:rsidR="005A358C" w:rsidRPr="000A5CAA" w:rsidRDefault="002F1C2C">
      <w:pPr>
        <w:pStyle w:val="Prrafodelista"/>
        <w:numPr>
          <w:ilvl w:val="0"/>
          <w:numId w:val="3"/>
        </w:numPr>
        <w:spacing w:after="60"/>
        <w:rPr>
          <w:lang w:val="pt-BR"/>
        </w:rPr>
      </w:pPr>
      <w:r w:rsidRPr="000A5CAA">
        <w:rPr>
          <w:lang w:val="pt-BR"/>
        </w:rPr>
        <w:t>Conectar Agente 1 a APIs reales: V-Dem (API pública), Freedom House (datos descargables)</w:t>
      </w:r>
    </w:p>
    <w:p w14:paraId="4B505B7F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Implementar scraping OSINT a portales de EMBs con Playwright</w:t>
      </w:r>
    </w:p>
    <w:p w14:paraId="64D2E762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PostgreSQL para persistencia de datos con historial versionado</w:t>
      </w:r>
    </w:p>
    <w:p w14:paraId="0A03890D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Fix del layout del dashboard (responsivo, ancho completo)</w:t>
      </w:r>
    </w:p>
    <w:p w14:paraId="44AD6128" w14:textId="77777777" w:rsidR="005A358C" w:rsidRDefault="002F1C2C">
      <w:pPr>
        <w:pStyle w:val="Ttulo2"/>
      </w:pPr>
      <w:r>
        <w:t>Fase 2 — Sistema RAG Legal</w:t>
      </w:r>
    </w:p>
    <w:p w14:paraId="4A752687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Vectorizar corpus legal: ICCPR, CEDAW, ICERD, CRPD, UNDRIP, UNCAC + instrumentos regionales</w:t>
      </w:r>
    </w:p>
    <w:p w14:paraId="0B53F192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Vectorizar +300 documentos del Centro Carter y metodologías de la UE/OSCE</w:t>
      </w:r>
    </w:p>
    <w:p w14:paraId="2E67306D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Reemplazar reglas estáticas del Legal Agent por consultas RAG semánticas</w:t>
      </w:r>
    </w:p>
    <w:p w14:paraId="47B99CE4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Detección automática de región y aplicación de instrumentos regionales</w:t>
      </w:r>
    </w:p>
    <w:p w14:paraId="36C4A1C2" w14:textId="77777777" w:rsidR="005A358C" w:rsidRDefault="002F1C2C">
      <w:pPr>
        <w:pStyle w:val="Ttulo2"/>
      </w:pPr>
      <w:r>
        <w:t>Fase 3 — Grafos de Poder + Monitoreo Digital</w:t>
      </w:r>
    </w:p>
    <w:p w14:paraId="307E5B88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Neo4j para mapeo de redes: Candidato → Financista → Medio → Empresa Estatal</w:t>
      </w:r>
    </w:p>
    <w:p w14:paraId="7A8A31E4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Monitoreo de redes sociales (X, Facebook, TikTok) con detección de bots y desinformación</w:t>
      </w:r>
    </w:p>
    <w:p w14:paraId="22A8EE97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Análisis NLP de discurso de odio y supresión de votantes online</w:t>
      </w:r>
    </w:p>
    <w:p w14:paraId="45D5ECF3" w14:textId="77777777" w:rsidR="005A358C" w:rsidRDefault="002F1C2C">
      <w:pPr>
        <w:pStyle w:val="Ttulo2"/>
      </w:pPr>
      <w:r>
        <w:t>Fase 4 — Reportes VIP + Deploy</w:t>
      </w:r>
    </w:p>
    <w:p w14:paraId="3AEFF4CE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Agente 4 con Claude LLM para narrativa ejecutiva con citación automática de fuentes</w:t>
      </w:r>
    </w:p>
    <w:p w14:paraId="228F441A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Exportación a PDF/LaTeX con calidad tipográfica ejecutiva</w:t>
      </w:r>
    </w:p>
    <w:p w14:paraId="6D3454F0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Autenticación VIP y control de acceso</w:t>
      </w:r>
    </w:p>
    <w:p w14:paraId="0BAB5D92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Deploy a la nube (AWS/GCP) con CI/CD</w:t>
      </w:r>
    </w:p>
    <w:p w14:paraId="4831708C" w14:textId="77777777" w:rsidR="005A358C" w:rsidRDefault="002F1C2C">
      <w:pPr>
        <w:pStyle w:val="Prrafodelista"/>
        <w:numPr>
          <w:ilvl w:val="0"/>
          <w:numId w:val="3"/>
        </w:numPr>
        <w:spacing w:after="60"/>
      </w:pPr>
      <w:r>
        <w:t>Cobertura global: agregar países de todos los continentes</w:t>
      </w:r>
    </w:p>
    <w:p w14:paraId="2BB781C7" w14:textId="77777777" w:rsidR="005A358C" w:rsidRDefault="002F1C2C">
      <w:r>
        <w:br w:type="page"/>
      </w:r>
    </w:p>
    <w:p w14:paraId="39FA7DBE" w14:textId="77777777" w:rsidR="005A358C" w:rsidRDefault="002F1C2C">
      <w:pPr>
        <w:pStyle w:val="Ttulo1"/>
      </w:pPr>
      <w:r>
        <w:lastRenderedPageBreak/>
        <w:t>5. Recomendación Inmediata</w:t>
      </w:r>
    </w:p>
    <w:p w14:paraId="59B6C2AE" w14:textId="77777777" w:rsidR="005A358C" w:rsidRDefault="002F1C2C">
      <w:pPr>
        <w:spacing w:after="200"/>
      </w:pPr>
      <w:r>
        <w:t xml:space="preserve">Basado en el diagnóstico, la prioridad absoluta es </w:t>
      </w:r>
      <w:r>
        <w:rPr>
          <w:b/>
          <w:bCs/>
          <w:color w:val="E74C3C"/>
        </w:rPr>
        <w:t>implementar trazabilidad</w:t>
      </w:r>
      <w:r>
        <w:t xml:space="preserve"> antes de conectar fuentes reales. Sin trazabilidad, cualquier dato real que ingresemos al sistema no será verificable, lo que invalida la credibilidad del proyecto ante inversores y organismos internacionales.</w:t>
      </w:r>
    </w:p>
    <w:p w14:paraId="53577330" w14:textId="77777777" w:rsidR="005A358C" w:rsidRDefault="002F1C2C">
      <w:pPr>
        <w:pStyle w:val="Ttulo3"/>
      </w:pPr>
      <w:r>
        <w:t>Orden de ejecución recomendado:</w:t>
      </w:r>
    </w:p>
    <w:p w14:paraId="5CEADA71" w14:textId="77777777" w:rsidR="005A358C" w:rsidRDefault="002F1C2C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Trazabilidad: </w:t>
      </w:r>
      <w:r>
        <w:t>Agregar esquema de metadatos a todos los agentes (1-2 sesiones)</w:t>
      </w:r>
    </w:p>
    <w:p w14:paraId="38CB115E" w14:textId="77777777" w:rsidR="005A358C" w:rsidRDefault="002F1C2C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Fix Dashboard: </w:t>
      </w:r>
      <w:r>
        <w:t>Resolver layout y subir a GitHub (1 sesión)</w:t>
      </w:r>
    </w:p>
    <w:p w14:paraId="616627B3" w14:textId="77777777" w:rsidR="005A358C" w:rsidRDefault="002F1C2C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Datos Reales: </w:t>
      </w:r>
      <w:r>
        <w:t>Conectar V-Dem API + Freedom House al Agente 1 (2-3 sesiones)</w:t>
      </w:r>
    </w:p>
    <w:p w14:paraId="270DF517" w14:textId="77777777" w:rsidR="005A358C" w:rsidRDefault="002F1C2C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RAG Legal: </w:t>
      </w:r>
      <w:r>
        <w:t>Vectorizar corpus legal y reemplazar reglas estáticas (3-4 sesiones)</w:t>
      </w:r>
    </w:p>
    <w:p w14:paraId="5D803EE2" w14:textId="77777777" w:rsidR="005A358C" w:rsidRDefault="002F1C2C">
      <w:pPr>
        <w:pStyle w:val="Prrafodelista"/>
        <w:numPr>
          <w:ilvl w:val="0"/>
          <w:numId w:val="3"/>
        </w:numPr>
        <w:spacing w:after="80"/>
      </w:pPr>
      <w:r>
        <w:rPr>
          <w:b/>
          <w:bCs/>
        </w:rPr>
        <w:t xml:space="preserve">Expandir Marco Legal: </w:t>
      </w:r>
      <w:r>
        <w:t>Agregar instrumentos regionales al sistema (2-3 sesiones)</w:t>
      </w:r>
    </w:p>
    <w:p w14:paraId="1BF9418A" w14:textId="77777777" w:rsidR="005A358C" w:rsidRDefault="005A358C">
      <w:pPr>
        <w:spacing w:before="400"/>
      </w:pPr>
    </w:p>
    <w:p w14:paraId="44541204" w14:textId="77777777" w:rsidR="005A358C" w:rsidRPr="000A5CAA" w:rsidRDefault="002F1C2C">
      <w:pPr>
        <w:pBdr>
          <w:top w:val="single" w:sz="2" w:space="8" w:color="1B4F72"/>
        </w:pBdr>
        <w:spacing w:before="200"/>
        <w:jc w:val="center"/>
        <w:rPr>
          <w:lang w:val="pt-BR"/>
        </w:rPr>
      </w:pPr>
      <w:r w:rsidRPr="000A5CAA">
        <w:rPr>
          <w:i/>
          <w:iCs/>
          <w:color w:val="7F8C8D"/>
          <w:sz w:val="18"/>
          <w:szCs w:val="18"/>
          <w:lang w:val="pt-BR"/>
        </w:rPr>
        <w:t>Democrac.IA (PEIRS) — Predictive Electoral Integrity &amp; Risk System</w:t>
      </w:r>
    </w:p>
    <w:p w14:paraId="6843F6D9" w14:textId="77777777" w:rsidR="005A358C" w:rsidRDefault="002F1C2C">
      <w:pPr>
        <w:jc w:val="center"/>
      </w:pPr>
      <w:r>
        <w:rPr>
          <w:color w:val="7F8C8D"/>
          <w:sz w:val="16"/>
          <w:szCs w:val="16"/>
        </w:rPr>
        <w:t>Documento generado: Marzo 2026</w:t>
      </w:r>
    </w:p>
    <w:sectPr w:rsidR="005A358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C9B5F" w14:textId="77777777" w:rsidR="00934B93" w:rsidRDefault="00934B93">
      <w:r>
        <w:separator/>
      </w:r>
    </w:p>
  </w:endnote>
  <w:endnote w:type="continuationSeparator" w:id="0">
    <w:p w14:paraId="3F2D2174" w14:textId="77777777" w:rsidR="00934B93" w:rsidRDefault="00934B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D3C0C" w14:textId="77777777" w:rsidR="005A358C" w:rsidRDefault="002F1C2C">
    <w:pPr>
      <w:pBdr>
        <w:top w:val="single" w:sz="1" w:space="4" w:color="CCCCCC"/>
      </w:pBdr>
      <w:jc w:val="center"/>
    </w:pPr>
    <w:r>
      <w:rPr>
        <w:color w:val="7F8C8D"/>
        <w:sz w:val="14"/>
        <w:szCs w:val="14"/>
      </w:rPr>
      <w:t xml:space="preserve">CONFIDENCIAL  |  Democrac.IA v0.1.0  |  Marzo 2026  |  Pag. </w:t>
    </w:r>
    <w:r>
      <w:rPr>
        <w:color w:val="7F8C8D"/>
        <w:sz w:val="14"/>
        <w:szCs w:val="14"/>
      </w:rPr>
      <w:fldChar w:fldCharType="begin"/>
    </w:r>
    <w:r>
      <w:rPr>
        <w:color w:val="7F8C8D"/>
        <w:sz w:val="14"/>
        <w:szCs w:val="14"/>
      </w:rPr>
      <w:instrText>PAGE</w:instrText>
    </w:r>
    <w:r>
      <w:rPr>
        <w:color w:val="7F8C8D"/>
        <w:sz w:val="14"/>
        <w:szCs w:val="14"/>
      </w:rPr>
      <w:fldChar w:fldCharType="separate"/>
    </w:r>
    <w:r w:rsidR="000A5CAA">
      <w:rPr>
        <w:noProof/>
        <w:color w:val="7F8C8D"/>
        <w:sz w:val="14"/>
        <w:szCs w:val="14"/>
      </w:rPr>
      <w:t>1</w:t>
    </w:r>
    <w:r>
      <w:rPr>
        <w:color w:val="7F8C8D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7FC3A" w14:textId="77777777" w:rsidR="00934B93" w:rsidRDefault="00934B93">
      <w:r>
        <w:separator/>
      </w:r>
    </w:p>
  </w:footnote>
  <w:footnote w:type="continuationSeparator" w:id="0">
    <w:p w14:paraId="49B1359B" w14:textId="77777777" w:rsidR="00934B93" w:rsidRDefault="00934B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C7913" w14:textId="77777777" w:rsidR="005A358C" w:rsidRPr="000A5CAA" w:rsidRDefault="002F1C2C">
    <w:pPr>
      <w:pBdr>
        <w:bottom w:val="single" w:sz="2" w:space="4" w:color="1B4F72"/>
      </w:pBdr>
      <w:jc w:val="right"/>
      <w:rPr>
        <w:lang w:val="pt-BR"/>
      </w:rPr>
    </w:pPr>
    <w:r w:rsidRPr="000A5CAA">
      <w:rPr>
        <w:b/>
        <w:bCs/>
        <w:color w:val="1B4F72"/>
        <w:sz w:val="16"/>
        <w:szCs w:val="16"/>
        <w:lang w:val="pt-BR"/>
      </w:rPr>
      <w:t>DEMOCRAC.IA (PEIRS)</w:t>
    </w:r>
    <w:r w:rsidRPr="000A5CAA">
      <w:rPr>
        <w:color w:val="7F8C8D"/>
        <w:sz w:val="16"/>
        <w:szCs w:val="16"/>
        <w:lang w:val="pt-BR"/>
      </w:rPr>
      <w:t xml:space="preserve">  |  Documento de Arquitectura y Roadmap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B4DF7"/>
    <w:multiLevelType w:val="hybridMultilevel"/>
    <w:tmpl w:val="A968ACF6"/>
    <w:lvl w:ilvl="0" w:tplc="FE98C810">
      <w:start w:val="1"/>
      <w:numFmt w:val="bullet"/>
      <w:lvlText w:val="●"/>
      <w:lvlJc w:val="left"/>
      <w:pPr>
        <w:ind w:left="720" w:hanging="360"/>
      </w:pPr>
    </w:lvl>
    <w:lvl w:ilvl="1" w:tplc="95F2E83C">
      <w:start w:val="1"/>
      <w:numFmt w:val="bullet"/>
      <w:lvlText w:val="○"/>
      <w:lvlJc w:val="left"/>
      <w:pPr>
        <w:ind w:left="1440" w:hanging="360"/>
      </w:pPr>
    </w:lvl>
    <w:lvl w:ilvl="2" w:tplc="E9341C3A">
      <w:start w:val="1"/>
      <w:numFmt w:val="bullet"/>
      <w:lvlText w:val="■"/>
      <w:lvlJc w:val="left"/>
      <w:pPr>
        <w:ind w:left="2160" w:hanging="360"/>
      </w:pPr>
    </w:lvl>
    <w:lvl w:ilvl="3" w:tplc="50C4DFF0">
      <w:start w:val="1"/>
      <w:numFmt w:val="bullet"/>
      <w:lvlText w:val="●"/>
      <w:lvlJc w:val="left"/>
      <w:pPr>
        <w:ind w:left="2880" w:hanging="360"/>
      </w:pPr>
    </w:lvl>
    <w:lvl w:ilvl="4" w:tplc="BA20D080">
      <w:start w:val="1"/>
      <w:numFmt w:val="bullet"/>
      <w:lvlText w:val="○"/>
      <w:lvlJc w:val="left"/>
      <w:pPr>
        <w:ind w:left="3600" w:hanging="360"/>
      </w:pPr>
    </w:lvl>
    <w:lvl w:ilvl="5" w:tplc="687CDEF8">
      <w:start w:val="1"/>
      <w:numFmt w:val="bullet"/>
      <w:lvlText w:val="■"/>
      <w:lvlJc w:val="left"/>
      <w:pPr>
        <w:ind w:left="4320" w:hanging="360"/>
      </w:pPr>
    </w:lvl>
    <w:lvl w:ilvl="6" w:tplc="6D4686CA">
      <w:start w:val="1"/>
      <w:numFmt w:val="bullet"/>
      <w:lvlText w:val="●"/>
      <w:lvlJc w:val="left"/>
      <w:pPr>
        <w:ind w:left="5040" w:hanging="360"/>
      </w:pPr>
    </w:lvl>
    <w:lvl w:ilvl="7" w:tplc="9480987A">
      <w:start w:val="1"/>
      <w:numFmt w:val="bullet"/>
      <w:lvlText w:val="●"/>
      <w:lvlJc w:val="left"/>
      <w:pPr>
        <w:ind w:left="5760" w:hanging="360"/>
      </w:pPr>
    </w:lvl>
    <w:lvl w:ilvl="8" w:tplc="06007C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3F5BFF"/>
    <w:multiLevelType w:val="hybridMultilevel"/>
    <w:tmpl w:val="1A50B29E"/>
    <w:lvl w:ilvl="0" w:tplc="C38A2D06">
      <w:start w:val="1"/>
      <w:numFmt w:val="bullet"/>
      <w:lvlText w:val="•"/>
      <w:lvlJc w:val="left"/>
      <w:pPr>
        <w:ind w:left="720" w:hanging="360"/>
      </w:pPr>
    </w:lvl>
    <w:lvl w:ilvl="1" w:tplc="860AB932">
      <w:numFmt w:val="decimal"/>
      <w:lvlText w:val=""/>
      <w:lvlJc w:val="left"/>
    </w:lvl>
    <w:lvl w:ilvl="2" w:tplc="3A3A3C96">
      <w:numFmt w:val="decimal"/>
      <w:lvlText w:val=""/>
      <w:lvlJc w:val="left"/>
    </w:lvl>
    <w:lvl w:ilvl="3" w:tplc="C7EACFDA">
      <w:numFmt w:val="decimal"/>
      <w:lvlText w:val=""/>
      <w:lvlJc w:val="left"/>
    </w:lvl>
    <w:lvl w:ilvl="4" w:tplc="632AA25E">
      <w:numFmt w:val="decimal"/>
      <w:lvlText w:val=""/>
      <w:lvlJc w:val="left"/>
    </w:lvl>
    <w:lvl w:ilvl="5" w:tplc="A288C8FA">
      <w:numFmt w:val="decimal"/>
      <w:lvlText w:val=""/>
      <w:lvlJc w:val="left"/>
    </w:lvl>
    <w:lvl w:ilvl="6" w:tplc="AC1E89D0">
      <w:numFmt w:val="decimal"/>
      <w:lvlText w:val=""/>
      <w:lvlJc w:val="left"/>
    </w:lvl>
    <w:lvl w:ilvl="7" w:tplc="7F5C6F74">
      <w:numFmt w:val="decimal"/>
      <w:lvlText w:val=""/>
      <w:lvlJc w:val="left"/>
    </w:lvl>
    <w:lvl w:ilvl="8" w:tplc="2744C2A4">
      <w:numFmt w:val="decimal"/>
      <w:lvlText w:val=""/>
      <w:lvlJc w:val="left"/>
    </w:lvl>
  </w:abstractNum>
  <w:abstractNum w:abstractNumId="2" w15:restartNumberingAfterBreak="0">
    <w:nsid w:val="6B377882"/>
    <w:multiLevelType w:val="hybridMultilevel"/>
    <w:tmpl w:val="AA02989A"/>
    <w:lvl w:ilvl="0" w:tplc="DEF27A2C">
      <w:start w:val="1"/>
      <w:numFmt w:val="decimal"/>
      <w:lvlText w:val="%1."/>
      <w:lvlJc w:val="left"/>
      <w:pPr>
        <w:ind w:left="720" w:hanging="360"/>
      </w:pPr>
    </w:lvl>
    <w:lvl w:ilvl="1" w:tplc="65144C06">
      <w:numFmt w:val="decimal"/>
      <w:lvlText w:val=""/>
      <w:lvlJc w:val="left"/>
    </w:lvl>
    <w:lvl w:ilvl="2" w:tplc="F684F0A0">
      <w:numFmt w:val="decimal"/>
      <w:lvlText w:val=""/>
      <w:lvlJc w:val="left"/>
    </w:lvl>
    <w:lvl w:ilvl="3" w:tplc="D2AED92E">
      <w:numFmt w:val="decimal"/>
      <w:lvlText w:val=""/>
      <w:lvlJc w:val="left"/>
    </w:lvl>
    <w:lvl w:ilvl="4" w:tplc="4CA48816">
      <w:numFmt w:val="decimal"/>
      <w:lvlText w:val=""/>
      <w:lvlJc w:val="left"/>
    </w:lvl>
    <w:lvl w:ilvl="5" w:tplc="1EE20518">
      <w:numFmt w:val="decimal"/>
      <w:lvlText w:val=""/>
      <w:lvlJc w:val="left"/>
    </w:lvl>
    <w:lvl w:ilvl="6" w:tplc="C1C2DD64">
      <w:numFmt w:val="decimal"/>
      <w:lvlText w:val=""/>
      <w:lvlJc w:val="left"/>
    </w:lvl>
    <w:lvl w:ilvl="7" w:tplc="F3C8F2E2">
      <w:numFmt w:val="decimal"/>
      <w:lvlText w:val=""/>
      <w:lvlJc w:val="left"/>
    </w:lvl>
    <w:lvl w:ilvl="8" w:tplc="78385EBC">
      <w:numFmt w:val="decimal"/>
      <w:lvlText w:val=""/>
      <w:lvlJc w:val="left"/>
    </w:lvl>
  </w:abstractNum>
  <w:num w:numId="1" w16cid:durableId="1326282663">
    <w:abstractNumId w:val="0"/>
    <w:lvlOverride w:ilvl="0">
      <w:startOverride w:val="1"/>
    </w:lvlOverride>
  </w:num>
  <w:num w:numId="2" w16cid:durableId="973633371">
    <w:abstractNumId w:val="1"/>
    <w:lvlOverride w:ilvl="0">
      <w:startOverride w:val="1"/>
    </w:lvlOverride>
  </w:num>
  <w:num w:numId="3" w16cid:durableId="14224218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8C"/>
    <w:rsid w:val="000A5CAA"/>
    <w:rsid w:val="00262A10"/>
    <w:rsid w:val="002F1C2C"/>
    <w:rsid w:val="005A358C"/>
    <w:rsid w:val="00934B93"/>
    <w:rsid w:val="00B54E77"/>
    <w:rsid w:val="00D8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1C1BB"/>
  <w15:docId w15:val="{75CD95C6-DD06-4901-B133-F2980D4D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1B4F72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00B89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6</Pages>
  <Words>1003</Words>
  <Characters>5519</Characters>
  <Application>Microsoft Office Word</Application>
  <DocSecurity>0</DocSecurity>
  <Lines>45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Mariana Lachman</cp:lastModifiedBy>
  <cp:revision>1</cp:revision>
  <dcterms:created xsi:type="dcterms:W3CDTF">2026-03-11T14:54:00Z</dcterms:created>
  <dcterms:modified xsi:type="dcterms:W3CDTF">2026-03-16T20:38:00Z</dcterms:modified>
</cp:coreProperties>
</file>