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0C20D" w14:textId="77777777" w:rsidR="005C1496" w:rsidRPr="00A352A3" w:rsidRDefault="005C1496" w:rsidP="00A352A3">
      <w:pPr>
        <w:jc w:val="center"/>
        <w:rPr>
          <w:rFonts w:ascii="Times New Roman" w:hAnsi="Times New Roman" w:cs="Times New Roman"/>
          <w:b/>
          <w:bCs/>
          <w:sz w:val="60"/>
          <w:szCs w:val="60"/>
        </w:rPr>
      </w:pPr>
      <w:r w:rsidRPr="00A352A3">
        <w:rPr>
          <w:rFonts w:ascii="Times New Roman" w:hAnsi="Times New Roman" w:cs="Times New Roman"/>
          <w:b/>
          <w:bCs/>
          <w:sz w:val="60"/>
          <w:szCs w:val="60"/>
        </w:rPr>
        <w:t>KFT-k</w:t>
      </w:r>
    </w:p>
    <w:p w14:paraId="2061E14E" w14:textId="2480F902" w:rsidR="005C1496" w:rsidRPr="00A352A3" w:rsidRDefault="005C1496" w:rsidP="005C1496">
      <w:pPr>
        <w:rPr>
          <w:rFonts w:ascii="Times New Roman" w:hAnsi="Times New Roman" w:cs="Times New Roman"/>
          <w:sz w:val="24"/>
          <w:szCs w:val="24"/>
        </w:rPr>
      </w:pPr>
      <w:r w:rsidRPr="00A352A3">
        <w:rPr>
          <w:rFonts w:ascii="Times New Roman" w:hAnsi="Times New Roman" w:cs="Times New Roman"/>
          <w:sz w:val="24"/>
          <w:szCs w:val="24"/>
        </w:rPr>
        <w:t>A korlátolt felelősségű társaság 1 vagy több tag közös üzletszerű gazdasági tevékenysége. Amennyiben a KFT-</w:t>
      </w:r>
      <w:proofErr w:type="spellStart"/>
      <w:r w:rsidRPr="00A352A3">
        <w:rPr>
          <w:rFonts w:ascii="Times New Roman" w:hAnsi="Times New Roman" w:cs="Times New Roman"/>
          <w:sz w:val="24"/>
          <w:szCs w:val="24"/>
        </w:rPr>
        <w:t>nek</w:t>
      </w:r>
      <w:proofErr w:type="spellEnd"/>
      <w:r w:rsidRPr="00A352A3">
        <w:rPr>
          <w:rFonts w:ascii="Times New Roman" w:hAnsi="Times New Roman" w:cs="Times New Roman"/>
          <w:sz w:val="24"/>
          <w:szCs w:val="24"/>
        </w:rPr>
        <w:t xml:space="preserve"> 1 tagja van azt egyszemélyes gazdasági társaságnak nevezzük.</w:t>
      </w:r>
      <w:r w:rsidRPr="00A352A3">
        <w:rPr>
          <w:rFonts w:ascii="Times New Roman" w:hAnsi="Times New Roman" w:cs="Times New Roman"/>
          <w:sz w:val="24"/>
          <w:szCs w:val="24"/>
        </w:rPr>
        <w:t xml:space="preserve"> </w:t>
      </w:r>
      <w:r w:rsidRPr="00A352A3">
        <w:rPr>
          <w:rFonts w:ascii="Times New Roman" w:hAnsi="Times New Roman" w:cs="Times New Roman"/>
          <w:sz w:val="24"/>
          <w:szCs w:val="24"/>
        </w:rPr>
        <w:t>KFT-t létrehozni több tag esetén társasági szerződéssel, mint létesítő okirattal tudunk, ha egyszemélyes KFT-t hozunk létre azt alapító okirattal tehetjük meg, amit korlátozás nélkül,</w:t>
      </w:r>
      <w:r w:rsidRPr="00A352A3">
        <w:rPr>
          <w:rFonts w:ascii="Times New Roman" w:hAnsi="Times New Roman" w:cs="Times New Roman"/>
          <w:sz w:val="24"/>
          <w:szCs w:val="24"/>
        </w:rPr>
        <w:t xml:space="preserve"> </w:t>
      </w:r>
      <w:r w:rsidRPr="00A352A3">
        <w:rPr>
          <w:rFonts w:ascii="Times New Roman" w:hAnsi="Times New Roman" w:cs="Times New Roman"/>
          <w:sz w:val="24"/>
          <w:szCs w:val="24"/>
        </w:rPr>
        <w:t>természetes személy és jogi személy egyaránt megtehet. A törzstőke minimum 3 millió Ft, a törzsbetét minimum 100 ezer Ft értékű pénzbeli hozzájárulás vagy apport. A tagok kötelezettsége kizárólag a saját törzsbetétük szolgáltatásaira vonatkozik. Ha a tag korlátozott felelősségével visszaélt felelősség</w:t>
      </w:r>
      <w:r w:rsidR="00A352A3">
        <w:rPr>
          <w:rFonts w:ascii="Times New Roman" w:hAnsi="Times New Roman" w:cs="Times New Roman"/>
          <w:sz w:val="24"/>
          <w:szCs w:val="24"/>
        </w:rPr>
        <w:t xml:space="preserve"> </w:t>
      </w:r>
      <w:r w:rsidRPr="00A352A3">
        <w:rPr>
          <w:rFonts w:ascii="Times New Roman" w:hAnsi="Times New Roman" w:cs="Times New Roman"/>
          <w:sz w:val="24"/>
          <w:szCs w:val="24"/>
        </w:rPr>
        <w:t xml:space="preserve">átvitel fog bekövetkezni mikor is tényleges helytállási kötelezettsége lesz a tagnak, ezt lepelátszúrásnak nevezzük. Az üzletrész </w:t>
      </w:r>
      <w:r w:rsidRPr="00A352A3">
        <w:rPr>
          <w:rFonts w:ascii="Times New Roman" w:hAnsi="Times New Roman" w:cs="Times New Roman"/>
          <w:sz w:val="24"/>
          <w:szCs w:val="24"/>
        </w:rPr>
        <w:t xml:space="preserve">a </w:t>
      </w:r>
      <w:r w:rsidRPr="00A352A3">
        <w:rPr>
          <w:rFonts w:ascii="Times New Roman" w:hAnsi="Times New Roman" w:cs="Times New Roman"/>
          <w:sz w:val="24"/>
          <w:szCs w:val="24"/>
        </w:rPr>
        <w:t>törzsbetéthez kapcsolódó tagsági jogokat és kötelezettségeket írja le, mértéke a törzsbetét arányához igazodik (azonos mértékű üzletrészhez azonos mértékű tagsági jog tartozik), értéke alapításkor a törzsbetéthez később a társaság eredményességétől függ. Alapításkor 2 szervezeti egységre van szükségünk.</w:t>
      </w:r>
      <w:r w:rsidRPr="00A352A3">
        <w:rPr>
          <w:rFonts w:ascii="Times New Roman" w:hAnsi="Times New Roman" w:cs="Times New Roman"/>
          <w:sz w:val="24"/>
          <w:szCs w:val="24"/>
        </w:rPr>
        <w:t xml:space="preserve"> </w:t>
      </w:r>
      <w:r w:rsidRPr="00A352A3">
        <w:rPr>
          <w:rFonts w:ascii="Times New Roman" w:hAnsi="Times New Roman" w:cs="Times New Roman"/>
          <w:sz w:val="24"/>
          <w:szCs w:val="24"/>
        </w:rPr>
        <w:t>Az egyik a vezető tisztségviselő (ügyvezető) ez lehet 1 vagy több személy, tagsághoz nincs kötve,</w:t>
      </w:r>
      <w:r w:rsidRPr="00A352A3">
        <w:rPr>
          <w:rFonts w:ascii="Times New Roman" w:hAnsi="Times New Roman" w:cs="Times New Roman"/>
          <w:sz w:val="24"/>
          <w:szCs w:val="24"/>
        </w:rPr>
        <w:t xml:space="preserve"> </w:t>
      </w:r>
      <w:r w:rsidRPr="00A352A3">
        <w:rPr>
          <w:rFonts w:ascii="Times New Roman" w:hAnsi="Times New Roman" w:cs="Times New Roman"/>
          <w:sz w:val="24"/>
          <w:szCs w:val="24"/>
        </w:rPr>
        <w:t xml:space="preserve">a cégjegyzési jog önálló vagy együttes is lehet. A másik egység, ami egyben a legfőbb szerv; a taggyűlés egyszemélyes KFT-nél egyedüli tag gyakorolja. Legalább évente 1-et tartani kell, egy taggyűlés határozatképes, ha a leadható szavazatok legalább fele képviselve van, egyszerű, minősített, egyhangú szavazással hozható határozat, ezek a határozatok könyvébe kerülnek beírásra. Tagok közreműködése a következő formákban lehetséges: munkaviszony alapján, tagsági viszony alapján, mellékszolgáltatás alapján vagy személyes közreműködés nélkül. A veszteség pótolható tagi kölcsönnel, régi vagy új tag új törzsbetét szolgáltatásával vagy pótbefizetéssel. A társaság osztalék formájában a tagot a taggyűlés döntése alapján a </w:t>
      </w:r>
      <w:proofErr w:type="spellStart"/>
      <w:r w:rsidRPr="00A352A3">
        <w:rPr>
          <w:rFonts w:ascii="Times New Roman" w:hAnsi="Times New Roman" w:cs="Times New Roman"/>
          <w:sz w:val="24"/>
          <w:szCs w:val="24"/>
        </w:rPr>
        <w:t>törzsbetéte</w:t>
      </w:r>
      <w:proofErr w:type="spellEnd"/>
      <w:r w:rsidRPr="00A352A3">
        <w:rPr>
          <w:rFonts w:ascii="Times New Roman" w:hAnsi="Times New Roman" w:cs="Times New Roman"/>
          <w:sz w:val="24"/>
          <w:szCs w:val="24"/>
        </w:rPr>
        <w:t xml:space="preserve"> arányában fizeti ki az éves beszámoló után. Osztalékelőleget fizethet a társaság 2 évesbeszámoló elfogadása közötti időszakban közbenső mérleg alapján, de ha az ezt követő éves beszámoló szerint nincs lehetőség osztalék fizetésére akkor az osztalékelőleget köteles a tag visszafizetni.</w:t>
      </w:r>
      <w:r w:rsidRPr="00A352A3">
        <w:rPr>
          <w:rFonts w:ascii="Times New Roman" w:hAnsi="Times New Roman" w:cs="Times New Roman"/>
          <w:sz w:val="24"/>
          <w:szCs w:val="24"/>
        </w:rPr>
        <w:t xml:space="preserve"> </w:t>
      </w:r>
      <w:r w:rsidRPr="00A352A3">
        <w:rPr>
          <w:rFonts w:ascii="Times New Roman" w:hAnsi="Times New Roman" w:cs="Times New Roman"/>
          <w:sz w:val="24"/>
          <w:szCs w:val="24"/>
        </w:rPr>
        <w:t>A tagsági viszony megszűnhet vagyoni hozzájárulás nem teljesítése, tag kizárása, üzletrész-átruházása végett, illetve természetes személy halála esetén (ekkor örökösre száll a tagsági jog) vagy jogi személy megszűnésekor (jogutódlással való megszűnés esetén jogutódra száll a tagsági jog). Üzletrész-átruházás írásbeli szerződéssel történik, a tagváltozás KFT-</w:t>
      </w:r>
      <w:proofErr w:type="spellStart"/>
      <w:r w:rsidRPr="00A352A3">
        <w:rPr>
          <w:rFonts w:ascii="Times New Roman" w:hAnsi="Times New Roman" w:cs="Times New Roman"/>
          <w:sz w:val="24"/>
          <w:szCs w:val="24"/>
        </w:rPr>
        <w:t>nek</w:t>
      </w:r>
      <w:proofErr w:type="spellEnd"/>
      <w:r w:rsidRPr="00A352A3">
        <w:rPr>
          <w:rFonts w:ascii="Times New Roman" w:hAnsi="Times New Roman" w:cs="Times New Roman"/>
          <w:sz w:val="24"/>
          <w:szCs w:val="24"/>
        </w:rPr>
        <w:t xml:space="preserve"> való bejelentésétől gyakorolhatja a tagsági jogokat. Másik tagra feltétel nélkül szabadon át lehet ruházni, ellenben kívülálló személyre csak ha az elővásárlási joggal nem élnek a tagok, a KFT vagy a taggyűlés által kijelölt személyek és a törzsbetét teljes befizetése is megvalósul.</w:t>
      </w:r>
      <w:r w:rsidRPr="00A352A3">
        <w:rPr>
          <w:rFonts w:ascii="Times New Roman" w:hAnsi="Times New Roman" w:cs="Times New Roman"/>
          <w:sz w:val="24"/>
          <w:szCs w:val="24"/>
        </w:rPr>
        <w:t xml:space="preserve"> </w:t>
      </w:r>
      <w:r w:rsidRPr="00A352A3">
        <w:rPr>
          <w:rFonts w:ascii="Times New Roman" w:hAnsi="Times New Roman" w:cs="Times New Roman"/>
          <w:sz w:val="24"/>
          <w:szCs w:val="24"/>
        </w:rPr>
        <w:t>A társaság megszűnhet jogutód nélkül végelszámolás vagy felszámolás keretében, illetve jogutódlással is megszűnhet átalakulás, egyesülés vagy szétválás formájában.</w:t>
      </w:r>
    </w:p>
    <w:p w14:paraId="44FEEFA7" w14:textId="3EDC6C1C" w:rsidR="00A352A3" w:rsidRPr="00A352A3" w:rsidRDefault="00A352A3" w:rsidP="00A352A3">
      <w:pPr>
        <w:pageBreakBefore/>
        <w:jc w:val="center"/>
        <w:rPr>
          <w:rFonts w:ascii="Times New Roman" w:hAnsi="Times New Roman" w:cs="Times New Roman"/>
          <w:b/>
          <w:bCs/>
          <w:sz w:val="60"/>
          <w:szCs w:val="60"/>
        </w:rPr>
      </w:pPr>
      <w:r w:rsidRPr="00A352A3">
        <w:rPr>
          <w:rFonts w:ascii="Times New Roman" w:hAnsi="Times New Roman" w:cs="Times New Roman"/>
          <w:b/>
          <w:bCs/>
          <w:sz w:val="60"/>
          <w:szCs w:val="60"/>
        </w:rPr>
        <w:lastRenderedPageBreak/>
        <w:t>Bt</w:t>
      </w:r>
    </w:p>
    <w:p w14:paraId="4D91106D" w14:textId="15A3B90D" w:rsidR="00A352A3" w:rsidRDefault="00A352A3" w:rsidP="005C1496">
      <w:pPr>
        <w:rPr>
          <w:rFonts w:ascii="Times New Roman" w:hAnsi="Times New Roman" w:cs="Times New Roman"/>
          <w:sz w:val="24"/>
          <w:szCs w:val="24"/>
        </w:rPr>
      </w:pPr>
      <w:r w:rsidRPr="00A352A3">
        <w:rPr>
          <w:rFonts w:ascii="Times New Roman" w:hAnsi="Times New Roman" w:cs="Times New Roman"/>
          <w:sz w:val="24"/>
          <w:szCs w:val="24"/>
        </w:rPr>
        <w:t xml:space="preserve">A betéti társaság legalább 2 tag üzletszerű gazdasági tevékenysége. A Bt létrehozó okirata egy társasági szerződés, amelyet legalább 1 beltag és 1 kültag köt. A beltag nagykorú természetes személy vagy jogi személy lehet, de tilos a felelősséghalmozás (nem lehet már korlátlan helytállási kötelezettsége). A kültag bármely természetes vagy jogi személy lehet. Bt jegyzett tőkéjének minimális nagysága nincs meghatározva. A vagyoni hozzájárulás kötelező (pénzbeli hozzájárulás vagy apport), de nincs minimum. A társaság helytállási kötelezettségeit illetően elsődlegesen a társaság saját vagyonával, másodlagosan viszont a beltagok egyetemlegesen és korlátlanul és mögöttes jelleggel felelnek, tehát teljes magánvagyonukkal felelősek, de csak ha a társasági vagyon nem tudja fedezni a tartozásokat. A kültagnak helytállási kötelezettsége nincs csak a vagyoni hozzájárulás szolgáltatása. Belépő beltag a többi taggal egyenlően felel a tartozásokért, kivéve, ha a társasági szerződés mást ír elő. A társaságtól megváló beltag 5 évig felel a megszűnés előtti tartozásokért. Meghalt beltag örökösének az örökrész erejéig van helytállási kötelezettsége vagy megegyezve a tagokkal beltagként belép a társaságba. A Bt legfőbb szervezete a tagok gyűlése, minden tagnak legalább 1 szavazata van, egyszerű, minősített, egyhangú döntés hozható. A másik fő szerv a vezető tisztségviselő (ügyvezető), lehet 1 vagy több tag, </w:t>
      </w:r>
      <w:proofErr w:type="spellStart"/>
      <w:r w:rsidRPr="00A352A3">
        <w:rPr>
          <w:rFonts w:ascii="Times New Roman" w:hAnsi="Times New Roman" w:cs="Times New Roman"/>
          <w:sz w:val="24"/>
          <w:szCs w:val="24"/>
        </w:rPr>
        <w:t>kül</w:t>
      </w:r>
      <w:proofErr w:type="spellEnd"/>
      <w:r w:rsidRPr="00A352A3">
        <w:rPr>
          <w:rFonts w:ascii="Times New Roman" w:hAnsi="Times New Roman" w:cs="Times New Roman"/>
          <w:sz w:val="24"/>
          <w:szCs w:val="24"/>
        </w:rPr>
        <w:t xml:space="preserve">- vagy beltagok közül választható, a cégjegyzési joga lehet önálló vagy együttes. A társasági jogviszony 8 féle </w:t>
      </w:r>
      <w:proofErr w:type="spellStart"/>
      <w:r w:rsidRPr="00A352A3">
        <w:rPr>
          <w:rFonts w:ascii="Times New Roman" w:hAnsi="Times New Roman" w:cs="Times New Roman"/>
          <w:sz w:val="24"/>
          <w:szCs w:val="24"/>
        </w:rPr>
        <w:t>képpen</w:t>
      </w:r>
      <w:proofErr w:type="spellEnd"/>
      <w:r w:rsidRPr="00A352A3">
        <w:rPr>
          <w:rFonts w:ascii="Times New Roman" w:hAnsi="Times New Roman" w:cs="Times New Roman"/>
          <w:sz w:val="24"/>
          <w:szCs w:val="24"/>
        </w:rPr>
        <w:t xml:space="preserve"> szűnhet meg; ha a vagyoni hozzájárulást felszólítás ellenére sem teljesítik, a tagok közösen megegyeznek, ha a tag felmondd (írásban történik, 3 hónap a felmondási idő), ha a tag azonnali hatállyal felmondd (ez is írásban történik, ok meghatározása kötelező, ekkor nincs felmondási idő),ha a tag társasági részesedését átruházza, ha a tagot kizárják (a tagok gyűlésének ¾-es határozata szükséges), elhalálozik vagy megszűnik, ha a tag tagsági viszonya fenntartása jogszabályba ütközik. A tagsági jogviszony megszűnése esetén a Bt-nek elszámolási kötelezettsége van, kivéve ha a részesedés átruházására került sor. A elszámolandó összeget a vagyoni hozzájárulás mértékének, és a jogviszony megszűnésének időpontjában a társasági vagyon értékének függvényében határozzák meg, 3 hónapon belül pénzbeli kifizetésre kell hogy kerüljön sor. Ha a tagok száma 1 főre csökken és 6 hónapon belül nem jelentenek be új tagot akkor a betéti társaság megszűnik. Jogutód nélkül megszűnhet végelszámolás vagy felszámolás útján. Jogutódlással megszűnhet átalakulás, egyesülés vagy szétválás során.</w:t>
      </w:r>
    </w:p>
    <w:p w14:paraId="384D6C21" w14:textId="77777777" w:rsidR="00A352A3" w:rsidRPr="00A352A3" w:rsidRDefault="00A352A3" w:rsidP="00A352A3">
      <w:pPr>
        <w:rPr>
          <w:rFonts w:ascii="Times New Roman" w:hAnsi="Times New Roman" w:cs="Times New Roman"/>
          <w:b/>
          <w:bCs/>
          <w:sz w:val="40"/>
          <w:szCs w:val="40"/>
        </w:rPr>
      </w:pPr>
      <w:r w:rsidRPr="00A352A3">
        <w:rPr>
          <w:rFonts w:ascii="Times New Roman" w:hAnsi="Times New Roman" w:cs="Times New Roman"/>
          <w:b/>
          <w:bCs/>
          <w:sz w:val="40"/>
          <w:szCs w:val="40"/>
        </w:rPr>
        <w:t xml:space="preserve">Felelősséghalmozás </w:t>
      </w:r>
    </w:p>
    <w:p w14:paraId="0D3A0D86" w14:textId="77777777" w:rsidR="00A352A3" w:rsidRPr="00A352A3" w:rsidRDefault="00A352A3" w:rsidP="00A352A3">
      <w:pPr>
        <w:rPr>
          <w:rFonts w:ascii="Times New Roman" w:hAnsi="Times New Roman" w:cs="Times New Roman"/>
          <w:sz w:val="24"/>
          <w:szCs w:val="24"/>
        </w:rPr>
      </w:pPr>
      <w:r w:rsidRPr="00A352A3">
        <w:rPr>
          <w:rFonts w:ascii="Times New Roman" w:hAnsi="Times New Roman" w:cs="Times New Roman"/>
          <w:sz w:val="24"/>
          <w:szCs w:val="24"/>
        </w:rPr>
        <w:t xml:space="preserve">A magyar jogrendszerben a felelősséghalmozást tiltja törvény tiltja. Ez azt jelenti, hogy természetes személy egyidejűleg csak egy gazdasági társaságnak lehet korlátlanul felelős tagja, illetve egyszemélyes gazdasági társaség nem lehet gazdasági társaság egyedüli tagja, részvényese, hacsak a törvény nem rendelkezik ettől eltérően. Ezek a korlátozások a közérdek- és a hitelezők védelmében vannak, ugyanis egy korlátlan felelősségű tag a társaság tartozásaiért a teljes magánvagyonával köteles helytállni, ha ezeket a társaság vagyona nem fedezi. Ha tehát ugyanazon személy a vagyonát egyszerre több társaságban is korlátlanul terhelné, a korlátlan felelősségben rejlő biztosíték a hitelezők felé </w:t>
      </w:r>
      <w:proofErr w:type="spellStart"/>
      <w:r w:rsidRPr="00A352A3">
        <w:rPr>
          <w:rFonts w:ascii="Times New Roman" w:hAnsi="Times New Roman" w:cs="Times New Roman"/>
          <w:sz w:val="24"/>
          <w:szCs w:val="24"/>
        </w:rPr>
        <w:t>leértékelődne</w:t>
      </w:r>
      <w:proofErr w:type="spellEnd"/>
      <w:r w:rsidRPr="00A352A3">
        <w:rPr>
          <w:rFonts w:ascii="Times New Roman" w:hAnsi="Times New Roman" w:cs="Times New Roman"/>
          <w:sz w:val="24"/>
          <w:szCs w:val="24"/>
        </w:rPr>
        <w:t xml:space="preserve"> vagy akár végrehajthatatlanná válna</w:t>
      </w:r>
    </w:p>
    <w:p w14:paraId="376EFF85" w14:textId="77777777" w:rsidR="00A352A3" w:rsidRPr="00A352A3" w:rsidRDefault="00A352A3" w:rsidP="005C1496">
      <w:pPr>
        <w:rPr>
          <w:rFonts w:ascii="Times New Roman" w:hAnsi="Times New Roman" w:cs="Times New Roman"/>
          <w:sz w:val="24"/>
          <w:szCs w:val="24"/>
        </w:rPr>
      </w:pPr>
    </w:p>
    <w:p w14:paraId="408DCCF1" w14:textId="292C417E" w:rsidR="00A352A3" w:rsidRPr="00A352A3" w:rsidRDefault="00A352A3" w:rsidP="00A352A3">
      <w:pPr>
        <w:pageBreakBefore/>
        <w:jc w:val="center"/>
        <w:rPr>
          <w:rFonts w:ascii="Times New Roman" w:hAnsi="Times New Roman" w:cs="Times New Roman"/>
          <w:b/>
          <w:bCs/>
          <w:sz w:val="60"/>
          <w:szCs w:val="60"/>
        </w:rPr>
      </w:pPr>
      <w:r w:rsidRPr="00A352A3">
        <w:rPr>
          <w:rFonts w:ascii="Times New Roman" w:hAnsi="Times New Roman" w:cs="Times New Roman"/>
          <w:b/>
          <w:bCs/>
          <w:sz w:val="60"/>
          <w:szCs w:val="60"/>
        </w:rPr>
        <w:lastRenderedPageBreak/>
        <w:t>Cselekvőképesség</w:t>
      </w:r>
    </w:p>
    <w:p w14:paraId="518F6B5F" w14:textId="06170B4F" w:rsidR="00A352A3" w:rsidRPr="00A352A3" w:rsidRDefault="00A352A3" w:rsidP="005C1496">
      <w:pPr>
        <w:rPr>
          <w:rFonts w:ascii="Times New Roman" w:hAnsi="Times New Roman" w:cs="Times New Roman"/>
          <w:sz w:val="24"/>
          <w:szCs w:val="24"/>
        </w:rPr>
      </w:pPr>
      <w:r w:rsidRPr="00A352A3">
        <w:rPr>
          <w:rFonts w:ascii="Times New Roman" w:hAnsi="Times New Roman" w:cs="Times New Roman"/>
          <w:sz w:val="24"/>
          <w:szCs w:val="24"/>
        </w:rPr>
        <w:t>A cselekvőképesség, az ember azon tulajdonsága, hogy maga szerződést köthet, vagy más jognyilatkozatot tehet. A cselekvőképes az a személy, aki 18. életévét betöltötte és belátási képességét semmi sem korlátozza. Korlátozottan cselekvőképes az, akinek életkora 14 és 18 év között van, vagy ha belátási képessége tartósan vagy időszakonként nagy mértékben csökken, ezen esetekben csak meghatározott ügykörökben tehet jognyilatkozatot (személyes jellegű jognyilatkozatok, kisebb jelentőségű, mindennapos szerződések, rendelkezés munkával szerzett keresménnyel, kizárólag előnyös szerződés megkötése), máskülönben csak a törvényes képviselő hozzájárulásával tehet. Cselekvőképtelen az a személy, aki 14 évnél fiatalabb, vagy belátási képessége tartósan nagy mértékben csökkent, jognyilatkozatot csak a gondviselő tehet a nevében, kivétel a mindennapi életben tömegesen előforduló, különösebb megfontolást nem igénylő, csekély jelentőségű szerződések. A gondnokság nélküli cselekvőképtelenség, amikor a személy belátási képessége teljesen elvész (gyógyszer/alkohol hatása alatt van stb.), ekkor a jognyilatkozat tétele semmis, kivéve, ha arra lehet következtetni, hogy a fél cselekvőképes állapotában is indokolt lett volna ez a jognyilatkozat, ez alól az egyetlen kivétel a végrendelet.</w:t>
      </w:r>
    </w:p>
    <w:p w14:paraId="556A6369" w14:textId="1A8616ED" w:rsidR="00A352A3" w:rsidRPr="00A352A3" w:rsidRDefault="00A352A3" w:rsidP="00A352A3">
      <w:pPr>
        <w:jc w:val="center"/>
        <w:rPr>
          <w:rFonts w:ascii="Times New Roman" w:hAnsi="Times New Roman" w:cs="Times New Roman"/>
          <w:b/>
          <w:bCs/>
          <w:sz w:val="40"/>
          <w:szCs w:val="40"/>
        </w:rPr>
      </w:pPr>
      <w:r w:rsidRPr="00A352A3">
        <w:rPr>
          <w:rFonts w:ascii="Times New Roman" w:hAnsi="Times New Roman" w:cs="Times New Roman"/>
          <w:b/>
          <w:bCs/>
          <w:sz w:val="40"/>
          <w:szCs w:val="40"/>
        </w:rPr>
        <w:t>Jogképesség</w:t>
      </w:r>
    </w:p>
    <w:p w14:paraId="2D62596D" w14:textId="77777777" w:rsidR="00A352A3" w:rsidRPr="00A352A3" w:rsidRDefault="00A352A3" w:rsidP="005C1496">
      <w:pPr>
        <w:rPr>
          <w:rFonts w:ascii="Times New Roman" w:hAnsi="Times New Roman" w:cs="Times New Roman"/>
          <w:sz w:val="24"/>
          <w:szCs w:val="24"/>
        </w:rPr>
      </w:pPr>
      <w:r w:rsidRPr="00A352A3">
        <w:rPr>
          <w:rFonts w:ascii="Times New Roman" w:hAnsi="Times New Roman" w:cs="Times New Roman"/>
          <w:sz w:val="24"/>
          <w:szCs w:val="24"/>
        </w:rPr>
        <w:t xml:space="preserve">A jogképesség jogalanyok azon képessége, hogy kötelezettségeket vállalhat, jogokat szerezhet. Jogalany, lehet természetes személy, aki eredeti jogalany, illetve lehet jogi személy, ami pedig származtatott jogalany. Természetes személy jogképessége minden emberre vonatkozik, feltétlen és egyenlő (faj, nem, szexuális beállítottság stb. nincs hatással rá). Az ember jogképessége élve születés esetén fogamzástól tart, a magzat jogainak megóvása érdekében gyám rendelhető. A jogképesség halálig tart tehát, a halál tényének megállapítása (ha nincs az eltűnt személy életben létére utaló jel 5 év után halottá nyilvánítják) után a jogképessége, házassága megszűnik és elindul az öröklődés. A jogi személyek függetlenek az alapítótól, nem tudnak meghalni (túl élheti az alapítót), önálló vagyoni felelőssége van (általában a tagok nem tartoznak felelősséggel), a vagyont visszavonni nem lehet. Jogi személy saját neve alatt szerez jogokat és kötelezettségeket, a belső szabályzata alapján működik, szervezeti képviselő jár el a vagyontömeg nevében. A Jogi személyek államilag elismertek, cégeket a Cégbíróság, non-profit szervezeteket a Törvényszék, költségvetési szervezeteket a Magyar Államkincstár vesz nyilvántartásba. A jogi személy jogképessége nyilvántartásba vételtől a nyilvántartásból való törlésig tart. jogképességük azon jogokra és kötelezettségekre terjed ki, amelyek jellegüknél fogva nem csupán emberhez fűződhetnek (perelhet és perelhető, szerződéseket köthet stb.). </w:t>
      </w:r>
    </w:p>
    <w:sectPr w:rsidR="00A352A3" w:rsidRPr="00A352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96"/>
    <w:rsid w:val="005C1496"/>
    <w:rsid w:val="00A352A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F39B1"/>
  <w15:chartTrackingRefBased/>
  <w15:docId w15:val="{3E21854E-FA13-4DB0-BB75-CBB4CFA1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1165</Words>
  <Characters>8046</Characters>
  <Application>Microsoft Office Word</Application>
  <DocSecurity>0</DocSecurity>
  <Lines>67</Lines>
  <Paragraphs>18</Paragraphs>
  <ScaleCrop>false</ScaleCrop>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Szemán László</dc:creator>
  <cp:keywords/>
  <dc:description/>
  <cp:lastModifiedBy>Szemán László</cp:lastModifiedBy>
  <cp:revision>3</cp:revision>
  <dcterms:created xsi:type="dcterms:W3CDTF">2023-12-01T19:57:00Z</dcterms:created>
  <dcterms:modified xsi:type="dcterms:W3CDTF">2023-12-01T20:05:00Z</dcterms:modified>
</cp:coreProperties>
</file>