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EC837" w14:textId="30C8B9E6" w:rsidR="000A6BE3" w:rsidRPr="0043660D" w:rsidRDefault="000A6BE3" w:rsidP="000A6BE3">
      <w:pPr>
        <w:rPr>
          <w:highlight w:val="green"/>
        </w:rPr>
      </w:pPr>
      <w:r w:rsidRPr="0043660D">
        <w:rPr>
          <w:highlight w:val="green"/>
        </w:rPr>
        <w:t>Jó válaszok:</w:t>
      </w:r>
    </w:p>
    <w:p w14:paraId="38C233D8" w14:textId="77777777" w:rsidR="000A6BE3" w:rsidRPr="0043660D" w:rsidRDefault="000A6BE3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Ha a hamis alternatív hipotézist elfogadjuk, elsőfajú hibát követünk el</w:t>
      </w:r>
    </w:p>
    <w:p w14:paraId="505063BE" w14:textId="77777777" w:rsidR="000A6BE3" w:rsidRPr="0043660D" w:rsidRDefault="000A6BE3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Az egymintás t-próba alkalmazási feltétele: normális eloszlású FAE minta.</w:t>
      </w:r>
    </w:p>
    <w:p w14:paraId="474FDC53" w14:textId="6E7348C5" w:rsidR="00DE1FD7" w:rsidRPr="0043660D" w:rsidRDefault="00DE1FD7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standard normális eloszlásnál, ha p1&lt;p2p1&lt;p2, akkor zp1&lt;zp2zp1&lt;zp2, (0&lt;p</w:t>
      </w:r>
      <w:proofErr w:type="gramStart"/>
      <w:r w:rsidRPr="0043660D">
        <w:rPr>
          <w:highlight w:val="green"/>
        </w:rPr>
        <w:t>1,p</w:t>
      </w:r>
      <w:proofErr w:type="gramEnd"/>
      <w:r w:rsidRPr="0043660D">
        <w:rPr>
          <w:highlight w:val="green"/>
        </w:rPr>
        <w:t>2&lt;</w:t>
      </w:r>
      <w:proofErr w:type="gramStart"/>
      <w:r w:rsidRPr="0043660D">
        <w:rPr>
          <w:highlight w:val="green"/>
        </w:rPr>
        <w:t>1)(</w:t>
      </w:r>
      <w:proofErr w:type="gramEnd"/>
      <w:r w:rsidRPr="0043660D">
        <w:rPr>
          <w:highlight w:val="green"/>
        </w:rPr>
        <w:t>0&lt;p</w:t>
      </w:r>
      <w:proofErr w:type="gramStart"/>
      <w:r w:rsidRPr="0043660D">
        <w:rPr>
          <w:highlight w:val="green"/>
        </w:rPr>
        <w:t>1,p</w:t>
      </w:r>
      <w:proofErr w:type="gramEnd"/>
      <w:r w:rsidRPr="0043660D">
        <w:rPr>
          <w:highlight w:val="green"/>
        </w:rPr>
        <w:t>2&lt;1)</w:t>
      </w:r>
    </w:p>
    <w:p w14:paraId="36E6CA1E" w14:textId="77777777" w:rsidR="00E863AC" w:rsidRPr="0043660D" w:rsidRDefault="00E863AC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próbafüggvény eloszlása H0 teljesülése esetén ismert.</w:t>
      </w:r>
    </w:p>
    <w:p w14:paraId="056CAEC8" w14:textId="49A80240" w:rsidR="000A6BE3" w:rsidRPr="0043660D" w:rsidRDefault="00E863AC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Egyoldali alternatíváról való döntéskor a számított kétoldali p-érték (</w:t>
      </w:r>
      <w:proofErr w:type="spellStart"/>
      <w:r w:rsidRPr="0043660D">
        <w:rPr>
          <w:highlight w:val="green"/>
        </w:rPr>
        <w:t>sig</w:t>
      </w:r>
      <w:proofErr w:type="spellEnd"/>
      <w:r w:rsidRPr="0043660D">
        <w:rPr>
          <w:highlight w:val="green"/>
        </w:rPr>
        <w:t>(2-tailed)) felét kell tekinteni.</w:t>
      </w:r>
    </w:p>
    <w:p w14:paraId="69E51991" w14:textId="77777777" w:rsidR="0082499C" w:rsidRPr="0043660D" w:rsidRDefault="0082499C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szórásra vonatkozó khi-négyzet próba esetén a H0: σ=σ</w:t>
      </w:r>
      <w:r w:rsidRPr="0043660D">
        <w:rPr>
          <w:highlight w:val="green"/>
          <w:vertAlign w:val="subscript"/>
        </w:rPr>
        <w:t>0</w:t>
      </w:r>
      <w:r w:rsidRPr="0043660D">
        <w:rPr>
          <w:highlight w:val="green"/>
        </w:rPr>
        <w:t xml:space="preserve"> nullhipotézissel ekvivalens a következő: H0: σ</w:t>
      </w:r>
      <w:r w:rsidRPr="0043660D">
        <w:rPr>
          <w:highlight w:val="green"/>
          <w:vertAlign w:val="superscript"/>
        </w:rPr>
        <w:t>2</w:t>
      </w:r>
      <w:r w:rsidRPr="0043660D">
        <w:rPr>
          <w:highlight w:val="green"/>
        </w:rPr>
        <w:t>=σ</w:t>
      </w:r>
      <w:r w:rsidRPr="0043660D">
        <w:rPr>
          <w:highlight w:val="green"/>
          <w:vertAlign w:val="superscript"/>
        </w:rPr>
        <w:t>2</w:t>
      </w:r>
      <w:r w:rsidRPr="0043660D">
        <w:rPr>
          <w:highlight w:val="green"/>
          <w:vertAlign w:val="subscript"/>
        </w:rPr>
        <w:t>0</w:t>
      </w:r>
    </w:p>
    <w:p w14:paraId="053F2713" w14:textId="62F91661" w:rsidR="0082499C" w:rsidRPr="0043660D" w:rsidRDefault="003B1760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függetlenségvizsgálat azt vizsgálja, hogy van-e kapcsolat egy sokaság két ismérve között.</w:t>
      </w:r>
    </w:p>
    <w:p w14:paraId="04674105" w14:textId="77777777" w:rsidR="00EF2026" w:rsidRPr="0043660D" w:rsidRDefault="00EF2026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Az elsőfajú hiba α valószínűsége megegyezik az α szignifikanciaszinttel</w:t>
      </w:r>
    </w:p>
    <w:p w14:paraId="490E0B3B" w14:textId="77777777" w:rsidR="00A54653" w:rsidRPr="0043660D" w:rsidRDefault="00A54653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Tiszta illeszkedésvizsgálat esetén a tesztelendő valószínűségek adottak, míg becslésesnél valamely paramétertől függenek, amit a mintából kell megbecsülni.</w:t>
      </w:r>
    </w:p>
    <w:p w14:paraId="00BE5F49" w14:textId="77777777" w:rsidR="00B9489B" w:rsidRPr="0043660D" w:rsidRDefault="00B9489B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 xml:space="preserve">A standard normális eloszlás p=0.975 </w:t>
      </w:r>
      <w:proofErr w:type="spellStart"/>
      <w:r w:rsidRPr="0043660D">
        <w:rPr>
          <w:highlight w:val="green"/>
        </w:rPr>
        <w:t>kvantilise</w:t>
      </w:r>
      <w:proofErr w:type="spellEnd"/>
      <w:r w:rsidRPr="0043660D">
        <w:rPr>
          <w:highlight w:val="green"/>
        </w:rPr>
        <w:t xml:space="preserve"> megtalálható a t-eloszlás táblázatának p=0,975 oszlopában a szabadságfok ∞ jelű soránál.</w:t>
      </w:r>
    </w:p>
    <w:p w14:paraId="73C50659" w14:textId="64EA993E" w:rsidR="00EF2026" w:rsidRPr="0043660D" w:rsidRDefault="00DC0ACC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t-próba esetén jobboldali alternatíváról való döntéskor, ha a </w:t>
      </w:r>
      <w:r w:rsidR="00C81557" w:rsidRPr="0043660D">
        <w:rPr>
          <w:highlight w:val="green"/>
        </w:rPr>
        <w:br/>
      </w:r>
      <w:proofErr w:type="spellStart"/>
      <w:r w:rsidRPr="0043660D">
        <w:rPr>
          <w:highlight w:val="green"/>
        </w:rPr>
        <w:t>sig</w:t>
      </w:r>
      <w:proofErr w:type="spellEnd"/>
      <w:r w:rsidRPr="0043660D">
        <w:rPr>
          <w:highlight w:val="green"/>
        </w:rPr>
        <w:t>(2−tailed) /</w:t>
      </w:r>
      <w:r w:rsidR="00C81557" w:rsidRPr="0043660D">
        <w:rPr>
          <w:highlight w:val="green"/>
        </w:rPr>
        <w:t xml:space="preserve"> </w:t>
      </w:r>
      <w:r w:rsidRPr="0043660D">
        <w:rPr>
          <w:highlight w:val="green"/>
        </w:rPr>
        <w:t xml:space="preserve">2 </w:t>
      </w:r>
      <w:r w:rsidR="00E339C6" w:rsidRPr="0043660D">
        <w:rPr>
          <w:highlight w:val="green"/>
        </w:rPr>
        <w:t>&lt;=</w:t>
      </w:r>
      <w:r w:rsidRPr="0043660D">
        <w:rPr>
          <w:highlight w:val="green"/>
        </w:rPr>
        <w:t xml:space="preserve"> </w:t>
      </w:r>
      <w:r w:rsidR="00E339C6" w:rsidRPr="0043660D">
        <w:rPr>
          <w:highlight w:val="green"/>
        </w:rPr>
        <w:t xml:space="preserve">t </w:t>
      </w:r>
      <w:r w:rsidRPr="0043660D">
        <w:rPr>
          <w:highlight w:val="green"/>
        </w:rPr>
        <w:t>és a próbafüggvény értéke pozitív, akkor a H0-t elvetjük.</w:t>
      </w:r>
    </w:p>
    <w:p w14:paraId="162F5B3A" w14:textId="2AC47822" w:rsidR="00A10764" w:rsidRPr="0043660D" w:rsidRDefault="00A10764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Adott α szignifikanciaszint esetén, ha p ≤ α, elvetjük a null hipotézist.</w:t>
      </w:r>
    </w:p>
    <w:p w14:paraId="20BAB66D" w14:textId="600BB4DF" w:rsidR="005E4783" w:rsidRPr="0043660D" w:rsidRDefault="005E4783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standard normális eloszlásnál </w:t>
      </w:r>
      <w:proofErr w:type="spellStart"/>
      <w:r w:rsidRPr="0043660D">
        <w:rPr>
          <w:highlight w:val="green"/>
        </w:rPr>
        <w:t>zp</w:t>
      </w:r>
      <w:proofErr w:type="spellEnd"/>
      <w:r w:rsidRPr="0043660D">
        <w:rPr>
          <w:highlight w:val="green"/>
        </w:rPr>
        <w:t xml:space="preserve"> = −z1−p, (0&lt;p&lt;1)</w:t>
      </w:r>
    </w:p>
    <w:p w14:paraId="1F676CC0" w14:textId="164D703E" w:rsidR="00A10764" w:rsidRPr="0043660D" w:rsidRDefault="00082B60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Egyoldali alternatíváról való döntéskor a számított kétoldali p-érték (</w:t>
      </w:r>
      <w:proofErr w:type="spellStart"/>
      <w:r w:rsidRPr="0043660D">
        <w:rPr>
          <w:highlight w:val="green"/>
        </w:rPr>
        <w:t>sig</w:t>
      </w:r>
      <w:proofErr w:type="spellEnd"/>
      <w:r w:rsidRPr="0043660D">
        <w:rPr>
          <w:highlight w:val="green"/>
        </w:rPr>
        <w:t>(2-tailed)) felét kell tekinteni.</w:t>
      </w:r>
    </w:p>
    <w:p w14:paraId="445EE69B" w14:textId="77777777" w:rsidR="00551A98" w:rsidRPr="0043660D" w:rsidRDefault="00551A98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α </w:t>
      </w:r>
      <w:proofErr w:type="spellStart"/>
      <w:r w:rsidRPr="0043660D">
        <w:rPr>
          <w:highlight w:val="green"/>
        </w:rPr>
        <w:t>szignifikanciájú</w:t>
      </w:r>
      <w:proofErr w:type="spellEnd"/>
      <w:r w:rsidRPr="0043660D">
        <w:rPr>
          <w:highlight w:val="green"/>
        </w:rPr>
        <w:t xml:space="preserve"> próbánál kétoldali kritikus tartomány esetén a kritikus tartomány jobb oldali részének valószínűsége α/2.</w:t>
      </w:r>
    </w:p>
    <w:p w14:paraId="53FBD23D" w14:textId="77777777" w:rsidR="00ED6EBE" w:rsidRPr="0043660D" w:rsidRDefault="00ED6EBE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próbafüggvény eloszlása H0 teljesülése esetén ismert.</w:t>
      </w:r>
    </w:p>
    <w:p w14:paraId="3B4062C2" w14:textId="1D93BDC4" w:rsidR="00551A98" w:rsidRPr="0043660D" w:rsidRDefault="00922A55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 t-próbánál jobboldali alternatíva esetén nagyobb próbafüggvény értékhez kisebb p-érték tartozik.</w:t>
      </w:r>
    </w:p>
    <w:p w14:paraId="26144E48" w14:textId="77777777" w:rsidR="005A4B83" w:rsidRPr="0043660D" w:rsidRDefault="005A4B83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Az egymintás t-próba alkalmazási feltétele: normális eloszlású FAE minta.</w:t>
      </w:r>
    </w:p>
    <w:p w14:paraId="2897B385" w14:textId="3CC7A53D" w:rsidR="005A4B83" w:rsidRPr="0043660D" w:rsidRDefault="002554FC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Abban az esetben, ha elegendően nagy a minta elemszáma, az aszimptotikus z-próba alkalmazása során megfogalmazott nullhipotézis teljesülése esetén a próbafüggvény eloszlása közel standard normális.</w:t>
      </w:r>
    </w:p>
    <w:p w14:paraId="08488424" w14:textId="60E4DF85" w:rsidR="00CE4347" w:rsidRPr="0043660D" w:rsidRDefault="00CE4347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Az egymintás z-próba alkalmazási feltétele: normális eloszlású FAE minta és ismert szórás.</w:t>
      </w:r>
    </w:p>
    <w:p w14:paraId="34F8CE09" w14:textId="312C37CD" w:rsidR="007D02B5" w:rsidRPr="0043660D" w:rsidRDefault="007D02B5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Egyoldali alternatíváról való döntéskor a számított kétoldali p-érték (</w:t>
      </w:r>
      <w:proofErr w:type="spellStart"/>
      <w:r w:rsidRPr="0043660D">
        <w:rPr>
          <w:highlight w:val="green"/>
        </w:rPr>
        <w:t>sig</w:t>
      </w:r>
      <w:proofErr w:type="spellEnd"/>
      <w:r w:rsidRPr="0043660D">
        <w:rPr>
          <w:highlight w:val="green"/>
        </w:rPr>
        <w:t>(2-tailed)) felét kell tekinteni.</w:t>
      </w:r>
    </w:p>
    <w:p w14:paraId="0AA6475D" w14:textId="5B6DAD54" w:rsidR="00CE505A" w:rsidRPr="0043660D" w:rsidRDefault="00CE505A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Az egymintás t-próbánál a próbafüggvény H0 teljesülése és elegendően nagy mintaelemszám esetén közelítően </w:t>
      </w:r>
      <w:proofErr w:type="gramStart"/>
      <w:r w:rsidRPr="0043660D">
        <w:rPr>
          <w:highlight w:val="green"/>
        </w:rPr>
        <w:t>N(</w:t>
      </w:r>
      <w:proofErr w:type="gramEnd"/>
      <w:r w:rsidRPr="0043660D">
        <w:rPr>
          <w:highlight w:val="green"/>
        </w:rPr>
        <w:t>0,1) eloszlású.</w:t>
      </w:r>
    </w:p>
    <w:p w14:paraId="5697BFFA" w14:textId="77777777" w:rsidR="006D597D" w:rsidRPr="0043660D" w:rsidRDefault="006D597D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α </w:t>
      </w:r>
      <w:proofErr w:type="spellStart"/>
      <w:r w:rsidRPr="0043660D">
        <w:rPr>
          <w:highlight w:val="green"/>
        </w:rPr>
        <w:t>szignifikanciájú</w:t>
      </w:r>
      <w:proofErr w:type="spellEnd"/>
      <w:r w:rsidRPr="0043660D">
        <w:rPr>
          <w:highlight w:val="green"/>
        </w:rPr>
        <w:t xml:space="preserve"> próbánál kétoldali kritikus tartomány esetén a kritikus tartomány jobb oldali részének valószínűsége α/2.</w:t>
      </w:r>
    </w:p>
    <w:p w14:paraId="6B43557E" w14:textId="77777777" w:rsidR="000B6B7E" w:rsidRPr="0043660D" w:rsidRDefault="000B6B7E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Az egymintás t-próba alkalmazási feltétele: normális eloszlású FAE minta.</w:t>
      </w:r>
    </w:p>
    <w:p w14:paraId="065B4C95" w14:textId="77777777" w:rsidR="008322CE" w:rsidRPr="0043660D" w:rsidRDefault="008322CE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Ha az igaz nullhipotézist elvetjük, elsőfajú hibát követünk el.</w:t>
      </w:r>
    </w:p>
    <w:p w14:paraId="19342DBD" w14:textId="77777777" w:rsidR="0045052C" w:rsidRPr="0043660D" w:rsidRDefault="0045052C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lastRenderedPageBreak/>
        <w:t>Illeszkedésvizsgálatot akkor használunk, ha azt kívánjuk vizsgálni, egy minta eloszlása megegyezik-e egy adott eloszlással.</w:t>
      </w:r>
    </w:p>
    <w:p w14:paraId="552F0B34" w14:textId="2145AE53" w:rsidR="00340FD0" w:rsidRPr="0043660D" w:rsidRDefault="00557734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Tiszta illeszkedésvizsgálat esetén a tesztelendő valószínűségek adottak, míg becslésesnél valamely paramétertől függenek, amit a mintából kell megbecsülni.</w:t>
      </w:r>
    </w:p>
    <w:p w14:paraId="6C091F09" w14:textId="77777777" w:rsidR="00480F24" w:rsidRPr="0043660D" w:rsidRDefault="00480F24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Kétmintás z-próba esetén, a két minta független.</w:t>
      </w:r>
    </w:p>
    <w:p w14:paraId="29EEE9DB" w14:textId="2AD81164" w:rsidR="00480F24" w:rsidRPr="0043660D" w:rsidRDefault="002B14AE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kétmintás aszimptotikus z-próbának és a kétmintás z-próbának adott α szignifikancia szinthez tartozó kritikus tartományai megegyeznek.</w:t>
      </w:r>
    </w:p>
    <w:p w14:paraId="0E521F7A" w14:textId="77777777" w:rsidR="00EC7D28" w:rsidRPr="0043660D" w:rsidRDefault="00B87752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sokasági arányra irányuló kétmintás próba egyik lehetséges esete, amikor a tesztérték nullával egyezik meg. Ekkor a nullhipotézis azt írja le, hogy a két sokasági arány megegyezik és a próbastatisztikában a közös valószínűség kombinált becslése jelenik meg.</w:t>
      </w:r>
    </w:p>
    <w:p w14:paraId="78E2751A" w14:textId="1105D306" w:rsidR="00EC7D28" w:rsidRPr="0043660D" w:rsidRDefault="00EC7D28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kétmintás aszimptotikus z-próbának és a kétmintás z-próbának adott α szignifikancia szinthez tartozó kritikus tartományai megegyeznek.</w:t>
      </w:r>
    </w:p>
    <w:p w14:paraId="4C30ADE2" w14:textId="45F97AEC" w:rsidR="007E6716" w:rsidRPr="0043660D" w:rsidRDefault="007E6716" w:rsidP="007E6716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43660D">
        <w:rPr>
          <w:rFonts w:eastAsia="Times New Roman"/>
          <w:highlight w:val="green"/>
          <w:lang w:eastAsia="hu-HU"/>
        </w:rPr>
        <w:t>Abban az esetben, ha elegendően nagy a minta elemszáma, az aszimptotikus </w:t>
      </w:r>
      <w:r w:rsidRPr="0043660D">
        <w:rPr>
          <w:rFonts w:eastAsia="Times New Roman"/>
          <w:highlight w:val="green"/>
          <w:bdr w:val="none" w:sz="0" w:space="0" w:color="auto" w:frame="1"/>
          <w:lang w:eastAsia="hu-HU"/>
        </w:rPr>
        <w:t>z</w:t>
      </w:r>
      <w:r w:rsidRPr="0043660D">
        <w:rPr>
          <w:rFonts w:eastAsia="Times New Roman"/>
          <w:highlight w:val="green"/>
          <w:lang w:eastAsia="hu-HU"/>
        </w:rPr>
        <w:t>-próba alkalmazása során megfogalmazott nullhipotézis teljesülése esetén a próbafüggvény eloszlása közel standard normális.</w:t>
      </w:r>
    </w:p>
    <w:p w14:paraId="5FBC5158" w14:textId="77777777" w:rsidR="00340FD0" w:rsidRPr="0043660D" w:rsidRDefault="00340FD0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Kétoldali ellenhipotézis esetén az F-próba próbastatisztikája megadható úgy, hogy csak felső kritikus tartományt kell vizsgálnunk.</w:t>
      </w:r>
    </w:p>
    <w:p w14:paraId="56897A1B" w14:textId="77777777" w:rsidR="00340FD0" w:rsidRPr="0043660D" w:rsidRDefault="00340FD0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 xml:space="preserve">A szórások egyenlőségének vizsgálatára alkalmazott F-próba </w:t>
      </w:r>
      <w:proofErr w:type="gramStart"/>
      <w:r w:rsidRPr="0043660D">
        <w:rPr>
          <w:highlight w:val="green"/>
        </w:rPr>
        <w:t>esetén</w:t>
      </w:r>
      <w:proofErr w:type="gramEnd"/>
      <w:r w:rsidRPr="0043660D">
        <w:rPr>
          <w:highlight w:val="green"/>
        </w:rPr>
        <w:t xml:space="preserve"> ha H0 teljesül, a próbafüggvény eloszlása v1 = n</w:t>
      </w:r>
      <w:r w:rsidRPr="0043660D">
        <w:rPr>
          <w:highlight w:val="green"/>
          <w:vertAlign w:val="subscript"/>
        </w:rPr>
        <w:t>y</w:t>
      </w:r>
      <w:r w:rsidRPr="0043660D">
        <w:rPr>
          <w:highlight w:val="green"/>
        </w:rPr>
        <w:t>−1, v2 =n</w:t>
      </w:r>
      <w:r w:rsidRPr="0043660D">
        <w:rPr>
          <w:highlight w:val="green"/>
          <w:vertAlign w:val="subscript"/>
        </w:rPr>
        <w:t>x</w:t>
      </w:r>
      <w:r w:rsidRPr="0043660D">
        <w:rPr>
          <w:highlight w:val="green"/>
        </w:rPr>
        <w:t>−1 szabadsági fokú F-eloszlás, ahol v1 és v2 a rendelkezésre álló két FAE minta elemszáma.</w:t>
      </w:r>
    </w:p>
    <w:p w14:paraId="2D93B071" w14:textId="77777777" w:rsidR="00DC28CD" w:rsidRPr="0043660D" w:rsidRDefault="00DC28CD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Homogenitásvizsgálat alkalmazása esetén a megválaszolandó kérdés, hogy egyezik-e két sokaság eloszlása.</w:t>
      </w:r>
    </w:p>
    <w:p w14:paraId="152A72BD" w14:textId="77777777" w:rsidR="00B50E62" w:rsidRPr="0043660D" w:rsidRDefault="00B50E62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Amikor kétmintás z-próbát szeretnénk használni, a mintáknak függetleneknek kell lenniük egymástól.</w:t>
      </w:r>
    </w:p>
    <w:p w14:paraId="04323A32" w14:textId="77777777" w:rsidR="00292F03" w:rsidRPr="0043660D" w:rsidRDefault="00292F03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sokasági arányra irányuló kétmintás próba esetén, ha a tesztérték nem nulla, nincs szükség a közös valószínűség kombinált becslésére.</w:t>
      </w:r>
    </w:p>
    <w:p w14:paraId="2C40D28D" w14:textId="77777777" w:rsidR="002A0578" w:rsidRPr="0043660D" w:rsidRDefault="002A0578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Amikor kétmintás z-próbát szeretnénk használni, a szórásoknak ismerteknek kell lenniük.</w:t>
      </w:r>
    </w:p>
    <w:p w14:paraId="65B76F06" w14:textId="77777777" w:rsidR="00B30914" w:rsidRPr="0043660D" w:rsidRDefault="00B30914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kétmintás aszimptotikus z-próbának és a sokasági arányra vonatkozó kétmintás próbának adott α szignifikancia szinthez tartozó kritikus tartományai megegyeznek.</w:t>
      </w:r>
    </w:p>
    <w:p w14:paraId="0B0A46EF" w14:textId="77777777" w:rsidR="00E344F0" w:rsidRPr="0043660D" w:rsidRDefault="00E344F0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Amikor kétmintás z-próbát szeretnénk használni, a mintáknak függetleneknek kell lenniük egymástól.</w:t>
      </w:r>
    </w:p>
    <w:p w14:paraId="3FA33536" w14:textId="77777777" w:rsidR="003B60D6" w:rsidRPr="0043660D" w:rsidRDefault="003B60D6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kétmintás t-próba alkalmazása esetén különböző próbafüggvényeket kell használni, attól függően, hogy a varianciák megegyeznek-e vagy sem.</w:t>
      </w:r>
    </w:p>
    <w:p w14:paraId="1589BA49" w14:textId="6F19FCE0" w:rsidR="00340FD0" w:rsidRPr="0043660D" w:rsidRDefault="0005467F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sokasági arányra irányuló kétmintás próba egyik lehetséges esete, amikor a tesztérték nullával egyezik meg. Ekkor a nullhipotézis azt írja le, hogy a két sokasági arány megegyezik és a próbastatisztikában a közös valószínűség kombinált becslése jelenik meg.</w:t>
      </w:r>
    </w:p>
    <w:p w14:paraId="482449A8" w14:textId="77777777" w:rsidR="00E00C18" w:rsidRPr="0043660D" w:rsidRDefault="00E00C18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sokasági arányra irányuló kétmintás próba esetén, ha a tesztérték nem nulla, nincs szükség a közös valószínűség kombinált becslésére.</w:t>
      </w:r>
    </w:p>
    <w:p w14:paraId="332A8427" w14:textId="77777777" w:rsidR="00E00C18" w:rsidRPr="0043660D" w:rsidRDefault="00E00C18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lastRenderedPageBreak/>
        <w:t>Kétoldali ellenhipotézis esetén az F-próba próbastatisztikája megadható úgy, hogy csak felső kritikus tartományt kell vizsgálnunk.</w:t>
      </w:r>
    </w:p>
    <w:p w14:paraId="19A73273" w14:textId="41E41C7A" w:rsidR="00E3334E" w:rsidRPr="0043660D" w:rsidRDefault="00E3334E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szórások egyenlőségének vizsgálatára alkalmazott F-próba esetén a FAE minták majdnem minden esetben normális eloszlásból kell, hogy származzanak.</w:t>
      </w:r>
    </w:p>
    <w:p w14:paraId="2D5D5211" w14:textId="534AD81C" w:rsidR="009C5A0D" w:rsidRPr="0043660D" w:rsidRDefault="009C5A0D" w:rsidP="009C5A0D">
      <w:pPr>
        <w:pStyle w:val="Listaszerbekezds"/>
        <w:numPr>
          <w:ilvl w:val="0"/>
          <w:numId w:val="35"/>
        </w:numPr>
        <w:rPr>
          <w:highlight w:val="green"/>
        </w:rPr>
      </w:pPr>
      <w:r w:rsidRPr="0043660D">
        <w:rPr>
          <w:highlight w:val="green"/>
        </w:rPr>
        <w:t>A kétmintás aszimptotikus z-próbának és a kétmintás z-próbának adott α szignifikancia szinthez tartozó kritikus tartományai megegyeznek.</w:t>
      </w:r>
    </w:p>
    <w:p w14:paraId="23FBE164" w14:textId="77777777" w:rsidR="004D3F43" w:rsidRPr="0043660D" w:rsidRDefault="004D3F43" w:rsidP="004D3F43">
      <w:pPr>
        <w:pStyle w:val="NormlWeb"/>
        <w:numPr>
          <w:ilvl w:val="0"/>
          <w:numId w:val="35"/>
        </w:numPr>
        <w:spacing w:before="120" w:beforeAutospacing="0" w:after="120" w:afterAutospacing="0"/>
        <w:textAlignment w:val="baseline"/>
        <w:rPr>
          <w:highlight w:val="green"/>
        </w:rPr>
      </w:pPr>
      <w:r w:rsidRPr="0043660D">
        <w:rPr>
          <w:highlight w:val="green"/>
        </w:rPr>
        <w:t>A Bartlett-próba normális eloszlású minták varianciáinak egyenlőségét vizsgálja.</w:t>
      </w:r>
    </w:p>
    <w:p w14:paraId="669CEF1E" w14:textId="77777777" w:rsidR="004D3F43" w:rsidRPr="0043660D" w:rsidRDefault="004D3F43" w:rsidP="004D3F43">
      <w:pPr>
        <w:pStyle w:val="NormlWeb"/>
        <w:numPr>
          <w:ilvl w:val="0"/>
          <w:numId w:val="35"/>
        </w:numPr>
        <w:spacing w:before="120" w:beforeAutospacing="0" w:after="120" w:afterAutospacing="0"/>
        <w:textAlignment w:val="baseline"/>
        <w:rPr>
          <w:highlight w:val="green"/>
        </w:rPr>
      </w:pPr>
      <w:r w:rsidRPr="0043660D">
        <w:rPr>
          <w:highlight w:val="green"/>
        </w:rPr>
        <w:t>Az egy szempontú szórásanalízis alkalmazásának egyik feltétele, hogy az egyes csoportok varianciáinak meg kell egyeznie.</w:t>
      </w:r>
    </w:p>
    <w:p w14:paraId="398184E9" w14:textId="77777777" w:rsidR="004D3F43" w:rsidRPr="0043660D" w:rsidRDefault="004D3F43" w:rsidP="004D3F43">
      <w:pPr>
        <w:pStyle w:val="NormlWeb"/>
        <w:numPr>
          <w:ilvl w:val="0"/>
          <w:numId w:val="35"/>
        </w:numPr>
        <w:spacing w:before="120" w:beforeAutospacing="0" w:after="120" w:afterAutospacing="0"/>
        <w:textAlignment w:val="baseline"/>
        <w:rPr>
          <w:highlight w:val="green"/>
        </w:rPr>
      </w:pPr>
      <w:r w:rsidRPr="0043660D">
        <w:rPr>
          <w:highlight w:val="green"/>
        </w:rPr>
        <w:t>Az egy szempontú szórásanalízis során megfogalmazott ellenhipotézis, hogy létezik legalább egy sokaság, melynek várható értéke eltér a többiétől.</w:t>
      </w:r>
    </w:p>
    <w:p w14:paraId="5C578561" w14:textId="77777777" w:rsidR="004D3F43" w:rsidRPr="0043660D" w:rsidRDefault="004D3F43" w:rsidP="004D3F43">
      <w:pPr>
        <w:pStyle w:val="NormlWeb"/>
        <w:numPr>
          <w:ilvl w:val="0"/>
          <w:numId w:val="35"/>
        </w:numPr>
        <w:spacing w:before="120" w:beforeAutospacing="0" w:after="120" w:afterAutospacing="0"/>
        <w:textAlignment w:val="baseline"/>
        <w:rPr>
          <w:highlight w:val="green"/>
        </w:rPr>
      </w:pPr>
      <w:r w:rsidRPr="0043660D">
        <w:rPr>
          <w:highlight w:val="green"/>
        </w:rPr>
        <w:t>Az egy szempontú szórásanalízis során megfogalmazott nullhipotézis teljesülése esetén SSB tipikusan nagy, míg SSK kicsi.</w:t>
      </w:r>
    </w:p>
    <w:p w14:paraId="39E620FE" w14:textId="77777777" w:rsidR="004D3F43" w:rsidRPr="0043660D" w:rsidRDefault="004D3F43" w:rsidP="004D3F43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val="en-US"/>
        </w:rPr>
      </w:pPr>
      <w:proofErr w:type="spellStart"/>
      <w:r w:rsidRPr="0043660D">
        <w:rPr>
          <w:rFonts w:eastAsia="Times New Roman"/>
          <w:highlight w:val="green"/>
          <w:lang w:val="en-US"/>
        </w:rPr>
        <w:t>Páros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mintás</w:t>
      </w:r>
      <w:proofErr w:type="spellEnd"/>
      <w:r w:rsidRPr="0043660D">
        <w:rPr>
          <w:rFonts w:eastAsia="Times New Roman"/>
          <w:highlight w:val="green"/>
          <w:lang w:val="en-US"/>
        </w:rPr>
        <w:t> </w:t>
      </w:r>
      <w:r w:rsidRPr="0043660D">
        <w:rPr>
          <w:rFonts w:eastAsia="Times New Roman"/>
          <w:highlight w:val="green"/>
          <w:bdr w:val="none" w:sz="0" w:space="0" w:color="auto" w:frame="1"/>
          <w:lang w:val="en-US"/>
        </w:rPr>
        <w:t>t</w:t>
      </w:r>
      <w:r w:rsidRPr="0043660D">
        <w:rPr>
          <w:rFonts w:eastAsia="Times New Roman"/>
          <w:highlight w:val="green"/>
          <w:lang w:val="en-US"/>
        </w:rPr>
        <w:t>-</w:t>
      </w:r>
      <w:proofErr w:type="spellStart"/>
      <w:r w:rsidRPr="0043660D">
        <w:rPr>
          <w:rFonts w:eastAsia="Times New Roman"/>
          <w:highlight w:val="green"/>
          <w:lang w:val="en-US"/>
        </w:rPr>
        <w:t>próba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esetén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, a </w:t>
      </w:r>
      <w:proofErr w:type="spellStart"/>
      <w:r w:rsidRPr="0043660D">
        <w:rPr>
          <w:rFonts w:eastAsia="Times New Roman"/>
          <w:highlight w:val="green"/>
          <w:lang w:val="en-US"/>
        </w:rPr>
        <w:t>két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ismérv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tipikusan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nem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független</w:t>
      </w:r>
      <w:proofErr w:type="spellEnd"/>
      <w:r w:rsidRPr="0043660D">
        <w:rPr>
          <w:rFonts w:eastAsia="Times New Roman"/>
          <w:highlight w:val="green"/>
          <w:lang w:val="en-US"/>
        </w:rPr>
        <w:t>.</w:t>
      </w:r>
    </w:p>
    <w:p w14:paraId="445EFF79" w14:textId="660D6357" w:rsidR="004D3F43" w:rsidRPr="0043660D" w:rsidRDefault="00F41F24" w:rsidP="00F41F24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val="en-US"/>
        </w:rPr>
      </w:pPr>
      <w:r w:rsidRPr="0043660D">
        <w:rPr>
          <w:rFonts w:eastAsia="Times New Roman"/>
          <w:highlight w:val="green"/>
          <w:lang w:val="en-US"/>
        </w:rPr>
        <w:t xml:space="preserve">A </w:t>
      </w:r>
      <w:proofErr w:type="spellStart"/>
      <w:r w:rsidRPr="0043660D">
        <w:rPr>
          <w:rFonts w:eastAsia="Times New Roman"/>
          <w:highlight w:val="green"/>
          <w:lang w:val="en-US"/>
        </w:rPr>
        <w:t>szórások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egyenlőségének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vizsgálatára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alkalmazott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F-</w:t>
      </w:r>
      <w:proofErr w:type="spellStart"/>
      <w:r w:rsidRPr="0043660D">
        <w:rPr>
          <w:rFonts w:eastAsia="Times New Roman"/>
          <w:highlight w:val="green"/>
          <w:lang w:val="en-US"/>
        </w:rPr>
        <w:t>próba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esetén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ha </w:t>
      </w:r>
      <w:r w:rsidRPr="0043660D">
        <w:rPr>
          <w:rFonts w:eastAsia="Times New Roman"/>
          <w:highlight w:val="green"/>
          <w:bdr w:val="none" w:sz="0" w:space="0" w:color="auto" w:frame="1"/>
          <w:lang w:val="en-US"/>
        </w:rPr>
        <w:t>H0</w:t>
      </w:r>
      <w:r w:rsidRPr="0043660D">
        <w:rPr>
          <w:rFonts w:eastAsia="Times New Roman"/>
          <w:highlight w:val="green"/>
          <w:lang w:val="en-US"/>
        </w:rPr>
        <w:t> </w:t>
      </w:r>
      <w:proofErr w:type="spellStart"/>
      <w:r w:rsidRPr="0043660D">
        <w:rPr>
          <w:rFonts w:eastAsia="Times New Roman"/>
          <w:highlight w:val="green"/>
          <w:lang w:val="en-US"/>
        </w:rPr>
        <w:t>teljesül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, a </w:t>
      </w:r>
      <w:proofErr w:type="spellStart"/>
      <w:r w:rsidRPr="0043660D">
        <w:rPr>
          <w:rFonts w:eastAsia="Times New Roman"/>
          <w:highlight w:val="green"/>
          <w:lang w:val="en-US"/>
        </w:rPr>
        <w:t>próbafüggvény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eloszlása</w:t>
      </w:r>
      <w:proofErr w:type="spellEnd"/>
      <w:r w:rsidRPr="0043660D">
        <w:rPr>
          <w:rFonts w:eastAsia="Times New Roman"/>
          <w:highlight w:val="green"/>
          <w:lang w:val="en-US"/>
        </w:rPr>
        <w:t> </w:t>
      </w:r>
      <w:r w:rsidRPr="0043660D">
        <w:rPr>
          <w:rFonts w:eastAsia="Times New Roman"/>
          <w:highlight w:val="green"/>
          <w:bdr w:val="none" w:sz="0" w:space="0" w:color="auto" w:frame="1"/>
          <w:lang w:val="en-US"/>
        </w:rPr>
        <w:t>v1 = n</w:t>
      </w:r>
      <w:r w:rsidRPr="0043660D">
        <w:rPr>
          <w:rFonts w:eastAsia="Times New Roman"/>
          <w:highlight w:val="green"/>
          <w:bdr w:val="none" w:sz="0" w:space="0" w:color="auto" w:frame="1"/>
          <w:vertAlign w:val="subscript"/>
          <w:lang w:val="en-US"/>
        </w:rPr>
        <w:t>y</w:t>
      </w:r>
      <w:r w:rsidRPr="0043660D">
        <w:rPr>
          <w:rFonts w:eastAsia="Times New Roman"/>
          <w:highlight w:val="green"/>
          <w:bdr w:val="none" w:sz="0" w:space="0" w:color="auto" w:frame="1"/>
          <w:lang w:val="en-US"/>
        </w:rPr>
        <w:t>−1</w:t>
      </w:r>
      <w:r w:rsidRPr="0043660D">
        <w:rPr>
          <w:rFonts w:eastAsia="Times New Roman"/>
          <w:highlight w:val="green"/>
          <w:lang w:val="en-US"/>
        </w:rPr>
        <w:t>, </w:t>
      </w:r>
      <w:r w:rsidRPr="0043660D">
        <w:rPr>
          <w:rFonts w:eastAsia="Times New Roman"/>
          <w:highlight w:val="green"/>
          <w:bdr w:val="none" w:sz="0" w:space="0" w:color="auto" w:frame="1"/>
          <w:lang w:val="en-US"/>
        </w:rPr>
        <w:t>v2 =n</w:t>
      </w:r>
      <w:r w:rsidRPr="0043660D">
        <w:rPr>
          <w:rFonts w:eastAsia="Times New Roman"/>
          <w:highlight w:val="green"/>
          <w:bdr w:val="none" w:sz="0" w:space="0" w:color="auto" w:frame="1"/>
          <w:vertAlign w:val="subscript"/>
          <w:lang w:val="en-US"/>
        </w:rPr>
        <w:t>x</w:t>
      </w:r>
      <w:r w:rsidRPr="0043660D">
        <w:rPr>
          <w:rFonts w:eastAsia="Times New Roman"/>
          <w:highlight w:val="green"/>
          <w:bdr w:val="none" w:sz="0" w:space="0" w:color="auto" w:frame="1"/>
          <w:lang w:val="en-US"/>
        </w:rPr>
        <w:t>−1</w:t>
      </w:r>
      <w:r w:rsidRPr="0043660D">
        <w:rPr>
          <w:rFonts w:eastAsia="Times New Roman"/>
          <w:highlight w:val="green"/>
          <w:lang w:val="en-US"/>
        </w:rPr>
        <w:t> </w:t>
      </w:r>
      <w:proofErr w:type="spellStart"/>
      <w:r w:rsidRPr="0043660D">
        <w:rPr>
          <w:rFonts w:eastAsia="Times New Roman"/>
          <w:highlight w:val="green"/>
          <w:lang w:val="en-US"/>
        </w:rPr>
        <w:t>szabadsági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fokú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F-</w:t>
      </w:r>
      <w:proofErr w:type="spellStart"/>
      <w:r w:rsidRPr="0043660D">
        <w:rPr>
          <w:rFonts w:eastAsia="Times New Roman"/>
          <w:highlight w:val="green"/>
          <w:lang w:val="en-US"/>
        </w:rPr>
        <w:t>eloszlás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, </w:t>
      </w:r>
      <w:proofErr w:type="spellStart"/>
      <w:r w:rsidRPr="0043660D">
        <w:rPr>
          <w:rFonts w:eastAsia="Times New Roman"/>
          <w:highlight w:val="green"/>
          <w:lang w:val="en-US"/>
        </w:rPr>
        <w:t>ahol</w:t>
      </w:r>
      <w:proofErr w:type="spellEnd"/>
      <w:r w:rsidRPr="0043660D">
        <w:rPr>
          <w:rFonts w:eastAsia="Times New Roman"/>
          <w:highlight w:val="green"/>
          <w:lang w:val="en-US"/>
        </w:rPr>
        <w:t> </w:t>
      </w:r>
      <w:r w:rsidRPr="0043660D">
        <w:rPr>
          <w:rFonts w:eastAsia="Times New Roman"/>
          <w:highlight w:val="green"/>
          <w:bdr w:val="none" w:sz="0" w:space="0" w:color="auto" w:frame="1"/>
          <w:lang w:val="en-US"/>
        </w:rPr>
        <w:t>v1</w:t>
      </w:r>
      <w:r w:rsidRPr="0043660D">
        <w:rPr>
          <w:rFonts w:eastAsia="Times New Roman"/>
          <w:highlight w:val="green"/>
          <w:lang w:val="en-US"/>
        </w:rPr>
        <w:t> </w:t>
      </w:r>
      <w:proofErr w:type="spellStart"/>
      <w:r w:rsidRPr="0043660D">
        <w:rPr>
          <w:rFonts w:eastAsia="Times New Roman"/>
          <w:highlight w:val="green"/>
          <w:lang w:val="en-US"/>
        </w:rPr>
        <w:t>és</w:t>
      </w:r>
      <w:proofErr w:type="spellEnd"/>
      <w:r w:rsidRPr="0043660D">
        <w:rPr>
          <w:rFonts w:eastAsia="Times New Roman"/>
          <w:highlight w:val="green"/>
          <w:lang w:val="en-US"/>
        </w:rPr>
        <w:t> </w:t>
      </w:r>
      <w:r w:rsidRPr="0043660D">
        <w:rPr>
          <w:rFonts w:eastAsia="Times New Roman"/>
          <w:highlight w:val="green"/>
          <w:bdr w:val="none" w:sz="0" w:space="0" w:color="auto" w:frame="1"/>
          <w:lang w:val="en-US"/>
        </w:rPr>
        <w:t>v2</w:t>
      </w:r>
      <w:r w:rsidRPr="0043660D">
        <w:rPr>
          <w:rFonts w:eastAsia="Times New Roman"/>
          <w:highlight w:val="green"/>
          <w:lang w:val="en-US"/>
        </w:rPr>
        <w:t xml:space="preserve"> a </w:t>
      </w:r>
      <w:proofErr w:type="spellStart"/>
      <w:r w:rsidRPr="0043660D">
        <w:rPr>
          <w:rFonts w:eastAsia="Times New Roman"/>
          <w:highlight w:val="green"/>
          <w:lang w:val="en-US"/>
        </w:rPr>
        <w:t>rendelkezésre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álló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két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FAE </w:t>
      </w:r>
      <w:proofErr w:type="spellStart"/>
      <w:r w:rsidRPr="0043660D">
        <w:rPr>
          <w:rFonts w:eastAsia="Times New Roman"/>
          <w:highlight w:val="green"/>
          <w:lang w:val="en-US"/>
        </w:rPr>
        <w:t>minta</w:t>
      </w:r>
      <w:proofErr w:type="spellEnd"/>
      <w:r w:rsidRPr="0043660D">
        <w:rPr>
          <w:rFonts w:eastAsia="Times New Roman"/>
          <w:highlight w:val="green"/>
          <w:lang w:val="en-US"/>
        </w:rPr>
        <w:t xml:space="preserve"> </w:t>
      </w:r>
      <w:proofErr w:type="spellStart"/>
      <w:r w:rsidRPr="0043660D">
        <w:rPr>
          <w:rFonts w:eastAsia="Times New Roman"/>
          <w:highlight w:val="green"/>
          <w:lang w:val="en-US"/>
        </w:rPr>
        <w:t>elemszáma</w:t>
      </w:r>
      <w:proofErr w:type="spellEnd"/>
      <w:r w:rsidRPr="0043660D">
        <w:rPr>
          <w:rFonts w:eastAsia="Times New Roman"/>
          <w:highlight w:val="green"/>
          <w:lang w:val="en-US"/>
        </w:rPr>
        <w:t>.</w:t>
      </w:r>
    </w:p>
    <w:p w14:paraId="333F6F2D" w14:textId="77777777" w:rsidR="009D1FD9" w:rsidRPr="0043660D" w:rsidRDefault="009D1FD9" w:rsidP="009D1FD9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43660D">
        <w:rPr>
          <w:rFonts w:eastAsia="Times New Roman"/>
          <w:highlight w:val="green"/>
          <w:lang w:eastAsia="hu-HU"/>
        </w:rPr>
        <w:t>A Bartlett-próba próbafüggvényének aszimptotikus eloszlása khi-négyzet.</w:t>
      </w:r>
    </w:p>
    <w:p w14:paraId="08561FC0" w14:textId="77777777" w:rsidR="006A4082" w:rsidRPr="0043660D" w:rsidRDefault="006A4082" w:rsidP="006A4082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43660D">
        <w:rPr>
          <w:rFonts w:eastAsia="Times New Roman"/>
          <w:highlight w:val="green"/>
          <w:lang w:eastAsia="hu-HU"/>
        </w:rPr>
        <w:t>Páros mintás </w:t>
      </w:r>
      <w:r w:rsidRPr="0043660D">
        <w:rPr>
          <w:rFonts w:eastAsia="Times New Roman"/>
          <w:highlight w:val="green"/>
          <w:bdr w:val="none" w:sz="0" w:space="0" w:color="auto" w:frame="1"/>
          <w:lang w:eastAsia="hu-HU"/>
        </w:rPr>
        <w:t>t</w:t>
      </w:r>
      <w:r w:rsidRPr="0043660D">
        <w:rPr>
          <w:rFonts w:eastAsia="Times New Roman"/>
          <w:highlight w:val="green"/>
          <w:lang w:eastAsia="hu-HU"/>
        </w:rPr>
        <w:t>-próba esetén, ha a mintát </w:t>
      </w:r>
      <w:r w:rsidRPr="0043660D">
        <w:rPr>
          <w:rFonts w:eastAsia="Times New Roman"/>
          <w:highlight w:val="green"/>
          <w:bdr w:val="none" w:sz="0" w:space="0" w:color="auto" w:frame="1"/>
          <w:lang w:eastAsia="hu-HU"/>
        </w:rPr>
        <w:t>n</w:t>
      </w:r>
      <w:r w:rsidRPr="0043660D">
        <w:rPr>
          <w:rFonts w:eastAsia="Times New Roman"/>
          <w:highlight w:val="green"/>
          <w:lang w:eastAsia="hu-HU"/>
        </w:rPr>
        <w:t> elempár alkotja, akkor a szabadsági fok pontosan </w:t>
      </w:r>
      <w:r w:rsidRPr="0043660D">
        <w:rPr>
          <w:rFonts w:eastAsia="Times New Roman"/>
          <w:highlight w:val="green"/>
          <w:bdr w:val="none" w:sz="0" w:space="0" w:color="auto" w:frame="1"/>
          <w:lang w:eastAsia="hu-HU"/>
        </w:rPr>
        <w:t>n−1</w:t>
      </w:r>
      <w:r w:rsidRPr="0043660D">
        <w:rPr>
          <w:rFonts w:eastAsia="Times New Roman"/>
          <w:highlight w:val="green"/>
          <w:lang w:eastAsia="hu-HU"/>
        </w:rPr>
        <w:t xml:space="preserve">.  </w:t>
      </w:r>
    </w:p>
    <w:p w14:paraId="198AD287" w14:textId="77777777" w:rsidR="006A4082" w:rsidRPr="0043660D" w:rsidRDefault="006A4082" w:rsidP="006A4082">
      <w:pPr>
        <w:pStyle w:val="Listaszerbekezds"/>
        <w:numPr>
          <w:ilvl w:val="0"/>
          <w:numId w:val="35"/>
        </w:numPr>
        <w:spacing w:after="0" w:line="259" w:lineRule="auto"/>
        <w:jc w:val="both"/>
        <w:rPr>
          <w:highlight w:val="green"/>
        </w:rPr>
      </w:pPr>
      <w:r w:rsidRPr="0043660D">
        <w:rPr>
          <w:highlight w:val="green"/>
        </w:rPr>
        <w:t>Páros mintás t-próbánál tetszőleges α szinthez megadható olyan kritikus tartomány, hogy az elsőfajú hiba valószínűsége pontosan α.</w:t>
      </w:r>
    </w:p>
    <w:p w14:paraId="7DBB3824" w14:textId="77777777" w:rsidR="006A4082" w:rsidRPr="0043660D" w:rsidRDefault="006A4082" w:rsidP="006A4082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43660D">
        <w:rPr>
          <w:rFonts w:eastAsia="Times New Roman"/>
          <w:highlight w:val="green"/>
          <w:lang w:eastAsia="hu-HU"/>
        </w:rPr>
        <w:t>Páros mintás </w:t>
      </w:r>
      <w:r w:rsidRPr="0043660D">
        <w:rPr>
          <w:rFonts w:eastAsia="Times New Roman"/>
          <w:highlight w:val="green"/>
          <w:bdr w:val="none" w:sz="0" w:space="0" w:color="auto" w:frame="1"/>
          <w:lang w:eastAsia="hu-HU"/>
        </w:rPr>
        <w:t>t</w:t>
      </w:r>
      <w:r w:rsidRPr="0043660D">
        <w:rPr>
          <w:rFonts w:eastAsia="Times New Roman"/>
          <w:highlight w:val="green"/>
          <w:lang w:eastAsia="hu-HU"/>
        </w:rPr>
        <w:t>-próba esetén, a két ismérv tipikusan nem független.</w:t>
      </w:r>
    </w:p>
    <w:p w14:paraId="354A894A" w14:textId="77777777" w:rsidR="00F62DD6" w:rsidRPr="0043660D" w:rsidRDefault="00F62DD6" w:rsidP="00F62DD6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43660D">
        <w:rPr>
          <w:rFonts w:eastAsia="Times New Roman"/>
          <w:highlight w:val="green"/>
          <w:lang w:eastAsia="hu-HU"/>
        </w:rPr>
        <w:t>A sokasági arányra irányuló kétmintás próba esetén, ha a tesztérték nem nulla, nincs szükség a közös valószínűség kombinált becslésére.</w:t>
      </w:r>
    </w:p>
    <w:p w14:paraId="318C5FCC" w14:textId="77777777" w:rsidR="00990259" w:rsidRPr="0043660D" w:rsidRDefault="00990259" w:rsidP="00990259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</w:rPr>
      </w:pPr>
      <w:r w:rsidRPr="0043660D">
        <w:rPr>
          <w:rFonts w:eastAsia="Times New Roman"/>
          <w:highlight w:val="green"/>
        </w:rPr>
        <w:t>Páros mintás </w:t>
      </w:r>
      <w:r w:rsidRPr="0043660D">
        <w:rPr>
          <w:rFonts w:eastAsia="Times New Roman"/>
          <w:highlight w:val="green"/>
          <w:bdr w:val="none" w:sz="0" w:space="0" w:color="auto" w:frame="1"/>
        </w:rPr>
        <w:t>t</w:t>
      </w:r>
      <w:r w:rsidRPr="0043660D">
        <w:rPr>
          <w:rFonts w:eastAsia="Times New Roman"/>
          <w:highlight w:val="green"/>
        </w:rPr>
        <w:t>-próba esetén, ha a mintát </w:t>
      </w:r>
      <w:r w:rsidRPr="0043660D">
        <w:rPr>
          <w:rFonts w:eastAsia="Times New Roman"/>
          <w:highlight w:val="green"/>
          <w:bdr w:val="none" w:sz="0" w:space="0" w:color="auto" w:frame="1"/>
        </w:rPr>
        <w:t>n</w:t>
      </w:r>
      <w:r w:rsidRPr="0043660D">
        <w:rPr>
          <w:rFonts w:eastAsia="Times New Roman"/>
          <w:highlight w:val="green"/>
        </w:rPr>
        <w:t> elempár alkotja, akkor a szabadsági fok pontosan </w:t>
      </w:r>
      <w:r w:rsidRPr="0043660D">
        <w:rPr>
          <w:rFonts w:eastAsia="Times New Roman"/>
          <w:highlight w:val="green"/>
          <w:bdr w:val="none" w:sz="0" w:space="0" w:color="auto" w:frame="1"/>
        </w:rPr>
        <w:t>n−1</w:t>
      </w:r>
      <w:r w:rsidRPr="0043660D">
        <w:rPr>
          <w:rFonts w:eastAsia="Times New Roman"/>
          <w:highlight w:val="green"/>
        </w:rPr>
        <w:t>.</w:t>
      </w:r>
    </w:p>
    <w:p w14:paraId="09BA78D8" w14:textId="77777777" w:rsidR="009662F4" w:rsidRPr="0043660D" w:rsidRDefault="009662F4" w:rsidP="009662F4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43660D">
        <w:rPr>
          <w:rFonts w:eastAsia="Times New Roman"/>
          <w:highlight w:val="green"/>
          <w:lang w:eastAsia="hu-HU"/>
        </w:rPr>
        <w:t>Páros mintás t-próba esetén, ha a próbafüggvényünk értéke a kritikus tartományba esik, elutasítjuk a nullhipotézisünket.</w:t>
      </w:r>
    </w:p>
    <w:p w14:paraId="3A783B6C" w14:textId="26D22ECF" w:rsidR="00990259" w:rsidRPr="00BB2C85" w:rsidRDefault="0043660D" w:rsidP="0043660D">
      <w:pPr>
        <w:pStyle w:val="Listaszerbekezds"/>
        <w:numPr>
          <w:ilvl w:val="0"/>
          <w:numId w:val="35"/>
        </w:numPr>
        <w:spacing w:after="0" w:line="240" w:lineRule="auto"/>
        <w:rPr>
          <w:rFonts w:eastAsia="Times New Roman"/>
          <w:highlight w:val="green"/>
          <w:lang w:eastAsia="hu-HU"/>
        </w:rPr>
      </w:pPr>
      <w:r w:rsidRPr="0043660D">
        <w:rPr>
          <w:rFonts w:eastAsia="Times New Roman"/>
          <w:highlight w:val="green"/>
          <w:shd w:val="clear" w:color="auto" w:fill="EFF9FC"/>
          <w:lang w:eastAsia="hu-HU"/>
        </w:rPr>
        <w:t>A szórások egyenlőségének vizsgálatára alkalmazott </w:t>
      </w:r>
      <w:r w:rsidRPr="0043660D">
        <w:rPr>
          <w:rFonts w:eastAsia="Times New Roman"/>
          <w:highlight w:val="green"/>
          <w:bdr w:val="none" w:sz="0" w:space="0" w:color="auto" w:frame="1"/>
          <w:shd w:val="clear" w:color="auto" w:fill="EFF9FC"/>
          <w:lang w:eastAsia="hu-HU"/>
        </w:rPr>
        <w:t>F</w:t>
      </w:r>
      <w:r w:rsidRPr="0043660D">
        <w:rPr>
          <w:rFonts w:eastAsia="Times New Roman"/>
          <w:highlight w:val="green"/>
          <w:shd w:val="clear" w:color="auto" w:fill="EFF9FC"/>
          <w:lang w:eastAsia="hu-HU"/>
        </w:rPr>
        <w:t>-próba esetén a FAE minták majdnem minden esetben normális eloszlásból kell, hogy származzanak.</w:t>
      </w:r>
    </w:p>
    <w:p w14:paraId="5FA702CD" w14:textId="57418E23" w:rsidR="00BB2C85" w:rsidRPr="00BB2C85" w:rsidRDefault="00BB2C85" w:rsidP="00BB2C85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BB2C85">
        <w:rPr>
          <w:rFonts w:eastAsia="Times New Roman"/>
          <w:highlight w:val="green"/>
          <w:lang w:eastAsia="hu-HU"/>
        </w:rPr>
        <w:t>Amikor binomiális próbát szeretnénk használni, az </w:t>
      </w:r>
      <w:r w:rsidRPr="00BB2C85">
        <w:rPr>
          <w:rFonts w:eastAsia="Times New Roman"/>
          <w:highlight w:val="green"/>
          <w:bdr w:val="none" w:sz="0" w:space="0" w:color="auto" w:frame="1"/>
          <w:lang w:eastAsia="hu-HU"/>
        </w:rPr>
        <w:t>n</w:t>
      </w:r>
      <w:r w:rsidRPr="00BB2C85">
        <w:rPr>
          <w:rFonts w:eastAsia="Times New Roman"/>
          <w:highlight w:val="green"/>
          <w:lang w:eastAsia="hu-HU"/>
        </w:rPr>
        <w:t xml:space="preserve"> elemű minta egy adott eseményre </w:t>
      </w:r>
      <w:proofErr w:type="spellStart"/>
      <w:r w:rsidRPr="00BB2C85">
        <w:rPr>
          <w:rFonts w:eastAsia="Times New Roman"/>
          <w:highlight w:val="green"/>
          <w:lang w:eastAsia="hu-HU"/>
        </w:rPr>
        <w:t>vonaktozó</w:t>
      </w:r>
      <w:proofErr w:type="spellEnd"/>
      <w:r w:rsidRPr="00BB2C85">
        <w:rPr>
          <w:rFonts w:eastAsia="Times New Roman"/>
          <w:highlight w:val="green"/>
          <w:lang w:eastAsia="hu-HU"/>
        </w:rPr>
        <w:t> </w:t>
      </w:r>
      <w:r w:rsidRPr="00BB2C85">
        <w:rPr>
          <w:rFonts w:eastAsia="Times New Roman"/>
          <w:highlight w:val="green"/>
          <w:bdr w:val="none" w:sz="0" w:space="0" w:color="auto" w:frame="1"/>
          <w:lang w:eastAsia="hu-HU"/>
        </w:rPr>
        <w:t>n</w:t>
      </w:r>
      <w:r w:rsidRPr="00BB2C85">
        <w:rPr>
          <w:rFonts w:eastAsia="Times New Roman"/>
          <w:highlight w:val="green"/>
          <w:lang w:eastAsia="hu-HU"/>
        </w:rPr>
        <w:t> független kísérlet eredményeként adódik.</w:t>
      </w:r>
    </w:p>
    <w:p w14:paraId="214139C2" w14:textId="77777777" w:rsidR="00BB2C85" w:rsidRDefault="00BB2C85" w:rsidP="00BB2C85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val="en-US"/>
        </w:rPr>
      </w:pPr>
      <w:proofErr w:type="spellStart"/>
      <w:r w:rsidRPr="00BB2C85">
        <w:rPr>
          <w:rFonts w:eastAsia="Times New Roman"/>
          <w:highlight w:val="green"/>
          <w:lang w:val="en-US"/>
        </w:rPr>
        <w:t>Amennyiben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azt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szeretnénk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megvizsgálni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, </w:t>
      </w:r>
      <w:proofErr w:type="spellStart"/>
      <w:r w:rsidRPr="00BB2C85">
        <w:rPr>
          <w:rFonts w:eastAsia="Times New Roman"/>
          <w:highlight w:val="green"/>
          <w:lang w:val="en-US"/>
        </w:rPr>
        <w:t>hogy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egy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minta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mediánja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megegyezik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-e </w:t>
      </w:r>
      <w:proofErr w:type="spellStart"/>
      <w:r w:rsidRPr="00BB2C85">
        <w:rPr>
          <w:rFonts w:eastAsia="Times New Roman"/>
          <w:highlight w:val="green"/>
          <w:lang w:val="en-US"/>
        </w:rPr>
        <w:t>egy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adott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tesztértékkel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, </w:t>
      </w:r>
      <w:proofErr w:type="spellStart"/>
      <w:r w:rsidRPr="00BB2C85">
        <w:rPr>
          <w:rFonts w:eastAsia="Times New Roman"/>
          <w:highlight w:val="green"/>
          <w:lang w:val="en-US"/>
        </w:rPr>
        <w:t>előjel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próbát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kell</w:t>
      </w:r>
      <w:proofErr w:type="spellEnd"/>
      <w:r w:rsidRPr="00BB2C85">
        <w:rPr>
          <w:rFonts w:eastAsia="Times New Roman"/>
          <w:highlight w:val="green"/>
          <w:lang w:val="en-US"/>
        </w:rPr>
        <w:t xml:space="preserve"> </w:t>
      </w:r>
      <w:proofErr w:type="spellStart"/>
      <w:r w:rsidRPr="00BB2C85">
        <w:rPr>
          <w:rFonts w:eastAsia="Times New Roman"/>
          <w:highlight w:val="green"/>
          <w:lang w:val="en-US"/>
        </w:rPr>
        <w:t>alkalmaznunk</w:t>
      </w:r>
      <w:proofErr w:type="spellEnd"/>
      <w:r w:rsidRPr="00BB2C85">
        <w:rPr>
          <w:rFonts w:eastAsia="Times New Roman"/>
          <w:highlight w:val="green"/>
          <w:lang w:val="en-US"/>
        </w:rPr>
        <w:t>.</w:t>
      </w:r>
    </w:p>
    <w:p w14:paraId="0BF36E8C" w14:textId="3BF1637F" w:rsidR="00BB5EB5" w:rsidRPr="00BB5EB5" w:rsidRDefault="00BB5EB5" w:rsidP="00BB5EB5">
      <w:pPr>
        <w:pStyle w:val="Listaszerbekezds"/>
        <w:numPr>
          <w:ilvl w:val="0"/>
          <w:numId w:val="35"/>
        </w:numPr>
        <w:spacing w:after="0" w:line="259" w:lineRule="auto"/>
        <w:jc w:val="both"/>
        <w:rPr>
          <w:highlight w:val="green"/>
        </w:rPr>
      </w:pPr>
      <w:r w:rsidRPr="00BB5EB5">
        <w:rPr>
          <w:highlight w:val="green"/>
        </w:rPr>
        <w:t xml:space="preserve">A </w:t>
      </w:r>
      <w:proofErr w:type="spellStart"/>
      <w:r w:rsidRPr="00BB5EB5">
        <w:rPr>
          <w:highlight w:val="green"/>
        </w:rPr>
        <w:t>Wald-Wolfowitz</w:t>
      </w:r>
      <w:proofErr w:type="spellEnd"/>
      <w:r w:rsidRPr="00BB5EB5">
        <w:rPr>
          <w:highlight w:val="green"/>
        </w:rPr>
        <w:t xml:space="preserve"> próba alkalmazása esetén </w:t>
      </w:r>
      <w:proofErr w:type="gramStart"/>
      <w:r w:rsidRPr="00BB5EB5">
        <w:rPr>
          <w:highlight w:val="green"/>
        </w:rPr>
        <w:t>fenn áll</w:t>
      </w:r>
      <w:proofErr w:type="gramEnd"/>
      <w:r w:rsidRPr="00BB5EB5">
        <w:rPr>
          <w:highlight w:val="green"/>
        </w:rPr>
        <w:t xml:space="preserve"> a lehetősége annak, hogy nem tudunk dönteni arról, hogy elfogadjuk, vagy elutasítjuk-e a nullhipotézist.</w:t>
      </w:r>
    </w:p>
    <w:p w14:paraId="5045D848" w14:textId="58661041" w:rsidR="00BB5EB5" w:rsidRPr="00BB5EB5" w:rsidRDefault="00BB5EB5" w:rsidP="00BB5EB5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BB5EB5">
        <w:rPr>
          <w:rFonts w:eastAsia="Times New Roman"/>
          <w:highlight w:val="green"/>
          <w:lang w:eastAsia="hu-HU"/>
        </w:rPr>
        <w:t>A sorozatpróba azt ellenőrzi, hogy egy kétállapotú minta elemei véletlenszerű sorrendben követik-e egymást.</w:t>
      </w:r>
    </w:p>
    <w:p w14:paraId="247F9253" w14:textId="77777777" w:rsidR="00BB5EB5" w:rsidRPr="00BB5EB5" w:rsidRDefault="00BB5EB5" w:rsidP="00BB5EB5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</w:rPr>
      </w:pPr>
      <w:r w:rsidRPr="00BB5EB5">
        <w:rPr>
          <w:rFonts w:eastAsia="Times New Roman"/>
          <w:highlight w:val="green"/>
        </w:rPr>
        <w:lastRenderedPageBreak/>
        <w:t xml:space="preserve">A </w:t>
      </w:r>
      <w:proofErr w:type="spellStart"/>
      <w:r w:rsidRPr="00BB5EB5">
        <w:rPr>
          <w:rFonts w:eastAsia="Times New Roman"/>
          <w:highlight w:val="green"/>
        </w:rPr>
        <w:t>Kruskal</w:t>
      </w:r>
      <w:proofErr w:type="spellEnd"/>
      <w:r w:rsidRPr="00BB5EB5">
        <w:rPr>
          <w:rFonts w:eastAsia="Times New Roman"/>
          <w:highlight w:val="green"/>
        </w:rPr>
        <w:t>-Wallis próba arra adja meg a választ, hogy az egyes minták származhatnak-e ugyanazon eloszlásból.</w:t>
      </w:r>
    </w:p>
    <w:p w14:paraId="0E8AFB07" w14:textId="77777777" w:rsidR="00BB5EB5" w:rsidRPr="00BB5EB5" w:rsidRDefault="00BB5EB5" w:rsidP="00BB5EB5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BB5EB5">
        <w:rPr>
          <w:rFonts w:eastAsia="Times New Roman"/>
          <w:highlight w:val="green"/>
          <w:lang w:eastAsia="hu-HU"/>
        </w:rPr>
        <w:t>Amikor sorozatpróbát szeretnénk használni, a mintaelemek mindegyikére teljesülnie kell, hogy két osztály valamelyikébe besorolható legyen.</w:t>
      </w:r>
    </w:p>
    <w:p w14:paraId="73B377B0" w14:textId="77777777" w:rsidR="00BB5EB5" w:rsidRPr="00BB5EB5" w:rsidRDefault="00BB5EB5" w:rsidP="00BB5EB5">
      <w:pPr>
        <w:pStyle w:val="Listaszerbekezds"/>
        <w:numPr>
          <w:ilvl w:val="0"/>
          <w:numId w:val="35"/>
        </w:numPr>
        <w:spacing w:before="120" w:after="120" w:line="120" w:lineRule="atLeast"/>
        <w:contextualSpacing w:val="0"/>
        <w:rPr>
          <w:rFonts w:eastAsia="Times New Roman"/>
          <w:highlight w:val="green"/>
          <w:lang w:eastAsia="hu-HU"/>
        </w:rPr>
      </w:pPr>
      <w:r w:rsidRPr="00BB5EB5">
        <w:rPr>
          <w:rFonts w:eastAsia="Times New Roman"/>
          <w:highlight w:val="green"/>
          <w:lang w:eastAsia="hu-HU"/>
        </w:rPr>
        <w:t xml:space="preserve">A </w:t>
      </w:r>
      <w:proofErr w:type="spellStart"/>
      <w:r w:rsidRPr="00BB5EB5">
        <w:rPr>
          <w:rFonts w:eastAsia="Times New Roman"/>
          <w:highlight w:val="green"/>
          <w:lang w:eastAsia="hu-HU"/>
        </w:rPr>
        <w:t>Kruskal</w:t>
      </w:r>
      <w:proofErr w:type="spellEnd"/>
      <w:r w:rsidRPr="00BB5EB5">
        <w:rPr>
          <w:rFonts w:eastAsia="Times New Roman"/>
          <w:highlight w:val="green"/>
          <w:lang w:eastAsia="hu-HU"/>
        </w:rPr>
        <w:t>-Wallis próbának, szemben az egy szempontú szórásanalízissel, nem feltétele a minták normális eloszlása.</w:t>
      </w:r>
    </w:p>
    <w:p w14:paraId="0089E97A" w14:textId="77777777" w:rsidR="00BB5EB5" w:rsidRPr="00BB5EB5" w:rsidRDefault="00BB5EB5" w:rsidP="00BB5EB5">
      <w:pPr>
        <w:pStyle w:val="Listaszerbekezds"/>
        <w:spacing w:before="120" w:after="120" w:line="120" w:lineRule="atLeast"/>
        <w:contextualSpacing w:val="0"/>
        <w:rPr>
          <w:rFonts w:eastAsia="Times New Roman"/>
          <w:color w:val="00B050"/>
          <w:lang w:eastAsia="hu-HU"/>
        </w:rPr>
      </w:pPr>
    </w:p>
    <w:p w14:paraId="64C8B86F" w14:textId="77777777" w:rsidR="006B03F1" w:rsidRPr="0043660D" w:rsidRDefault="006B03F1" w:rsidP="006B03F1">
      <w:pPr>
        <w:rPr>
          <w:highlight w:val="red"/>
        </w:rPr>
      </w:pPr>
      <w:r w:rsidRPr="0043660D">
        <w:rPr>
          <w:b/>
          <w:bCs/>
          <w:highlight w:val="red"/>
          <w:u w:val="single"/>
        </w:rPr>
        <w:t>Rossz Válaszok:</w:t>
      </w:r>
    </w:p>
    <w:p w14:paraId="5B0487E1" w14:textId="77777777" w:rsidR="00236857" w:rsidRPr="0043660D" w:rsidRDefault="00236857" w:rsidP="000809A7">
      <w:pPr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Ha az igaz alternatív hipotézist elvetjük, elsőfajú hibát követünk el.</w:t>
      </w:r>
    </w:p>
    <w:p w14:paraId="0968C23A" w14:textId="6C017D83" w:rsidR="006D597D" w:rsidRPr="0043660D" w:rsidRDefault="00236857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α </w:t>
      </w:r>
      <w:proofErr w:type="spellStart"/>
      <w:r w:rsidRPr="0043660D">
        <w:rPr>
          <w:highlight w:val="red"/>
        </w:rPr>
        <w:t>szignifikanciájú</w:t>
      </w:r>
      <w:proofErr w:type="spellEnd"/>
      <w:r w:rsidRPr="0043660D">
        <w:rPr>
          <w:highlight w:val="red"/>
        </w:rPr>
        <w:t xml:space="preserve"> próbánál kétoldali kritikus tartomány esetén a kritikus tartomány valószínűsége 2α.</w:t>
      </w:r>
    </w:p>
    <w:p w14:paraId="68A444E7" w14:textId="77777777" w:rsidR="00236857" w:rsidRPr="0043660D" w:rsidRDefault="00236857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A másodfajú hiba β valószínűsége megegyezik a kritikus tartomány valószínűségével.</w:t>
      </w:r>
    </w:p>
    <w:p w14:paraId="14AA9769" w14:textId="6179952D" w:rsidR="00236857" w:rsidRPr="0043660D" w:rsidRDefault="0012369E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Az egymintás t-próba alkalmazási feltétele: n−1 szabadságfokú t-eloszlású FAE minta (n a mintaelemszám).</w:t>
      </w:r>
    </w:p>
    <w:p w14:paraId="019B0964" w14:textId="7AFF4B31" w:rsidR="007B7F2D" w:rsidRPr="0043660D" w:rsidRDefault="007B7F2D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Az egymintás t-próbánál a próbafüggvény n−1 szabadságfokú t-eloszlású (n a mintaelemszám).</w:t>
      </w:r>
    </w:p>
    <w:p w14:paraId="677F2709" w14:textId="280F291D" w:rsidR="003A1769" w:rsidRPr="0043660D" w:rsidRDefault="003A1769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Khi-négyzet próba esetén a korrigált tapasztalati szórásnégyzet nem függ a minta elemszámától.</w:t>
      </w:r>
    </w:p>
    <w:p w14:paraId="4F97DE29" w14:textId="77777777" w:rsidR="003F2766" w:rsidRPr="0043660D" w:rsidRDefault="003F2766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Tiszta illeszkedésvizsgálatot csak folytonos eloszlás esetén lehet alkalmazni.</w:t>
      </w:r>
    </w:p>
    <w:p w14:paraId="1873DCF8" w14:textId="77777777" w:rsidR="00CE46A2" w:rsidRPr="0043660D" w:rsidRDefault="00CE46A2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Homogenitásvizsgálat alkalmazása esetén a kritikus tartomány mindig baloldali.</w:t>
      </w:r>
    </w:p>
    <w:p w14:paraId="534287B0" w14:textId="77777777" w:rsidR="008F4534" w:rsidRPr="0043660D" w:rsidRDefault="008F4534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Ha a hamis nullhipotézist elfogadjuk, elsőfajú hibát követünk el.</w:t>
      </w:r>
    </w:p>
    <w:p w14:paraId="34528A4E" w14:textId="77777777" w:rsidR="00734E57" w:rsidRPr="0043660D" w:rsidRDefault="00734E57" w:rsidP="000809A7">
      <w:pPr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Ha a hamis alternatív hipotézist elvetjük, másodfajú hibát követünk el.</w:t>
      </w:r>
    </w:p>
    <w:p w14:paraId="1B7A1E64" w14:textId="77777777" w:rsidR="006B4D13" w:rsidRPr="0043660D" w:rsidRDefault="006B4D13" w:rsidP="000809A7">
      <w:pPr>
        <w:pStyle w:val="NormlWeb"/>
        <w:numPr>
          <w:ilvl w:val="0"/>
          <w:numId w:val="36"/>
        </w:numPr>
        <w:spacing w:before="120" w:beforeAutospacing="0" w:after="120" w:afterAutospacing="0"/>
        <w:textAlignment w:val="baseline"/>
        <w:rPr>
          <w:highlight w:val="red"/>
        </w:rPr>
      </w:pPr>
      <w:r w:rsidRPr="0043660D">
        <w:rPr>
          <w:highlight w:val="red"/>
        </w:rPr>
        <w:t>A próbafüggvény eloszlása H1 teljesülése esetén ismert.</w:t>
      </w:r>
    </w:p>
    <w:p w14:paraId="7C7F2281" w14:textId="77777777" w:rsidR="00A46246" w:rsidRPr="0043660D" w:rsidRDefault="00A46246" w:rsidP="000809A7">
      <w:pPr>
        <w:pStyle w:val="NormlWeb"/>
        <w:numPr>
          <w:ilvl w:val="0"/>
          <w:numId w:val="36"/>
        </w:numPr>
        <w:spacing w:before="120" w:beforeAutospacing="0" w:after="120" w:afterAutospacing="0"/>
        <w:textAlignment w:val="baseline"/>
        <w:rPr>
          <w:highlight w:val="red"/>
        </w:rPr>
      </w:pPr>
      <w:r w:rsidRPr="0043660D">
        <w:rPr>
          <w:highlight w:val="red"/>
        </w:rPr>
        <w:t>Tiszta illeszkedésvizsgálatot csak folytonos eloszlás esetén lehet alkalmazni.</w:t>
      </w:r>
    </w:p>
    <w:p w14:paraId="7424D3C2" w14:textId="3264EF74" w:rsidR="003F2766" w:rsidRPr="0043660D" w:rsidRDefault="000A1E3A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Az egymintás t-próba alkalmazási feltétele: n−1 szabadságfokú t-eloszlású FAE minta (n a mintaelemszám).</w:t>
      </w:r>
    </w:p>
    <w:p w14:paraId="6263AB4B" w14:textId="77777777" w:rsidR="00C86924" w:rsidRPr="0043660D" w:rsidRDefault="00C86924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Ha a minta adataiból kiszámított próbafüggvény értéke a kritikus tartományba esik, a megadott szinten elvetjük a H1 hipotézist.</w:t>
      </w:r>
    </w:p>
    <w:p w14:paraId="7D496B41" w14:textId="1C40F4BC" w:rsidR="00C86924" w:rsidRPr="0043660D" w:rsidRDefault="00583826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Ha a mintaelemszám elég nagy (n≥100n≥100), az első- és a másodfajú hibák megegyeznek.</w:t>
      </w:r>
    </w:p>
    <w:p w14:paraId="40BAA5C5" w14:textId="16DCE586" w:rsidR="00B25F33" w:rsidRPr="0043660D" w:rsidRDefault="00B25F33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Az egymintás t-próbánál a próbafüggvény H0 teljesülése esetén </w:t>
      </w:r>
      <w:proofErr w:type="gramStart"/>
      <w:r w:rsidRPr="0043660D">
        <w:rPr>
          <w:highlight w:val="red"/>
        </w:rPr>
        <w:t>N(</w:t>
      </w:r>
      <w:proofErr w:type="gramEnd"/>
      <w:r w:rsidRPr="0043660D">
        <w:rPr>
          <w:highlight w:val="red"/>
        </w:rPr>
        <w:t>0,1) eloszlású.</w:t>
      </w:r>
    </w:p>
    <w:p w14:paraId="3C3D0827" w14:textId="77777777" w:rsidR="00744078" w:rsidRPr="0043660D" w:rsidRDefault="00744078" w:rsidP="000809A7">
      <w:pPr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Ha a hamis alternatív hipotézist elvetjük, másodfajú hibát követünk el.</w:t>
      </w:r>
    </w:p>
    <w:p w14:paraId="0C305A1B" w14:textId="77777777" w:rsidR="00F85AB5" w:rsidRPr="0043660D" w:rsidRDefault="00F85AB5" w:rsidP="000809A7">
      <w:pPr>
        <w:pStyle w:val="NormlWeb"/>
        <w:numPr>
          <w:ilvl w:val="0"/>
          <w:numId w:val="36"/>
        </w:numPr>
        <w:spacing w:before="120" w:beforeAutospacing="0" w:after="120" w:afterAutospacing="0"/>
        <w:textAlignment w:val="baseline"/>
        <w:rPr>
          <w:highlight w:val="red"/>
        </w:rPr>
      </w:pPr>
      <w:r w:rsidRPr="0043660D">
        <w:rPr>
          <w:highlight w:val="red"/>
        </w:rPr>
        <w:t xml:space="preserve">Az </w:t>
      </w:r>
      <w:proofErr w:type="spellStart"/>
      <w:r w:rsidRPr="0043660D">
        <w:rPr>
          <w:highlight w:val="red"/>
        </w:rPr>
        <w:t>aszimpotitikus</w:t>
      </w:r>
      <w:proofErr w:type="spellEnd"/>
      <w:r w:rsidRPr="0043660D">
        <w:rPr>
          <w:highlight w:val="red"/>
        </w:rPr>
        <w:t xml:space="preserve"> és a kismintás z-próba adott α szignifikanciaszinthez tartozó kritikus tartományai különböznek.</w:t>
      </w:r>
    </w:p>
    <w:p w14:paraId="2A475039" w14:textId="40D3E878" w:rsidR="00B25F33" w:rsidRPr="0043660D" w:rsidRDefault="00383380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Előjel próbánál tetszőleges α szinthez megadható olyan kritikus tartomány, hogy az elsőfajú hiba valószínűsége pontosan α.</w:t>
      </w:r>
    </w:p>
    <w:p w14:paraId="7304F49B" w14:textId="6C909AB4" w:rsidR="00383380" w:rsidRPr="0043660D" w:rsidRDefault="00383380" w:rsidP="000809A7">
      <w:pPr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Adott α szignifikanciaszint esetén, ha p≤α, elfogadjuk a null hipotézist.</w:t>
      </w:r>
    </w:p>
    <w:p w14:paraId="0F9EF6C9" w14:textId="77777777" w:rsidR="00133109" w:rsidRPr="0043660D" w:rsidRDefault="00133109" w:rsidP="000809A7">
      <w:pPr>
        <w:pStyle w:val="NormlWeb"/>
        <w:numPr>
          <w:ilvl w:val="0"/>
          <w:numId w:val="36"/>
        </w:numPr>
        <w:spacing w:before="120" w:beforeAutospacing="0" w:after="120" w:afterAutospacing="0"/>
        <w:textAlignment w:val="baseline"/>
        <w:rPr>
          <w:highlight w:val="red"/>
        </w:rPr>
      </w:pPr>
      <w:r w:rsidRPr="0043660D">
        <w:rPr>
          <w:highlight w:val="red"/>
        </w:rPr>
        <w:lastRenderedPageBreak/>
        <w:t>Ha a hamis nullhipotézist elfogadjuk, elsőfajú hibát követünk el.</w:t>
      </w:r>
    </w:p>
    <w:p w14:paraId="606E3224" w14:textId="77777777" w:rsidR="00133109" w:rsidRPr="0043660D" w:rsidRDefault="00133109" w:rsidP="000809A7">
      <w:pPr>
        <w:pStyle w:val="NormlWeb"/>
        <w:numPr>
          <w:ilvl w:val="0"/>
          <w:numId w:val="36"/>
        </w:numPr>
        <w:spacing w:before="120" w:beforeAutospacing="0" w:after="120" w:afterAutospacing="0"/>
        <w:textAlignment w:val="baseline"/>
        <w:rPr>
          <w:highlight w:val="red"/>
        </w:rPr>
      </w:pPr>
      <w:r w:rsidRPr="0043660D">
        <w:rPr>
          <w:highlight w:val="red"/>
        </w:rPr>
        <w:t>A próbafüggvény eloszlása H1 teljesülése esetén ismert.</w:t>
      </w:r>
    </w:p>
    <w:p w14:paraId="79A28580" w14:textId="04137E29" w:rsidR="00383380" w:rsidRPr="0043660D" w:rsidRDefault="00211E2C" w:rsidP="000809A7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A t-próbánál jobb oldali alternatíva esetén nagyobb próbafüggvény értékhez nagyobb p-érték tartozik.</w:t>
      </w:r>
    </w:p>
    <w:p w14:paraId="2137D5C6" w14:textId="77777777" w:rsidR="0051583F" w:rsidRPr="0043660D" w:rsidRDefault="0051583F" w:rsidP="000809A7">
      <w:pPr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Ha a hamis alternatív hipotézist elvetjük, másodfajú hibát követünk el.</w:t>
      </w:r>
    </w:p>
    <w:p w14:paraId="69EFA2BC" w14:textId="77777777" w:rsidR="00200E26" w:rsidRPr="0043660D" w:rsidRDefault="00200E26" w:rsidP="008928E0">
      <w:pPr>
        <w:pStyle w:val="NormlWeb"/>
        <w:numPr>
          <w:ilvl w:val="0"/>
          <w:numId w:val="36"/>
        </w:numPr>
        <w:spacing w:before="120" w:beforeAutospacing="0" w:after="120" w:afterAutospacing="0"/>
        <w:textAlignment w:val="baseline"/>
        <w:rPr>
          <w:highlight w:val="red"/>
        </w:rPr>
      </w:pPr>
      <w:r w:rsidRPr="0043660D">
        <w:rPr>
          <w:highlight w:val="red"/>
        </w:rPr>
        <w:t>n elemű minta esetén, ha H0 teljesül, a szórásra vonatkozó khi-négyzet próba próbastatisztikájának eloszlása 2n−1 szabadságfokú khi-négyzet eloszlás.</w:t>
      </w:r>
    </w:p>
    <w:p w14:paraId="7A962272" w14:textId="77777777" w:rsidR="008C4397" w:rsidRPr="0043660D" w:rsidRDefault="008C4397" w:rsidP="008928E0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Homogenitásvizsgálatra vonatkozó khi-négyzet próbánál tetszőleges α szinthez megadható olyan kritikus tartomány, hogy az elsőfajú hiba valószínűsége pontosan α.</w:t>
      </w:r>
    </w:p>
    <w:p w14:paraId="62AC0581" w14:textId="77777777" w:rsidR="001F1A10" w:rsidRPr="0043660D" w:rsidRDefault="001F1A10" w:rsidP="008928E0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Kétmintás z-próba esetén megköveteljük a szórások ismeretét, és hogy a minták függjenek egymástól.</w:t>
      </w:r>
    </w:p>
    <w:p w14:paraId="776C3816" w14:textId="77777777" w:rsidR="001F1A10" w:rsidRPr="0043660D" w:rsidRDefault="001F1A10" w:rsidP="008928E0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A sokasági arányra vonatkozó kétmintás próba alkalmazásának nem elengedhetetlen feltétele, hogy a kísérletsorozatok függetlenek legyenek.</w:t>
      </w:r>
    </w:p>
    <w:p w14:paraId="299AF8D5" w14:textId="77777777" w:rsidR="00D12F1F" w:rsidRPr="0043660D" w:rsidRDefault="00D12F1F" w:rsidP="008928E0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>Kétmintás z-próba nem követeli meg a szórások ismeretét</w:t>
      </w:r>
    </w:p>
    <w:p w14:paraId="4E206CED" w14:textId="0129F9A9" w:rsidR="00236489" w:rsidRPr="0043660D" w:rsidRDefault="00236489" w:rsidP="008928E0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 xml:space="preserve">Kétmintás t-próba esetén a varianciák gyakran nem ismertek, valamint az egyes ismérvek egymással </w:t>
      </w:r>
      <w:proofErr w:type="spellStart"/>
      <w:r w:rsidRPr="0043660D">
        <w:rPr>
          <w:highlight w:val="red"/>
        </w:rPr>
        <w:t>összefüggnek</w:t>
      </w:r>
      <w:proofErr w:type="spellEnd"/>
      <w:r w:rsidRPr="0043660D">
        <w:rPr>
          <w:highlight w:val="red"/>
        </w:rPr>
        <w:t>.</w:t>
      </w:r>
    </w:p>
    <w:p w14:paraId="4F3CBF78" w14:textId="07AC3D54" w:rsidR="00AA74B4" w:rsidRPr="00CA1E21" w:rsidRDefault="00AA74B4" w:rsidP="008928E0">
      <w:pPr>
        <w:pStyle w:val="Listaszerbekezds"/>
        <w:numPr>
          <w:ilvl w:val="0"/>
          <w:numId w:val="36"/>
        </w:numPr>
        <w:rPr>
          <w:highlight w:val="red"/>
        </w:rPr>
      </w:pPr>
      <w:r w:rsidRPr="0043660D">
        <w:rPr>
          <w:highlight w:val="red"/>
        </w:rPr>
        <w:t xml:space="preserve">A sokasági arányra vonatkozó kétmintás próba próbafüggvénye a kétmintás t-próba </w:t>
      </w:r>
      <w:r w:rsidRPr="00CA1E21">
        <w:rPr>
          <w:highlight w:val="red"/>
        </w:rPr>
        <w:t>próbafüggvényével megegyező.</w:t>
      </w:r>
    </w:p>
    <w:p w14:paraId="4020411D" w14:textId="77777777" w:rsidR="000A7725" w:rsidRPr="00CA1E21" w:rsidRDefault="000A7725" w:rsidP="000A7725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eastAsia="hu-HU"/>
        </w:rPr>
      </w:pPr>
      <w:r w:rsidRPr="00CA1E21">
        <w:rPr>
          <w:rFonts w:eastAsia="Times New Roman"/>
          <w:highlight w:val="red"/>
          <w:lang w:eastAsia="hu-HU"/>
        </w:rPr>
        <w:t>Páros mintás </w:t>
      </w:r>
      <w:r w:rsidRPr="00CA1E21">
        <w:rPr>
          <w:rFonts w:eastAsia="Times New Roman"/>
          <w:highlight w:val="red"/>
          <w:bdr w:val="none" w:sz="0" w:space="0" w:color="auto" w:frame="1"/>
          <w:lang w:eastAsia="hu-HU"/>
        </w:rPr>
        <w:t>t</w:t>
      </w:r>
      <w:r w:rsidRPr="00CA1E21">
        <w:rPr>
          <w:rFonts w:eastAsia="Times New Roman"/>
          <w:highlight w:val="red"/>
          <w:lang w:eastAsia="hu-HU"/>
        </w:rPr>
        <w:t>-próba esetén, ha a mintát </w:t>
      </w:r>
      <w:r w:rsidRPr="00CA1E21">
        <w:rPr>
          <w:rFonts w:eastAsia="Times New Roman"/>
          <w:highlight w:val="red"/>
          <w:bdr w:val="none" w:sz="0" w:space="0" w:color="auto" w:frame="1"/>
          <w:lang w:eastAsia="hu-HU"/>
        </w:rPr>
        <w:t>n</w:t>
      </w:r>
      <w:r w:rsidRPr="00CA1E21">
        <w:rPr>
          <w:rFonts w:eastAsia="Times New Roman"/>
          <w:highlight w:val="red"/>
          <w:lang w:eastAsia="hu-HU"/>
        </w:rPr>
        <w:t xml:space="preserve"> elempár alkotja, a próbastatisztika szabadsági foka pontosan </w:t>
      </w:r>
      <w:r w:rsidRPr="00CA1E21">
        <w:rPr>
          <w:rFonts w:eastAsia="Times New Roman"/>
          <w:highlight w:val="red"/>
          <w:bdr w:val="none" w:sz="0" w:space="0" w:color="auto" w:frame="1"/>
          <w:lang w:eastAsia="hu-HU"/>
        </w:rPr>
        <w:t>n+1</w:t>
      </w:r>
      <w:r w:rsidRPr="00CA1E21">
        <w:rPr>
          <w:rFonts w:eastAsia="Times New Roman"/>
          <w:highlight w:val="red"/>
          <w:lang w:eastAsia="hu-HU"/>
        </w:rPr>
        <w:t>.</w:t>
      </w:r>
    </w:p>
    <w:p w14:paraId="6EA8B7F1" w14:textId="77777777" w:rsidR="009C6AFB" w:rsidRPr="00CA1E21" w:rsidRDefault="009C6AFB" w:rsidP="009C6AFB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eastAsia="hu-HU"/>
        </w:rPr>
      </w:pPr>
      <w:r w:rsidRPr="00CA1E21">
        <w:rPr>
          <w:rFonts w:eastAsia="Times New Roman"/>
          <w:highlight w:val="red"/>
          <w:lang w:eastAsia="hu-HU"/>
        </w:rPr>
        <w:t>Az egy szempontú szórásanalízis esetén, ha a próbafüggvény értéke nagyobb, mint egy előre meghatározott szignifikanciaszint, elvetjük a nullhipotézist.</w:t>
      </w:r>
    </w:p>
    <w:p w14:paraId="0D7A0681" w14:textId="77777777" w:rsidR="00607D31" w:rsidRPr="00CA1E21" w:rsidRDefault="00607D31" w:rsidP="00607D31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val="en-US"/>
        </w:rPr>
      </w:pPr>
      <w:r w:rsidRPr="00CA1E21">
        <w:rPr>
          <w:rFonts w:eastAsia="Times New Roman"/>
          <w:highlight w:val="red"/>
          <w:lang w:val="en-US"/>
        </w:rPr>
        <w:t xml:space="preserve">A </w:t>
      </w:r>
      <w:proofErr w:type="spellStart"/>
      <w:r w:rsidRPr="00CA1E21">
        <w:rPr>
          <w:rFonts w:eastAsia="Times New Roman"/>
          <w:highlight w:val="red"/>
          <w:lang w:val="en-US"/>
        </w:rPr>
        <w:t>szórásanalízis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tetszőleges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eloszlású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minták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esetén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alkalmazható</w:t>
      </w:r>
      <w:proofErr w:type="spellEnd"/>
      <w:r w:rsidRPr="00CA1E21">
        <w:rPr>
          <w:rFonts w:eastAsia="Times New Roman"/>
          <w:highlight w:val="red"/>
          <w:lang w:val="en-US"/>
        </w:rPr>
        <w:t>.</w:t>
      </w:r>
    </w:p>
    <w:p w14:paraId="1B225659" w14:textId="77777777" w:rsidR="008F3783" w:rsidRPr="00CA1E21" w:rsidRDefault="008F3783" w:rsidP="008F3783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val="en-US"/>
        </w:rPr>
      </w:pPr>
      <w:r w:rsidRPr="00CA1E21">
        <w:rPr>
          <w:rFonts w:eastAsia="Times New Roman"/>
          <w:highlight w:val="red"/>
          <w:lang w:val="en-US"/>
        </w:rPr>
        <w:t>A Bartlett-</w:t>
      </w:r>
      <w:proofErr w:type="spellStart"/>
      <w:r w:rsidRPr="00CA1E21">
        <w:rPr>
          <w:rFonts w:eastAsia="Times New Roman"/>
          <w:highlight w:val="red"/>
          <w:lang w:val="en-US"/>
        </w:rPr>
        <w:t>próba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több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minta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várható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értékének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egyenlőségét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vizsgálja</w:t>
      </w:r>
      <w:proofErr w:type="spellEnd"/>
      <w:r w:rsidRPr="00CA1E21">
        <w:rPr>
          <w:rFonts w:eastAsia="Times New Roman"/>
          <w:highlight w:val="red"/>
          <w:lang w:val="en-US"/>
        </w:rPr>
        <w:t>.</w:t>
      </w:r>
    </w:p>
    <w:p w14:paraId="3FCB76BC" w14:textId="77777777" w:rsidR="000F7DA3" w:rsidRPr="00CA1E21" w:rsidRDefault="000F7DA3" w:rsidP="000F7DA3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val="en-US"/>
        </w:rPr>
      </w:pPr>
      <w:r w:rsidRPr="00CA1E21">
        <w:rPr>
          <w:rFonts w:eastAsia="Times New Roman"/>
          <w:highlight w:val="red"/>
          <w:lang w:val="en-US"/>
        </w:rPr>
        <w:t xml:space="preserve">Az </w:t>
      </w:r>
      <w:proofErr w:type="spellStart"/>
      <w:r w:rsidRPr="00CA1E21">
        <w:rPr>
          <w:rFonts w:eastAsia="Times New Roman"/>
          <w:highlight w:val="red"/>
          <w:lang w:val="en-US"/>
        </w:rPr>
        <w:t>egy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szempontú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szórásanalízis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során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megfogalmazott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nullhipotézis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: </w:t>
      </w:r>
      <w:proofErr w:type="spellStart"/>
      <w:r w:rsidRPr="00CA1E21">
        <w:rPr>
          <w:rFonts w:eastAsia="Times New Roman"/>
          <w:highlight w:val="red"/>
          <w:lang w:val="en-US"/>
        </w:rPr>
        <w:t>Létezik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legalább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egy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sokaság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, </w:t>
      </w:r>
      <w:proofErr w:type="spellStart"/>
      <w:r w:rsidRPr="00CA1E21">
        <w:rPr>
          <w:rFonts w:eastAsia="Times New Roman"/>
          <w:highlight w:val="red"/>
          <w:lang w:val="en-US"/>
        </w:rPr>
        <w:t>mely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várható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értéke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eltér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a </w:t>
      </w:r>
      <w:proofErr w:type="spellStart"/>
      <w:r w:rsidRPr="00CA1E21">
        <w:rPr>
          <w:rFonts w:eastAsia="Times New Roman"/>
          <w:highlight w:val="red"/>
          <w:lang w:val="en-US"/>
        </w:rPr>
        <w:t>többiétől</w:t>
      </w:r>
      <w:proofErr w:type="spellEnd"/>
      <w:r w:rsidRPr="00CA1E21">
        <w:rPr>
          <w:rFonts w:eastAsia="Times New Roman"/>
          <w:highlight w:val="red"/>
          <w:lang w:val="en-US"/>
        </w:rPr>
        <w:t>.</w:t>
      </w:r>
    </w:p>
    <w:p w14:paraId="26BDEA5B" w14:textId="77777777" w:rsidR="00296B8E" w:rsidRPr="00CA1E21" w:rsidRDefault="00296B8E" w:rsidP="00296B8E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val="en-US"/>
        </w:rPr>
      </w:pPr>
      <w:r w:rsidRPr="00CA1E21">
        <w:rPr>
          <w:rFonts w:eastAsia="Times New Roman"/>
          <w:highlight w:val="red"/>
          <w:lang w:val="en-US"/>
        </w:rPr>
        <w:t xml:space="preserve">A </w:t>
      </w:r>
      <w:proofErr w:type="spellStart"/>
      <w:r w:rsidRPr="00CA1E21">
        <w:rPr>
          <w:rFonts w:eastAsia="Times New Roman"/>
          <w:highlight w:val="red"/>
          <w:lang w:val="en-US"/>
        </w:rPr>
        <w:t>szórások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egyenlőségének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vizsgálatára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alkalmazott</w:t>
      </w:r>
      <w:proofErr w:type="spellEnd"/>
      <w:r w:rsidRPr="00CA1E21">
        <w:rPr>
          <w:rFonts w:eastAsia="Times New Roman"/>
          <w:highlight w:val="red"/>
          <w:lang w:val="en-US"/>
        </w:rPr>
        <w:t> </w:t>
      </w:r>
      <w:r w:rsidRPr="00CA1E21">
        <w:rPr>
          <w:rFonts w:eastAsia="Times New Roman"/>
          <w:highlight w:val="red"/>
          <w:bdr w:val="none" w:sz="0" w:space="0" w:color="auto" w:frame="1"/>
          <w:lang w:val="en-US"/>
        </w:rPr>
        <w:t>F</w:t>
      </w:r>
      <w:r w:rsidRPr="00CA1E21">
        <w:rPr>
          <w:rFonts w:eastAsia="Times New Roman"/>
          <w:highlight w:val="red"/>
          <w:lang w:val="en-US"/>
        </w:rPr>
        <w:t>-</w:t>
      </w:r>
      <w:proofErr w:type="spellStart"/>
      <w:r w:rsidRPr="00CA1E21">
        <w:rPr>
          <w:rFonts w:eastAsia="Times New Roman"/>
          <w:highlight w:val="red"/>
          <w:lang w:val="en-US"/>
        </w:rPr>
        <w:t>próba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esetén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a FAE </w:t>
      </w:r>
      <w:proofErr w:type="spellStart"/>
      <w:r w:rsidRPr="00CA1E21">
        <w:rPr>
          <w:rFonts w:eastAsia="Times New Roman"/>
          <w:highlight w:val="red"/>
          <w:lang w:val="en-US"/>
        </w:rPr>
        <w:t>minták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majdnem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minden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esetben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normális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eloszlásból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kell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, </w:t>
      </w:r>
      <w:proofErr w:type="spellStart"/>
      <w:r w:rsidRPr="00CA1E21">
        <w:rPr>
          <w:rFonts w:eastAsia="Times New Roman"/>
          <w:highlight w:val="red"/>
          <w:lang w:val="en-US"/>
        </w:rPr>
        <w:t>hogy</w:t>
      </w:r>
      <w:proofErr w:type="spellEnd"/>
      <w:r w:rsidRPr="00CA1E21">
        <w:rPr>
          <w:rFonts w:eastAsia="Times New Roman"/>
          <w:highlight w:val="red"/>
          <w:lang w:val="en-US"/>
        </w:rPr>
        <w:t xml:space="preserve"> </w:t>
      </w:r>
      <w:proofErr w:type="spellStart"/>
      <w:r w:rsidRPr="00CA1E21">
        <w:rPr>
          <w:rFonts w:eastAsia="Times New Roman"/>
          <w:highlight w:val="red"/>
          <w:lang w:val="en-US"/>
        </w:rPr>
        <w:t>származzanak</w:t>
      </w:r>
      <w:proofErr w:type="spellEnd"/>
      <w:r w:rsidRPr="00CA1E21">
        <w:rPr>
          <w:rFonts w:eastAsia="Times New Roman"/>
          <w:highlight w:val="red"/>
          <w:lang w:val="en-US"/>
        </w:rPr>
        <w:t>.</w:t>
      </w:r>
    </w:p>
    <w:p w14:paraId="0F3392DD" w14:textId="77777777" w:rsidR="00285106" w:rsidRPr="00CA1E21" w:rsidRDefault="00285106" w:rsidP="00285106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eastAsia="hu-HU"/>
        </w:rPr>
      </w:pPr>
      <w:r w:rsidRPr="00CA1E21">
        <w:rPr>
          <w:rFonts w:eastAsia="Times New Roman"/>
          <w:highlight w:val="red"/>
          <w:lang w:eastAsia="hu-HU"/>
        </w:rPr>
        <w:t>Páros mintás </w:t>
      </w:r>
      <w:r w:rsidRPr="00CA1E21">
        <w:rPr>
          <w:rFonts w:eastAsia="Times New Roman"/>
          <w:highlight w:val="red"/>
          <w:bdr w:val="none" w:sz="0" w:space="0" w:color="auto" w:frame="1"/>
          <w:lang w:eastAsia="hu-HU"/>
        </w:rPr>
        <w:t>t</w:t>
      </w:r>
      <w:r w:rsidRPr="00CA1E21">
        <w:rPr>
          <w:rFonts w:eastAsia="Times New Roman"/>
          <w:highlight w:val="red"/>
          <w:lang w:eastAsia="hu-HU"/>
        </w:rPr>
        <w:t>-próbát kizárólag akkor érdemes alkalmazni, ha a minták függetlenek egymástól.</w:t>
      </w:r>
    </w:p>
    <w:p w14:paraId="670FEEFE" w14:textId="77777777" w:rsidR="002724C7" w:rsidRPr="00CA1E21" w:rsidRDefault="002724C7" w:rsidP="002724C7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eastAsia="hu-HU"/>
        </w:rPr>
      </w:pPr>
      <w:r w:rsidRPr="00CA1E21">
        <w:rPr>
          <w:rFonts w:eastAsia="Times New Roman"/>
          <w:highlight w:val="red"/>
          <w:lang w:eastAsia="hu-HU"/>
        </w:rPr>
        <w:t>A Bartlett-próba több minta várható értékének egyenlőségét vizsgálja.</w:t>
      </w:r>
    </w:p>
    <w:p w14:paraId="3A6B57B2" w14:textId="77777777" w:rsidR="00A75C77" w:rsidRPr="00CA1E21" w:rsidRDefault="00A75C77" w:rsidP="00A75C77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</w:rPr>
      </w:pPr>
      <w:r w:rsidRPr="00CA1E21">
        <w:rPr>
          <w:rFonts w:eastAsia="Times New Roman"/>
          <w:highlight w:val="red"/>
        </w:rPr>
        <w:t>A páros mintás </w:t>
      </w:r>
      <w:r w:rsidRPr="00CA1E21">
        <w:rPr>
          <w:rFonts w:eastAsia="Times New Roman"/>
          <w:highlight w:val="red"/>
          <w:bdr w:val="none" w:sz="0" w:space="0" w:color="auto" w:frame="1"/>
        </w:rPr>
        <w:t>t</w:t>
      </w:r>
      <w:r w:rsidRPr="00CA1E21">
        <w:rPr>
          <w:rFonts w:eastAsia="Times New Roman"/>
          <w:highlight w:val="red"/>
        </w:rPr>
        <w:t>-próba azt ellenőrzi, hogy független minták szórásai egyenlőek.</w:t>
      </w:r>
    </w:p>
    <w:p w14:paraId="43102360" w14:textId="77777777" w:rsidR="00A75C77" w:rsidRPr="00CA1E21" w:rsidRDefault="00A75C77" w:rsidP="00A75C77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</w:rPr>
      </w:pPr>
      <w:r w:rsidRPr="00CA1E21">
        <w:rPr>
          <w:rFonts w:eastAsia="Times New Roman"/>
          <w:highlight w:val="red"/>
        </w:rPr>
        <w:t>A páros mintás t-próba azt ellenőrzi, hogy független minták ismert szórásai egyenlőek.</w:t>
      </w:r>
    </w:p>
    <w:p w14:paraId="1B969827" w14:textId="77777777" w:rsidR="004A240B" w:rsidRPr="004A240B" w:rsidRDefault="004A240B" w:rsidP="004A240B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val="en-US"/>
        </w:rPr>
      </w:pPr>
      <w:proofErr w:type="spellStart"/>
      <w:r w:rsidRPr="004A240B">
        <w:rPr>
          <w:rFonts w:eastAsia="Times New Roman"/>
          <w:highlight w:val="red"/>
          <w:lang w:val="en-US"/>
        </w:rPr>
        <w:t>Binomiális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próbánál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tetszőleges</w:t>
      </w:r>
      <w:proofErr w:type="spellEnd"/>
      <w:r w:rsidRPr="004A240B">
        <w:rPr>
          <w:rFonts w:eastAsia="Times New Roman"/>
          <w:highlight w:val="red"/>
          <w:lang w:val="en-US"/>
        </w:rPr>
        <w:t> </w:t>
      </w:r>
      <w:r w:rsidRPr="004A240B">
        <w:rPr>
          <w:rFonts w:eastAsia="Times New Roman"/>
          <w:highlight w:val="red"/>
          <w:bdr w:val="none" w:sz="0" w:space="0" w:color="auto" w:frame="1"/>
          <w:lang w:val="en-US"/>
        </w:rPr>
        <w:t>α</w:t>
      </w:r>
      <w:r w:rsidRPr="004A240B">
        <w:rPr>
          <w:rFonts w:eastAsia="Times New Roman"/>
          <w:highlight w:val="red"/>
          <w:lang w:val="en-US"/>
        </w:rPr>
        <w:t> </w:t>
      </w:r>
      <w:proofErr w:type="spellStart"/>
      <w:r w:rsidRPr="004A240B">
        <w:rPr>
          <w:rFonts w:eastAsia="Times New Roman"/>
          <w:highlight w:val="red"/>
          <w:lang w:val="en-US"/>
        </w:rPr>
        <w:t>szinthez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megadható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olyan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kritikus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tartomány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, </w:t>
      </w:r>
      <w:proofErr w:type="spellStart"/>
      <w:r w:rsidRPr="004A240B">
        <w:rPr>
          <w:rFonts w:eastAsia="Times New Roman"/>
          <w:highlight w:val="red"/>
          <w:lang w:val="en-US"/>
        </w:rPr>
        <w:t>hogy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az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elsőfajú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hiba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valószínűsége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pontosan</w:t>
      </w:r>
      <w:proofErr w:type="spellEnd"/>
      <w:r w:rsidRPr="004A240B">
        <w:rPr>
          <w:rFonts w:eastAsia="Times New Roman"/>
          <w:highlight w:val="red"/>
          <w:lang w:val="en-US"/>
        </w:rPr>
        <w:t> </w:t>
      </w:r>
      <w:r w:rsidRPr="004A240B">
        <w:rPr>
          <w:rFonts w:eastAsia="Times New Roman"/>
          <w:highlight w:val="red"/>
          <w:bdr w:val="none" w:sz="0" w:space="0" w:color="auto" w:frame="1"/>
          <w:lang w:val="en-US"/>
        </w:rPr>
        <w:t>α</w:t>
      </w:r>
      <w:r w:rsidRPr="004A240B">
        <w:rPr>
          <w:rFonts w:eastAsia="Times New Roman"/>
          <w:highlight w:val="red"/>
          <w:lang w:val="en-US"/>
        </w:rPr>
        <w:t>.</w:t>
      </w:r>
    </w:p>
    <w:p w14:paraId="55F0422F" w14:textId="7E585D7D" w:rsidR="004A240B" w:rsidRPr="004A240B" w:rsidRDefault="004A240B" w:rsidP="004A240B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val="en-US"/>
        </w:rPr>
      </w:pPr>
      <w:proofErr w:type="spellStart"/>
      <w:r w:rsidRPr="004A240B">
        <w:rPr>
          <w:rFonts w:eastAsia="Times New Roman"/>
          <w:highlight w:val="red"/>
          <w:lang w:val="en-US"/>
        </w:rPr>
        <w:t>Előjel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próba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esetén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a </w:t>
      </w:r>
      <w:proofErr w:type="spellStart"/>
      <w:r w:rsidRPr="004A240B">
        <w:rPr>
          <w:rFonts w:eastAsia="Times New Roman"/>
          <w:highlight w:val="red"/>
          <w:lang w:val="en-US"/>
        </w:rPr>
        <w:t>próbafüggvény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értéke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a </w:t>
      </w:r>
      <w:proofErr w:type="spellStart"/>
      <w:r w:rsidRPr="004A240B">
        <w:rPr>
          <w:rFonts w:eastAsia="Times New Roman"/>
          <w:highlight w:val="red"/>
          <w:lang w:val="en-US"/>
        </w:rPr>
        <w:t>negatív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előjelek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, </w:t>
      </w:r>
      <w:proofErr w:type="spellStart"/>
      <w:r w:rsidRPr="004A240B">
        <w:rPr>
          <w:rFonts w:eastAsia="Times New Roman"/>
          <w:highlight w:val="red"/>
          <w:lang w:val="en-US"/>
        </w:rPr>
        <w:t>valamint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a 0 </w:t>
      </w:r>
      <w:proofErr w:type="spellStart"/>
      <w:r w:rsidRPr="004A240B">
        <w:rPr>
          <w:rFonts w:eastAsia="Times New Roman"/>
          <w:highlight w:val="red"/>
          <w:lang w:val="en-US"/>
        </w:rPr>
        <w:t>különbségek</w:t>
      </w:r>
      <w:proofErr w:type="spellEnd"/>
      <w:r w:rsidRPr="004A240B">
        <w:rPr>
          <w:rFonts w:eastAsia="Times New Roman"/>
          <w:highlight w:val="red"/>
          <w:lang w:val="en-US"/>
        </w:rPr>
        <w:t xml:space="preserve"> </w:t>
      </w:r>
      <w:proofErr w:type="spellStart"/>
      <w:r w:rsidRPr="004A240B">
        <w:rPr>
          <w:rFonts w:eastAsia="Times New Roman"/>
          <w:highlight w:val="red"/>
          <w:lang w:val="en-US"/>
        </w:rPr>
        <w:t>száma</w:t>
      </w:r>
      <w:proofErr w:type="spellEnd"/>
      <w:r w:rsidRPr="004A240B">
        <w:rPr>
          <w:rFonts w:eastAsia="Times New Roman"/>
          <w:highlight w:val="red"/>
          <w:lang w:val="en-US"/>
        </w:rPr>
        <w:t>.</w:t>
      </w:r>
    </w:p>
    <w:p w14:paraId="3A0B1281" w14:textId="77777777" w:rsidR="00B77188" w:rsidRPr="00CE1CAA" w:rsidRDefault="00B77188" w:rsidP="00B77188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eastAsia="hu-HU"/>
        </w:rPr>
      </w:pPr>
      <w:r w:rsidRPr="00CE1CAA">
        <w:rPr>
          <w:rFonts w:eastAsia="Times New Roman"/>
          <w:highlight w:val="red"/>
          <w:lang w:eastAsia="hu-HU"/>
        </w:rPr>
        <w:t>Ha a mintaelemek sorrendje egyértelműen értelmezhető, biztosan alkalmazható a sorozatpróba.</w:t>
      </w:r>
    </w:p>
    <w:p w14:paraId="22136B77" w14:textId="77777777" w:rsidR="00B77188" w:rsidRPr="00CE1CAA" w:rsidRDefault="00B77188" w:rsidP="00B77188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eastAsia="hu-HU"/>
        </w:rPr>
      </w:pPr>
      <w:r w:rsidRPr="00CE1CAA">
        <w:rPr>
          <w:rFonts w:eastAsia="Times New Roman"/>
          <w:highlight w:val="red"/>
          <w:lang w:eastAsia="hu-HU"/>
        </w:rPr>
        <w:lastRenderedPageBreak/>
        <w:t>A páros mintás előjelpróba a szórások szorzatát tesztelő próba.</w:t>
      </w:r>
    </w:p>
    <w:p w14:paraId="6854F1F7" w14:textId="77777777" w:rsidR="00B77188" w:rsidRPr="00CE1CAA" w:rsidRDefault="00B77188" w:rsidP="00B77188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eastAsia="hu-HU"/>
        </w:rPr>
      </w:pPr>
      <w:r w:rsidRPr="00CE1CAA">
        <w:rPr>
          <w:rFonts w:eastAsia="Times New Roman"/>
          <w:highlight w:val="red"/>
          <w:lang w:eastAsia="hu-HU"/>
        </w:rPr>
        <w:t xml:space="preserve">A </w:t>
      </w:r>
      <w:proofErr w:type="spellStart"/>
      <w:r w:rsidRPr="00CE1CAA">
        <w:rPr>
          <w:rFonts w:eastAsia="Times New Roman"/>
          <w:highlight w:val="red"/>
          <w:lang w:eastAsia="hu-HU"/>
        </w:rPr>
        <w:t>Wald-Wolfowitz</w:t>
      </w:r>
      <w:proofErr w:type="spellEnd"/>
      <w:r w:rsidRPr="00CE1CAA">
        <w:rPr>
          <w:rFonts w:eastAsia="Times New Roman"/>
          <w:highlight w:val="red"/>
          <w:lang w:eastAsia="hu-HU"/>
        </w:rPr>
        <w:t xml:space="preserve"> próba több minta eloszlása egyenlőségének tesztelésére szolgál.</w:t>
      </w:r>
    </w:p>
    <w:p w14:paraId="1A326126" w14:textId="77777777" w:rsidR="00B77188" w:rsidRPr="00CE1CAA" w:rsidRDefault="00B77188" w:rsidP="00B77188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eastAsia="hu-HU"/>
        </w:rPr>
      </w:pPr>
      <w:r w:rsidRPr="00CE1CAA">
        <w:rPr>
          <w:rFonts w:eastAsia="Times New Roman"/>
          <w:highlight w:val="red"/>
          <w:lang w:eastAsia="hu-HU"/>
        </w:rPr>
        <w:t>A páros mintás előjelpróba a szórások szorzatát tesztelő próba.</w:t>
      </w:r>
    </w:p>
    <w:p w14:paraId="503B5400" w14:textId="77777777" w:rsidR="00B77188" w:rsidRPr="00CE1CAA" w:rsidRDefault="00B77188" w:rsidP="00B77188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  <w:lang w:eastAsia="hu-HU"/>
        </w:rPr>
      </w:pPr>
      <w:r w:rsidRPr="00CE1CAA">
        <w:rPr>
          <w:rFonts w:eastAsia="Times New Roman"/>
          <w:highlight w:val="red"/>
          <w:lang w:eastAsia="hu-HU"/>
        </w:rPr>
        <w:t xml:space="preserve">A </w:t>
      </w:r>
      <w:proofErr w:type="spellStart"/>
      <w:r w:rsidRPr="00CE1CAA">
        <w:rPr>
          <w:rFonts w:eastAsia="Times New Roman"/>
          <w:highlight w:val="red"/>
          <w:lang w:eastAsia="hu-HU"/>
        </w:rPr>
        <w:t>Kruskal</w:t>
      </w:r>
      <w:proofErr w:type="spellEnd"/>
      <w:r w:rsidRPr="00CE1CAA">
        <w:rPr>
          <w:rFonts w:eastAsia="Times New Roman"/>
          <w:highlight w:val="red"/>
          <w:lang w:eastAsia="hu-HU"/>
        </w:rPr>
        <w:t>-Wallis próba alkalmazása esetén nem minden esetben szükséges meghatározni a mintaelemek rangját.</w:t>
      </w:r>
    </w:p>
    <w:p w14:paraId="290DDF4B" w14:textId="77777777" w:rsidR="00B77188" w:rsidRPr="00CE1CAA" w:rsidRDefault="00B77188" w:rsidP="00B77188">
      <w:pPr>
        <w:pStyle w:val="Listaszerbekezds"/>
        <w:numPr>
          <w:ilvl w:val="0"/>
          <w:numId w:val="36"/>
        </w:numPr>
        <w:spacing w:before="120" w:after="120" w:line="240" w:lineRule="auto"/>
        <w:contextualSpacing w:val="0"/>
        <w:rPr>
          <w:rFonts w:eastAsia="Times New Roman"/>
          <w:highlight w:val="red"/>
        </w:rPr>
      </w:pPr>
      <w:r w:rsidRPr="00CE1CAA">
        <w:rPr>
          <w:rFonts w:eastAsia="Times New Roman"/>
          <w:highlight w:val="red"/>
        </w:rPr>
        <w:t xml:space="preserve">A </w:t>
      </w:r>
      <w:proofErr w:type="spellStart"/>
      <w:r w:rsidRPr="00CE1CAA">
        <w:rPr>
          <w:rFonts w:eastAsia="Times New Roman"/>
          <w:highlight w:val="red"/>
        </w:rPr>
        <w:t>Kruskal</w:t>
      </w:r>
      <w:proofErr w:type="spellEnd"/>
      <w:r w:rsidRPr="00CE1CAA">
        <w:rPr>
          <w:rFonts w:eastAsia="Times New Roman"/>
          <w:highlight w:val="red"/>
        </w:rPr>
        <w:t>-Wallis próba arra adja meg a választ, hogy egy adott minta egy előre megadott eloszlásból származik-e</w:t>
      </w:r>
      <w:r w:rsidRPr="00CE1CAA">
        <w:rPr>
          <w:rFonts w:eastAsia="Times New Roman"/>
          <w:highlight w:val="red"/>
          <w:lang w:eastAsia="hu-HU"/>
        </w:rPr>
        <w:t>.</w:t>
      </w:r>
    </w:p>
    <w:p w14:paraId="432CBD07" w14:textId="691E07DB" w:rsidR="0051583F" w:rsidRPr="0043660D" w:rsidRDefault="0051583F" w:rsidP="000A7725">
      <w:pPr>
        <w:ind w:left="360"/>
      </w:pPr>
    </w:p>
    <w:sectPr w:rsidR="0051583F" w:rsidRPr="0043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216C"/>
    <w:multiLevelType w:val="multilevel"/>
    <w:tmpl w:val="DE20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13945"/>
    <w:multiLevelType w:val="multilevel"/>
    <w:tmpl w:val="880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24BFC"/>
    <w:multiLevelType w:val="multilevel"/>
    <w:tmpl w:val="AAAE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F77B0"/>
    <w:multiLevelType w:val="multilevel"/>
    <w:tmpl w:val="C80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60B46"/>
    <w:multiLevelType w:val="multilevel"/>
    <w:tmpl w:val="5756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00334"/>
    <w:multiLevelType w:val="multilevel"/>
    <w:tmpl w:val="2C2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F0A9D"/>
    <w:multiLevelType w:val="multilevel"/>
    <w:tmpl w:val="CF3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67D9F"/>
    <w:multiLevelType w:val="multilevel"/>
    <w:tmpl w:val="0542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861C9"/>
    <w:multiLevelType w:val="multilevel"/>
    <w:tmpl w:val="581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C5439"/>
    <w:multiLevelType w:val="multilevel"/>
    <w:tmpl w:val="97E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F5089"/>
    <w:multiLevelType w:val="hybridMultilevel"/>
    <w:tmpl w:val="54720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E7407"/>
    <w:multiLevelType w:val="multilevel"/>
    <w:tmpl w:val="FCF0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FC5A5A"/>
    <w:multiLevelType w:val="hybridMultilevel"/>
    <w:tmpl w:val="11BE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571E38"/>
    <w:multiLevelType w:val="multilevel"/>
    <w:tmpl w:val="070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EE532A"/>
    <w:multiLevelType w:val="multilevel"/>
    <w:tmpl w:val="8E6C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D181E"/>
    <w:multiLevelType w:val="multilevel"/>
    <w:tmpl w:val="B65E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DE3A87"/>
    <w:multiLevelType w:val="multilevel"/>
    <w:tmpl w:val="0524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2E2EBC"/>
    <w:multiLevelType w:val="multilevel"/>
    <w:tmpl w:val="1BE8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BB6B69"/>
    <w:multiLevelType w:val="hybridMultilevel"/>
    <w:tmpl w:val="DEA4B4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14603"/>
    <w:multiLevelType w:val="multilevel"/>
    <w:tmpl w:val="2E7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A766D8"/>
    <w:multiLevelType w:val="multilevel"/>
    <w:tmpl w:val="9074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276C47"/>
    <w:multiLevelType w:val="multilevel"/>
    <w:tmpl w:val="6968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117AB6"/>
    <w:multiLevelType w:val="multilevel"/>
    <w:tmpl w:val="F7B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E40C56"/>
    <w:multiLevelType w:val="multilevel"/>
    <w:tmpl w:val="C274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240302"/>
    <w:multiLevelType w:val="hybridMultilevel"/>
    <w:tmpl w:val="101C5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1C3001"/>
    <w:multiLevelType w:val="multilevel"/>
    <w:tmpl w:val="C436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5139B"/>
    <w:multiLevelType w:val="multilevel"/>
    <w:tmpl w:val="956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8A2042"/>
    <w:multiLevelType w:val="multilevel"/>
    <w:tmpl w:val="6BD8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F0294B"/>
    <w:multiLevelType w:val="multilevel"/>
    <w:tmpl w:val="B01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873CB7"/>
    <w:multiLevelType w:val="multilevel"/>
    <w:tmpl w:val="0138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6287B"/>
    <w:multiLevelType w:val="multilevel"/>
    <w:tmpl w:val="51D8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2377F0"/>
    <w:multiLevelType w:val="multilevel"/>
    <w:tmpl w:val="0F2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11543B"/>
    <w:multiLevelType w:val="multilevel"/>
    <w:tmpl w:val="4460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3C3D6A"/>
    <w:multiLevelType w:val="multilevel"/>
    <w:tmpl w:val="83A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641D5"/>
    <w:multiLevelType w:val="multilevel"/>
    <w:tmpl w:val="B230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84788C"/>
    <w:multiLevelType w:val="multilevel"/>
    <w:tmpl w:val="D8B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E92553"/>
    <w:multiLevelType w:val="hybridMultilevel"/>
    <w:tmpl w:val="D242E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0A554B"/>
    <w:multiLevelType w:val="multilevel"/>
    <w:tmpl w:val="A8E8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0B17A9"/>
    <w:multiLevelType w:val="multilevel"/>
    <w:tmpl w:val="BE3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9C784E"/>
    <w:multiLevelType w:val="multilevel"/>
    <w:tmpl w:val="445C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2039B5"/>
    <w:multiLevelType w:val="multilevel"/>
    <w:tmpl w:val="090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2C665E"/>
    <w:multiLevelType w:val="multilevel"/>
    <w:tmpl w:val="BE1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C71E6B"/>
    <w:multiLevelType w:val="multilevel"/>
    <w:tmpl w:val="3310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2E1F36"/>
    <w:multiLevelType w:val="multilevel"/>
    <w:tmpl w:val="08A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8B6FC9"/>
    <w:multiLevelType w:val="multilevel"/>
    <w:tmpl w:val="A56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506BCE"/>
    <w:multiLevelType w:val="multilevel"/>
    <w:tmpl w:val="378A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9D10B4"/>
    <w:multiLevelType w:val="multilevel"/>
    <w:tmpl w:val="F1EA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60A35"/>
    <w:multiLevelType w:val="multilevel"/>
    <w:tmpl w:val="90B0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323C2E"/>
    <w:multiLevelType w:val="multilevel"/>
    <w:tmpl w:val="E548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6A7E1E"/>
    <w:multiLevelType w:val="multilevel"/>
    <w:tmpl w:val="144A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315724"/>
    <w:multiLevelType w:val="multilevel"/>
    <w:tmpl w:val="7A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326DCA"/>
    <w:multiLevelType w:val="hybridMultilevel"/>
    <w:tmpl w:val="48428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CE38CA"/>
    <w:multiLevelType w:val="multilevel"/>
    <w:tmpl w:val="D8A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F4381D"/>
    <w:multiLevelType w:val="multilevel"/>
    <w:tmpl w:val="C75A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D009B2"/>
    <w:multiLevelType w:val="multilevel"/>
    <w:tmpl w:val="21F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945D5C"/>
    <w:multiLevelType w:val="multilevel"/>
    <w:tmpl w:val="C85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D91C96"/>
    <w:multiLevelType w:val="hybridMultilevel"/>
    <w:tmpl w:val="A530BD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192F91"/>
    <w:multiLevelType w:val="multilevel"/>
    <w:tmpl w:val="1B1E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AD427B"/>
    <w:multiLevelType w:val="multilevel"/>
    <w:tmpl w:val="704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4D140F"/>
    <w:multiLevelType w:val="multilevel"/>
    <w:tmpl w:val="73AC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A271A6"/>
    <w:multiLevelType w:val="hybridMultilevel"/>
    <w:tmpl w:val="5ED205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725F1C"/>
    <w:multiLevelType w:val="multilevel"/>
    <w:tmpl w:val="DA4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4B7793"/>
    <w:multiLevelType w:val="multilevel"/>
    <w:tmpl w:val="17B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941E0D"/>
    <w:multiLevelType w:val="multilevel"/>
    <w:tmpl w:val="3E7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E977BD"/>
    <w:multiLevelType w:val="hybridMultilevel"/>
    <w:tmpl w:val="24CC0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5B1F40"/>
    <w:multiLevelType w:val="multilevel"/>
    <w:tmpl w:val="272C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336760">
    <w:abstractNumId w:val="16"/>
  </w:num>
  <w:num w:numId="2" w16cid:durableId="538467708">
    <w:abstractNumId w:val="33"/>
  </w:num>
  <w:num w:numId="3" w16cid:durableId="1047295296">
    <w:abstractNumId w:val="51"/>
  </w:num>
  <w:num w:numId="4" w16cid:durableId="1609190921">
    <w:abstractNumId w:val="38"/>
  </w:num>
  <w:num w:numId="5" w16cid:durableId="1302030853">
    <w:abstractNumId w:val="54"/>
  </w:num>
  <w:num w:numId="6" w16cid:durableId="1212813969">
    <w:abstractNumId w:val="62"/>
  </w:num>
  <w:num w:numId="7" w16cid:durableId="78644285">
    <w:abstractNumId w:val="4"/>
  </w:num>
  <w:num w:numId="8" w16cid:durableId="1426531503">
    <w:abstractNumId w:val="23"/>
  </w:num>
  <w:num w:numId="9" w16cid:durableId="868569815">
    <w:abstractNumId w:val="26"/>
  </w:num>
  <w:num w:numId="10" w16cid:durableId="1318681613">
    <w:abstractNumId w:val="19"/>
  </w:num>
  <w:num w:numId="11" w16cid:durableId="193202554">
    <w:abstractNumId w:val="3"/>
  </w:num>
  <w:num w:numId="12" w16cid:durableId="408432287">
    <w:abstractNumId w:val="63"/>
  </w:num>
  <w:num w:numId="13" w16cid:durableId="268199538">
    <w:abstractNumId w:val="55"/>
  </w:num>
  <w:num w:numId="14" w16cid:durableId="241960594">
    <w:abstractNumId w:val="29"/>
  </w:num>
  <w:num w:numId="15" w16cid:durableId="1204247055">
    <w:abstractNumId w:val="0"/>
  </w:num>
  <w:num w:numId="16" w16cid:durableId="630668819">
    <w:abstractNumId w:val="48"/>
  </w:num>
  <w:num w:numId="17" w16cid:durableId="1028095278">
    <w:abstractNumId w:val="13"/>
  </w:num>
  <w:num w:numId="18" w16cid:durableId="1227641599">
    <w:abstractNumId w:val="20"/>
  </w:num>
  <w:num w:numId="19" w16cid:durableId="1001736634">
    <w:abstractNumId w:val="65"/>
  </w:num>
  <w:num w:numId="20" w16cid:durableId="1363286970">
    <w:abstractNumId w:val="53"/>
  </w:num>
  <w:num w:numId="21" w16cid:durableId="1224634864">
    <w:abstractNumId w:val="47"/>
  </w:num>
  <w:num w:numId="22" w16cid:durableId="1410151438">
    <w:abstractNumId w:val="17"/>
  </w:num>
  <w:num w:numId="23" w16cid:durableId="2075542270">
    <w:abstractNumId w:val="34"/>
  </w:num>
  <w:num w:numId="24" w16cid:durableId="904291921">
    <w:abstractNumId w:val="32"/>
  </w:num>
  <w:num w:numId="25" w16cid:durableId="1165820996">
    <w:abstractNumId w:val="43"/>
  </w:num>
  <w:num w:numId="26" w16cid:durableId="744375759">
    <w:abstractNumId w:val="2"/>
  </w:num>
  <w:num w:numId="27" w16cid:durableId="2076581762">
    <w:abstractNumId w:val="8"/>
  </w:num>
  <w:num w:numId="28" w16cid:durableId="1582450405">
    <w:abstractNumId w:val="50"/>
  </w:num>
  <w:num w:numId="29" w16cid:durableId="591397472">
    <w:abstractNumId w:val="5"/>
  </w:num>
  <w:num w:numId="30" w16cid:durableId="611782881">
    <w:abstractNumId w:val="59"/>
  </w:num>
  <w:num w:numId="31" w16cid:durableId="1773893657">
    <w:abstractNumId w:val="15"/>
  </w:num>
  <w:num w:numId="32" w16cid:durableId="923685402">
    <w:abstractNumId w:val="57"/>
  </w:num>
  <w:num w:numId="33" w16cid:durableId="151871507">
    <w:abstractNumId w:val="22"/>
  </w:num>
  <w:num w:numId="34" w16cid:durableId="240722976">
    <w:abstractNumId w:val="46"/>
  </w:num>
  <w:num w:numId="35" w16cid:durableId="400099695">
    <w:abstractNumId w:val="24"/>
  </w:num>
  <w:num w:numId="36" w16cid:durableId="1324746714">
    <w:abstractNumId w:val="56"/>
  </w:num>
  <w:num w:numId="37" w16cid:durableId="2069066150">
    <w:abstractNumId w:val="30"/>
  </w:num>
  <w:num w:numId="38" w16cid:durableId="888998646">
    <w:abstractNumId w:val="14"/>
  </w:num>
  <w:num w:numId="39" w16cid:durableId="706754922">
    <w:abstractNumId w:val="39"/>
  </w:num>
  <w:num w:numId="40" w16cid:durableId="1159007069">
    <w:abstractNumId w:val="37"/>
  </w:num>
  <w:num w:numId="41" w16cid:durableId="47730264">
    <w:abstractNumId w:val="11"/>
  </w:num>
  <w:num w:numId="42" w16cid:durableId="588468887">
    <w:abstractNumId w:val="45"/>
  </w:num>
  <w:num w:numId="43" w16cid:durableId="529683600">
    <w:abstractNumId w:val="35"/>
  </w:num>
  <w:num w:numId="44" w16cid:durableId="313533729">
    <w:abstractNumId w:val="7"/>
  </w:num>
  <w:num w:numId="45" w16cid:durableId="270674198">
    <w:abstractNumId w:val="28"/>
  </w:num>
  <w:num w:numId="46" w16cid:durableId="1376277343">
    <w:abstractNumId w:val="52"/>
  </w:num>
  <w:num w:numId="47" w16cid:durableId="681129321">
    <w:abstractNumId w:val="21"/>
  </w:num>
  <w:num w:numId="48" w16cid:durableId="266667737">
    <w:abstractNumId w:val="1"/>
  </w:num>
  <w:num w:numId="49" w16cid:durableId="1491673470">
    <w:abstractNumId w:val="31"/>
  </w:num>
  <w:num w:numId="50" w16cid:durableId="2073652655">
    <w:abstractNumId w:val="61"/>
  </w:num>
  <w:num w:numId="51" w16cid:durableId="247925989">
    <w:abstractNumId w:val="9"/>
  </w:num>
  <w:num w:numId="52" w16cid:durableId="592786373">
    <w:abstractNumId w:val="44"/>
  </w:num>
  <w:num w:numId="53" w16cid:durableId="1721398518">
    <w:abstractNumId w:val="25"/>
  </w:num>
  <w:num w:numId="54" w16cid:durableId="1061170648">
    <w:abstractNumId w:val="6"/>
  </w:num>
  <w:num w:numId="55" w16cid:durableId="1115707411">
    <w:abstractNumId w:val="42"/>
  </w:num>
  <w:num w:numId="56" w16cid:durableId="63918019">
    <w:abstractNumId w:val="49"/>
  </w:num>
  <w:num w:numId="57" w16cid:durableId="1347637217">
    <w:abstractNumId w:val="27"/>
  </w:num>
  <w:num w:numId="58" w16cid:durableId="889538474">
    <w:abstractNumId w:val="41"/>
  </w:num>
  <w:num w:numId="59" w16cid:durableId="144011375">
    <w:abstractNumId w:val="40"/>
  </w:num>
  <w:num w:numId="60" w16cid:durableId="1979187755">
    <w:abstractNumId w:val="58"/>
  </w:num>
  <w:num w:numId="61" w16cid:durableId="2011836648">
    <w:abstractNumId w:val="36"/>
  </w:num>
  <w:num w:numId="62" w16cid:durableId="1369838302">
    <w:abstractNumId w:val="64"/>
  </w:num>
  <w:num w:numId="63" w16cid:durableId="1888250590">
    <w:abstractNumId w:val="10"/>
  </w:num>
  <w:num w:numId="64" w16cid:durableId="1963337871">
    <w:abstractNumId w:val="60"/>
  </w:num>
  <w:num w:numId="65" w16cid:durableId="12073712">
    <w:abstractNumId w:val="12"/>
  </w:num>
  <w:num w:numId="66" w16cid:durableId="11640538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E3"/>
    <w:rsid w:val="0005467F"/>
    <w:rsid w:val="000809A7"/>
    <w:rsid w:val="000813DC"/>
    <w:rsid w:val="00082B60"/>
    <w:rsid w:val="0008779F"/>
    <w:rsid w:val="000A1E3A"/>
    <w:rsid w:val="000A6BE3"/>
    <w:rsid w:val="000A7725"/>
    <w:rsid w:val="000B6B7E"/>
    <w:rsid w:val="000E2368"/>
    <w:rsid w:val="000F7DA3"/>
    <w:rsid w:val="00117BB1"/>
    <w:rsid w:val="0012369E"/>
    <w:rsid w:val="00133109"/>
    <w:rsid w:val="001F1A10"/>
    <w:rsid w:val="00200E26"/>
    <w:rsid w:val="0021140E"/>
    <w:rsid w:val="00211E2C"/>
    <w:rsid w:val="00236489"/>
    <w:rsid w:val="00236857"/>
    <w:rsid w:val="002554FC"/>
    <w:rsid w:val="002724C7"/>
    <w:rsid w:val="00285106"/>
    <w:rsid w:val="00292F03"/>
    <w:rsid w:val="00296B8E"/>
    <w:rsid w:val="002A0578"/>
    <w:rsid w:val="002B14AE"/>
    <w:rsid w:val="002B7CAF"/>
    <w:rsid w:val="00340FD0"/>
    <w:rsid w:val="00383380"/>
    <w:rsid w:val="003A1769"/>
    <w:rsid w:val="003B1760"/>
    <w:rsid w:val="003B60D6"/>
    <w:rsid w:val="003C3B74"/>
    <w:rsid w:val="003F2766"/>
    <w:rsid w:val="0043660D"/>
    <w:rsid w:val="0045052C"/>
    <w:rsid w:val="00480F24"/>
    <w:rsid w:val="004A240B"/>
    <w:rsid w:val="004D3F43"/>
    <w:rsid w:val="0051583F"/>
    <w:rsid w:val="00551A98"/>
    <w:rsid w:val="00556AAC"/>
    <w:rsid w:val="00557734"/>
    <w:rsid w:val="00583826"/>
    <w:rsid w:val="005A4B83"/>
    <w:rsid w:val="005E4783"/>
    <w:rsid w:val="00607D31"/>
    <w:rsid w:val="006335FE"/>
    <w:rsid w:val="00656D9A"/>
    <w:rsid w:val="006675B2"/>
    <w:rsid w:val="006A4082"/>
    <w:rsid w:val="006B03F1"/>
    <w:rsid w:val="006B4D13"/>
    <w:rsid w:val="006D597D"/>
    <w:rsid w:val="00734E57"/>
    <w:rsid w:val="00744078"/>
    <w:rsid w:val="007770D5"/>
    <w:rsid w:val="007B7F2D"/>
    <w:rsid w:val="007D02B5"/>
    <w:rsid w:val="007E6716"/>
    <w:rsid w:val="0082499C"/>
    <w:rsid w:val="008322CE"/>
    <w:rsid w:val="008928E0"/>
    <w:rsid w:val="008C4397"/>
    <w:rsid w:val="008F3783"/>
    <w:rsid w:val="008F4534"/>
    <w:rsid w:val="00922A55"/>
    <w:rsid w:val="009662F4"/>
    <w:rsid w:val="00990259"/>
    <w:rsid w:val="009C5A0D"/>
    <w:rsid w:val="009C6AFB"/>
    <w:rsid w:val="009D1FD9"/>
    <w:rsid w:val="00A10764"/>
    <w:rsid w:val="00A46246"/>
    <w:rsid w:val="00A54653"/>
    <w:rsid w:val="00A75C77"/>
    <w:rsid w:val="00AA74B4"/>
    <w:rsid w:val="00B25F33"/>
    <w:rsid w:val="00B30914"/>
    <w:rsid w:val="00B50E62"/>
    <w:rsid w:val="00B77188"/>
    <w:rsid w:val="00B87752"/>
    <w:rsid w:val="00B9489B"/>
    <w:rsid w:val="00BB0CE4"/>
    <w:rsid w:val="00BB2C85"/>
    <w:rsid w:val="00BB5EB5"/>
    <w:rsid w:val="00C81557"/>
    <w:rsid w:val="00C86924"/>
    <w:rsid w:val="00CA1E21"/>
    <w:rsid w:val="00CE1CAA"/>
    <w:rsid w:val="00CE4347"/>
    <w:rsid w:val="00CE46A2"/>
    <w:rsid w:val="00CE505A"/>
    <w:rsid w:val="00D12F1F"/>
    <w:rsid w:val="00D35BA0"/>
    <w:rsid w:val="00DC0ACC"/>
    <w:rsid w:val="00DC28CD"/>
    <w:rsid w:val="00DE1FD7"/>
    <w:rsid w:val="00E00C18"/>
    <w:rsid w:val="00E3334E"/>
    <w:rsid w:val="00E339C6"/>
    <w:rsid w:val="00E344F0"/>
    <w:rsid w:val="00E863AC"/>
    <w:rsid w:val="00EC7D28"/>
    <w:rsid w:val="00ED6EBE"/>
    <w:rsid w:val="00EF2026"/>
    <w:rsid w:val="00F36F00"/>
    <w:rsid w:val="00F41F24"/>
    <w:rsid w:val="00F62DD6"/>
    <w:rsid w:val="00F8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C409"/>
  <w15:chartTrackingRefBased/>
  <w15:docId w15:val="{FE0E6E9B-5F7A-4FA7-A13A-ADD6A90A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A6BE3"/>
    <w:rPr>
      <w:rFonts w:ascii="Times New Roman" w:hAnsi="Times New Roman"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0A6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6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A6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A6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A6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A6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A6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A6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A6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6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6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A6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A6BE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A6BE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A6BE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A6BE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A6BE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A6BE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A6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A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A6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A6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A6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A6BE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A6BE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A6BE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A6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A6BE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A6BE3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A6BE3"/>
    <w:pPr>
      <w:spacing w:before="100" w:beforeAutospacing="1" w:after="100" w:afterAutospacing="1" w:line="240" w:lineRule="auto"/>
    </w:pPr>
    <w:rPr>
      <w:rFonts w:eastAsia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1610</Words>
  <Characters>11110</Characters>
  <Application>Microsoft Office Word</Application>
  <DocSecurity>0</DocSecurity>
  <Lines>92</Lines>
  <Paragraphs>25</Paragraphs>
  <ScaleCrop>false</ScaleCrop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111</cp:revision>
  <dcterms:created xsi:type="dcterms:W3CDTF">2025-03-01T12:46:00Z</dcterms:created>
  <dcterms:modified xsi:type="dcterms:W3CDTF">2025-03-29T10:07:00Z</dcterms:modified>
</cp:coreProperties>
</file>