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AB4DA" w14:textId="77777777" w:rsidR="00A96BEA" w:rsidRDefault="00A96BEA">
      <w:pPr>
        <w:rPr>
          <w:rFonts w:ascii="Times New Roman" w:hAnsi="Times New Roman" w:cs="Times New Roman"/>
          <w:color w:val="EE0000"/>
          <w:sz w:val="40"/>
          <w:szCs w:val="40"/>
        </w:rPr>
      </w:pPr>
      <w:r w:rsidRPr="00A96BEA">
        <w:rPr>
          <w:rFonts w:ascii="Times New Roman" w:hAnsi="Times New Roman" w:cs="Times New Roman"/>
          <w:color w:val="EE0000"/>
          <w:sz w:val="40"/>
          <w:szCs w:val="40"/>
        </w:rPr>
        <w:t>A pénz időértéke, a jelenérték-számítás alapjai.</w:t>
      </w:r>
    </w:p>
    <w:p w14:paraId="03685BD8" w14:textId="77777777" w:rsidR="00A96BEA" w:rsidRPr="00A96BEA" w:rsidRDefault="00A96BEA">
      <w:pPr>
        <w:rPr>
          <w:rFonts w:ascii="Times New Roman" w:hAnsi="Times New Roman" w:cs="Times New Roman"/>
        </w:rPr>
      </w:pPr>
    </w:p>
    <w:p w14:paraId="3A72282B" w14:textId="347B4753" w:rsidR="00DA43DA" w:rsidRDefault="00DA43DA" w:rsidP="00A96B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 pénz időértéke</w:t>
      </w:r>
      <w:r w:rsidR="00A96BEA" w:rsidRPr="00A96BEA">
        <w:rPr>
          <w:rFonts w:ascii="Times New Roman" w:hAnsi="Times New Roman" w:cs="Times New Roman"/>
          <w:b/>
          <w:bCs/>
        </w:rPr>
        <w:t xml:space="preserve">: </w:t>
      </w:r>
      <w:r w:rsidR="00A96BEA" w:rsidRPr="00A96BEA">
        <w:rPr>
          <w:rFonts w:ascii="Times New Roman" w:hAnsi="Times New Roman" w:cs="Times New Roman"/>
        </w:rPr>
        <w:t xml:space="preserve">egy jövőben várt pénzösszeg ma kevesebbet ér, mint ha ugyanezt az összeget ma kapnánk meg. </w:t>
      </w:r>
      <w:r w:rsidR="00A6780F">
        <w:rPr>
          <w:rFonts w:ascii="Times New Roman" w:hAnsi="Times New Roman" w:cs="Times New Roman"/>
        </w:rPr>
        <w:t xml:space="preserve"> </w:t>
      </w:r>
      <w:r w:rsidR="00A6780F" w:rsidRPr="00870D56">
        <w:rPr>
          <w:rFonts w:ascii="Times New Roman" w:hAnsi="Times New Roman" w:cs="Times New Roman"/>
          <w:color w:val="70AD47" w:themeColor="accent6"/>
        </w:rPr>
        <w:t xml:space="preserve">Ennek három fő oka van: </w:t>
      </w:r>
      <w:r w:rsidR="00A6780F" w:rsidRPr="00A6780F">
        <w:rPr>
          <w:rFonts w:ascii="Times New Roman" w:hAnsi="Times New Roman" w:cs="Times New Roman"/>
        </w:rPr>
        <w:t>az infláció (romlik a pénz vásárlóereje), a kockázat (nem biztos, hogy a jövőbeli pénzt megkapod)</w:t>
      </w:r>
      <w:r w:rsidR="00A6780F">
        <w:rPr>
          <w:rFonts w:ascii="Times New Roman" w:hAnsi="Times New Roman" w:cs="Times New Roman"/>
        </w:rPr>
        <w:t xml:space="preserve"> és</w:t>
      </w:r>
      <w:r w:rsidR="00CD4B29">
        <w:rPr>
          <w:rFonts w:ascii="Times New Roman" w:hAnsi="Times New Roman" w:cs="Times New Roman"/>
        </w:rPr>
        <w:t xml:space="preserve"> ha a</w:t>
      </w:r>
      <w:r w:rsidR="00A96BEA" w:rsidRPr="00A96BEA">
        <w:rPr>
          <w:rFonts w:ascii="Times New Roman" w:hAnsi="Times New Roman" w:cs="Times New Roman"/>
        </w:rPr>
        <w:t xml:space="preserve"> pénzt be </w:t>
      </w:r>
      <w:r w:rsidR="00CD4B29">
        <w:rPr>
          <w:rFonts w:ascii="Times New Roman" w:hAnsi="Times New Roman" w:cs="Times New Roman"/>
        </w:rPr>
        <w:t>fektetjük idővel</w:t>
      </w:r>
      <w:r w:rsidR="00A96BEA" w:rsidRPr="00A96BEA">
        <w:rPr>
          <w:rFonts w:ascii="Times New Roman" w:hAnsi="Times New Roman" w:cs="Times New Roman"/>
        </w:rPr>
        <w:t xml:space="preserve"> kamatozik. Ezért egy mostani pénzösszeg több lehetőséget ad, mint egy később beérkező összeg. </w:t>
      </w:r>
    </w:p>
    <w:p w14:paraId="58AED889" w14:textId="487BC79F" w:rsidR="00A96BEA" w:rsidRPr="00A96BEA" w:rsidRDefault="00A96BEA" w:rsidP="00A96BEA">
      <w:p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  <w:b/>
          <w:bCs/>
        </w:rPr>
        <w:t>Kiszámítás: PV</w:t>
      </w:r>
      <w:r w:rsidRPr="00A96BEA">
        <w:rPr>
          <w:rFonts w:ascii="Times New Roman" w:hAnsi="Times New Roman" w:cs="Times New Roman"/>
        </w:rPr>
        <w:t xml:space="preserve"> = Diszkonttényező * C</w:t>
      </w:r>
      <w:r w:rsidRPr="00A96BEA">
        <w:rPr>
          <w:rFonts w:ascii="Times New Roman" w:hAnsi="Times New Roman" w:cs="Times New Roman"/>
          <w:vertAlign w:val="subscript"/>
        </w:rPr>
        <w:t xml:space="preserve">1 </w:t>
      </w:r>
      <w:r w:rsidRPr="00A96BEA">
        <w:rPr>
          <w:rFonts w:ascii="Times New Roman" w:hAnsi="Times New Roman" w:cs="Times New Roman"/>
        </w:rPr>
        <w:t>= 1 / (1 + r) * C</w:t>
      </w:r>
      <w:r w:rsidRPr="00A96BEA">
        <w:rPr>
          <w:rFonts w:ascii="Times New Roman" w:hAnsi="Times New Roman" w:cs="Times New Roman"/>
          <w:vertAlign w:val="subscript"/>
        </w:rPr>
        <w:t>1</w:t>
      </w:r>
    </w:p>
    <w:p w14:paraId="46B5D3D7" w14:textId="77777777" w:rsidR="00A96BEA" w:rsidRPr="00A96BEA" w:rsidRDefault="00A96BEA" w:rsidP="00A96BEA">
      <w:p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  <w:b/>
          <w:bCs/>
        </w:rPr>
        <w:t xml:space="preserve">Diszkonttényező: </w:t>
      </w:r>
      <w:r w:rsidRPr="00A96BEA">
        <w:rPr>
          <w:rFonts w:ascii="Times New Roman" w:hAnsi="Times New Roman" w:cs="Times New Roman"/>
        </w:rPr>
        <w:t xml:space="preserve">A jelenérték kiszámítása során egy diszkonttényezőt használunk, amely egy 1-nél kisebb szám. Ez mutatja meg, hogy a jövőbeli összegből mennyit ér az összeg ma. </w:t>
      </w:r>
    </w:p>
    <w:p w14:paraId="488CB14D" w14:textId="77777777" w:rsidR="00A96BEA" w:rsidRDefault="00A96BEA" w:rsidP="00A96BEA">
      <w:p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 xml:space="preserve">Ezért nevezzük diszkontálásnak, mert "leértékeljük" a jövőbeli összeget a mai szintre. </w:t>
      </w:r>
      <w:r w:rsidRPr="00A96BEA">
        <w:rPr>
          <w:rFonts w:ascii="Times New Roman" w:hAnsi="Times New Roman" w:cs="Times New Roman"/>
          <w:b/>
          <w:bCs/>
        </w:rPr>
        <w:t xml:space="preserve">A diszkonttényező a jövőbeli 1 dollár mai értéke. </w:t>
      </w:r>
      <w:r w:rsidRPr="00A96BEA">
        <w:rPr>
          <w:rFonts w:ascii="Times New Roman" w:hAnsi="Times New Roman" w:cs="Times New Roman"/>
        </w:rPr>
        <w:t>Kiszámítás: DF</w:t>
      </w:r>
      <w:r w:rsidRPr="00A96BEA">
        <w:rPr>
          <w:rFonts w:ascii="Times New Roman" w:hAnsi="Times New Roman" w:cs="Times New Roman"/>
          <w:vertAlign w:val="subscript"/>
        </w:rPr>
        <w:t>1</w:t>
      </w:r>
      <w:r w:rsidRPr="00A96BEA">
        <w:rPr>
          <w:rFonts w:ascii="Times New Roman" w:hAnsi="Times New Roman" w:cs="Times New Roman"/>
        </w:rPr>
        <w:t xml:space="preserve"> = 1 / (1 + r)</w:t>
      </w:r>
    </w:p>
    <w:p w14:paraId="3F7D4055" w14:textId="50B6C95F" w:rsidR="00DA43DA" w:rsidRPr="00A96BEA" w:rsidRDefault="00DA43DA" w:rsidP="00A96BEA">
      <w:p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  <w:b/>
          <w:bCs/>
        </w:rPr>
        <w:t xml:space="preserve">Jelenérték kiszámítása: </w:t>
      </w:r>
      <w:r w:rsidRPr="00A96BEA">
        <w:rPr>
          <w:rFonts w:ascii="Times New Roman" w:hAnsi="Times New Roman" w:cs="Times New Roman"/>
        </w:rPr>
        <w:t>Amikor egy jövőben esedékes összeg jelenértékét szeretnénk kiszámítani, a jövőbeli összeget a diszkonttényezővel szorozzuk meg. Ez a diszkontálás lényege. Minél hosszabb időn át kell várnunk a pénzre, vagy minél magasabb a hozam, annál kisebb lesz a jövőbeli összeg jelenértéke.</w:t>
      </w:r>
    </w:p>
    <w:p w14:paraId="587ABAC7" w14:textId="77777777" w:rsidR="00A96BEA" w:rsidRPr="00A96BEA" w:rsidRDefault="00A96BEA" w:rsidP="00A96BEA">
      <w:pPr>
        <w:rPr>
          <w:rFonts w:ascii="Times New Roman" w:hAnsi="Times New Roman" w:cs="Times New Roman"/>
          <w:b/>
          <w:bCs/>
        </w:rPr>
      </w:pPr>
      <w:r w:rsidRPr="00A96BEA">
        <w:rPr>
          <w:rFonts w:ascii="Times New Roman" w:hAnsi="Times New Roman" w:cs="Times New Roman"/>
          <w:b/>
          <w:bCs/>
        </w:rPr>
        <w:t xml:space="preserve">Hozam és diszkontráta: </w:t>
      </w:r>
      <w:r w:rsidRPr="00A96BEA">
        <w:rPr>
          <w:rFonts w:ascii="Times New Roman" w:hAnsi="Times New Roman" w:cs="Times New Roman"/>
        </w:rPr>
        <w:t xml:space="preserve">A diszkonttényező kiszámításához figyelembe vesszük azt az arányt, amit "hozamnak" vagy "diszkontrátának" nevezünk. </w:t>
      </w:r>
      <w:r w:rsidRPr="00A96BEA">
        <w:rPr>
          <w:rFonts w:ascii="Times New Roman" w:hAnsi="Times New Roman" w:cs="Times New Roman"/>
          <w:b/>
          <w:bCs/>
        </w:rPr>
        <w:t>Ez a rátaszám azt mutatja meg, mennyit "nyerhetnénk", ha a pénzt ma befektetnénk,</w:t>
      </w:r>
      <w:r w:rsidRPr="00A96BEA">
        <w:rPr>
          <w:rFonts w:ascii="Times New Roman" w:hAnsi="Times New Roman" w:cs="Times New Roman"/>
        </w:rPr>
        <w:t xml:space="preserve"> például egy bankba. A diszkontráta egyfajta haszonáldozat, hiszen azt az összeget jelöli, amit feladunk, ha a pénzt most nem fektetjük be, hanem egy jövőbeni projektbe fordítjuk.</w:t>
      </w:r>
    </w:p>
    <w:p w14:paraId="677B44BF" w14:textId="231AE211" w:rsidR="00DA43DA" w:rsidRDefault="00DA43DA" w:rsidP="00A96BEA">
      <w:pPr>
        <w:rPr>
          <w:rFonts w:ascii="Times New Roman" w:hAnsi="Times New Roman" w:cs="Times New Roman"/>
          <w:b/>
          <w:bCs/>
          <w:color w:val="7030A0"/>
        </w:rPr>
      </w:pPr>
      <w:r>
        <w:rPr>
          <w:rFonts w:ascii="Times New Roman" w:hAnsi="Times New Roman" w:cs="Times New Roman"/>
          <w:b/>
          <w:bCs/>
          <w:color w:val="7030A0"/>
        </w:rPr>
        <w:t xml:space="preserve">Jelenérték: </w:t>
      </w:r>
      <w:r w:rsidRPr="00A6780F">
        <w:rPr>
          <w:rFonts w:ascii="Times New Roman" w:hAnsi="Times New Roman" w:cs="Times New Roman"/>
          <w:b/>
          <w:bCs/>
          <w:color w:val="7030A0"/>
        </w:rPr>
        <w:t xml:space="preserve">Ez a </w:t>
      </w:r>
      <w:r w:rsidRPr="00A6780F">
        <w:rPr>
          <w:rFonts w:ascii="Times New Roman" w:hAnsi="Times New Roman" w:cs="Times New Roman"/>
          <w:b/>
          <w:bCs/>
          <w:i/>
          <w:iCs/>
          <w:color w:val="7030A0"/>
        </w:rPr>
        <w:t>diszkontálás</w:t>
      </w:r>
      <w:r w:rsidRPr="00A6780F">
        <w:rPr>
          <w:rFonts w:ascii="Times New Roman" w:hAnsi="Times New Roman" w:cs="Times New Roman"/>
          <w:b/>
          <w:bCs/>
          <w:color w:val="7030A0"/>
        </w:rPr>
        <w:t>. Megmutatja, hogy egy jövőben várt pénzösszeg pontosan mennyit ér ma.</w:t>
      </w:r>
      <w:r>
        <w:rPr>
          <w:rFonts w:ascii="Times New Roman" w:hAnsi="Times New Roman" w:cs="Times New Roman"/>
          <w:b/>
          <w:bCs/>
          <w:color w:val="7030A0"/>
        </w:rPr>
        <w:t xml:space="preserve"> PV= FV / (1+r)</w:t>
      </w:r>
      <w:r>
        <w:rPr>
          <w:rFonts w:ascii="Times New Roman" w:hAnsi="Times New Roman" w:cs="Times New Roman"/>
          <w:b/>
          <w:bCs/>
          <w:color w:val="7030A0"/>
          <w:vertAlign w:val="superscript"/>
        </w:rPr>
        <w:t xml:space="preserve">n </w:t>
      </w:r>
    </w:p>
    <w:p w14:paraId="56B76522" w14:textId="61CBEE21" w:rsidR="00A6780F" w:rsidRDefault="00A6780F" w:rsidP="00A96BEA">
      <w:pPr>
        <w:rPr>
          <w:rFonts w:ascii="Times New Roman" w:hAnsi="Times New Roman" w:cs="Times New Roman"/>
          <w:b/>
          <w:bCs/>
          <w:color w:val="7030A0"/>
        </w:rPr>
      </w:pPr>
      <w:r>
        <w:rPr>
          <w:rFonts w:ascii="Times New Roman" w:hAnsi="Times New Roman" w:cs="Times New Roman"/>
          <w:b/>
          <w:bCs/>
          <w:color w:val="7030A0"/>
        </w:rPr>
        <w:t>Jövőérték: megmutatja, hogy mennyit fog érni a mai pénzünk a jövőben, ha kamatozik. FV=PV*(1+r)</w:t>
      </w:r>
      <w:r>
        <w:rPr>
          <w:rFonts w:ascii="Times New Roman" w:hAnsi="Times New Roman" w:cs="Times New Roman"/>
          <w:b/>
          <w:bCs/>
          <w:color w:val="7030A0"/>
          <w:vertAlign w:val="superscript"/>
        </w:rPr>
        <w:t>n</w:t>
      </w:r>
      <w:r>
        <w:rPr>
          <w:rFonts w:ascii="Times New Roman" w:hAnsi="Times New Roman" w:cs="Times New Roman"/>
          <w:b/>
          <w:bCs/>
          <w:color w:val="7030A0"/>
        </w:rPr>
        <w:t xml:space="preserve">  </w:t>
      </w:r>
    </w:p>
    <w:p w14:paraId="2877F3A5" w14:textId="77777777" w:rsidR="00A96BEA" w:rsidRPr="00A96BEA" w:rsidRDefault="00A96BEA" w:rsidP="00A96BEA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A96BEA">
        <w:rPr>
          <w:rFonts w:ascii="Times New Roman" w:hAnsi="Times New Roman" w:cs="Times New Roman"/>
          <w:b/>
          <w:bCs/>
          <w:color w:val="ED7D31" w:themeColor="accent2"/>
        </w:rPr>
        <w:t>Nettó jelenérték (2.2)</w:t>
      </w:r>
    </w:p>
    <w:p w14:paraId="1CCADAC8" w14:textId="77777777" w:rsidR="00A96BEA" w:rsidRPr="00A96BEA" w:rsidRDefault="00A96BEA" w:rsidP="00A96BEA">
      <w:pPr>
        <w:rPr>
          <w:rFonts w:ascii="Times New Roman" w:hAnsi="Times New Roman" w:cs="Times New Roman"/>
          <w:color w:val="ED7D31" w:themeColor="accent2"/>
        </w:rPr>
      </w:pPr>
      <w:r w:rsidRPr="00A96BEA">
        <w:rPr>
          <w:rFonts w:ascii="Times New Roman" w:hAnsi="Times New Roman" w:cs="Times New Roman"/>
          <w:b/>
          <w:bCs/>
          <w:color w:val="ED7D31" w:themeColor="accent2"/>
        </w:rPr>
        <w:t>Nettó jelenérték (NPV):</w:t>
      </w:r>
      <w:r w:rsidRPr="00A96BEA">
        <w:rPr>
          <w:rFonts w:ascii="Times New Roman" w:hAnsi="Times New Roman" w:cs="Times New Roman"/>
          <w:color w:val="ED7D31" w:themeColor="accent2"/>
        </w:rPr>
        <w:t xml:space="preserve"> </w:t>
      </w:r>
      <w:r w:rsidRPr="00A96BEA">
        <w:rPr>
          <w:rFonts w:ascii="Times New Roman" w:hAnsi="Times New Roman" w:cs="Times New Roman"/>
          <w:b/>
          <w:bCs/>
          <w:color w:val="ED7D31" w:themeColor="accent2"/>
        </w:rPr>
        <w:t>Megmutatja, hogy a befektetés után mekkora a tényleges pénzügyi nyereség vagy veszteség a jelenben.</w:t>
      </w:r>
      <w:r w:rsidRPr="00A96BEA">
        <w:rPr>
          <w:rFonts w:ascii="Times New Roman" w:hAnsi="Times New Roman" w:cs="Times New Roman"/>
          <w:color w:val="ED7D31" w:themeColor="accent2"/>
        </w:rPr>
        <w:t xml:space="preserve"> Az NPV kiszámítása során a jövőbeli bevételek jelenértékét összevetjük a befektetés költségével. </w:t>
      </w:r>
      <w:r w:rsidRPr="00A96BEA">
        <w:rPr>
          <w:rFonts w:ascii="Times New Roman" w:hAnsi="Times New Roman" w:cs="Times New Roman"/>
          <w:color w:val="ED7D31" w:themeColor="accent2"/>
        </w:rPr>
        <w:br/>
      </w:r>
      <w:r w:rsidRPr="00A96BEA">
        <w:rPr>
          <w:rFonts w:ascii="Times New Roman" w:hAnsi="Times New Roman" w:cs="Times New Roman"/>
          <w:b/>
          <w:bCs/>
          <w:color w:val="ED7D31" w:themeColor="accent2"/>
        </w:rPr>
        <w:t>Kiszámítás: NPV</w:t>
      </w:r>
      <w:r w:rsidRPr="00A96BEA">
        <w:rPr>
          <w:rFonts w:ascii="Times New Roman" w:hAnsi="Times New Roman" w:cs="Times New Roman"/>
          <w:color w:val="ED7D31" w:themeColor="accent2"/>
        </w:rPr>
        <w:t xml:space="preserve"> = PV – szükséges ráfordítás = 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>0</w:t>
      </w:r>
      <w:r w:rsidRPr="00A96BEA">
        <w:rPr>
          <w:rFonts w:ascii="Times New Roman" w:hAnsi="Times New Roman" w:cs="Times New Roman"/>
          <w:color w:val="ED7D31" w:themeColor="accent2"/>
        </w:rPr>
        <w:t xml:space="preserve"> + 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>1</w:t>
      </w:r>
      <w:r w:rsidRPr="00A96BEA">
        <w:rPr>
          <w:rFonts w:ascii="Times New Roman" w:hAnsi="Times New Roman" w:cs="Times New Roman"/>
          <w:color w:val="ED7D31" w:themeColor="accent2"/>
        </w:rPr>
        <w:t xml:space="preserve"> / (1 + r)</w:t>
      </w:r>
    </w:p>
    <w:p w14:paraId="4776FE1F" w14:textId="6F525A66" w:rsidR="00A96BEA" w:rsidRDefault="002008A7">
      <w:pPr>
        <w:rPr>
          <w:rFonts w:ascii="Times New Roman" w:hAnsi="Times New Roman" w:cs="Times New Roman"/>
          <w:color w:val="ED7D31" w:themeColor="accent2"/>
        </w:rPr>
      </w:pPr>
      <w:r w:rsidRPr="002008A7">
        <w:rPr>
          <w:rFonts w:ascii="Times New Roman" w:hAnsi="Times New Roman" w:cs="Times New Roman"/>
          <w:color w:val="ED7D31" w:themeColor="accent2"/>
        </w:rPr>
        <w:t>Különböző beruházások megtérülésének összehasonlítására használjuk.</w:t>
      </w:r>
    </w:p>
    <w:p w14:paraId="1B849F60" w14:textId="75EFA60A" w:rsidR="002008A7" w:rsidRDefault="002008A7">
      <w:pPr>
        <w:rPr>
          <w:rFonts w:ascii="Times New Roman" w:hAnsi="Times New Roman" w:cs="Times New Roman"/>
          <w:color w:val="ED7D31" w:themeColor="accent2"/>
        </w:rPr>
      </w:pPr>
      <w:r>
        <w:rPr>
          <w:rFonts w:ascii="Times New Roman" w:hAnsi="Times New Roman" w:cs="Times New Roman"/>
          <w:color w:val="ED7D31" w:themeColor="accent2"/>
        </w:rPr>
        <w:t>NPV= PV- A szükséges ráfordítás</w:t>
      </w:r>
    </w:p>
    <w:p w14:paraId="4EC2C348" w14:textId="77777777" w:rsidR="00A96BEA" w:rsidRPr="00A96BEA" w:rsidRDefault="00A96BEA" w:rsidP="00A96BEA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A96BEA">
        <w:rPr>
          <w:rFonts w:ascii="Times New Roman" w:hAnsi="Times New Roman" w:cs="Times New Roman"/>
          <w:b/>
          <w:bCs/>
          <w:color w:val="ED7D31" w:themeColor="accent2"/>
        </w:rPr>
        <w:t>Néhány megjegyzés a kockázattal és a jelenértékkel kapcsolatban (2.3)</w:t>
      </w:r>
    </w:p>
    <w:p w14:paraId="20CA79F3" w14:textId="77777777" w:rsidR="00A96BEA" w:rsidRPr="00A96BEA" w:rsidRDefault="00A96BEA" w:rsidP="00A96BEA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A96BEA">
        <w:rPr>
          <w:rFonts w:ascii="Times New Roman" w:hAnsi="Times New Roman" w:cs="Times New Roman"/>
          <w:b/>
          <w:bCs/>
          <w:color w:val="ED7D31" w:themeColor="accent2"/>
        </w:rPr>
        <w:t xml:space="preserve">A kockázat szerepe: </w:t>
      </w:r>
      <w:r w:rsidRPr="00A96BEA">
        <w:rPr>
          <w:rFonts w:ascii="Times New Roman" w:hAnsi="Times New Roman" w:cs="Times New Roman"/>
          <w:color w:val="ED7D31" w:themeColor="accent2"/>
        </w:rPr>
        <w:t xml:space="preserve">A bizonytalan jövőbeli bevételek esetén az NPV számításunk hibás lehet, mert a befektetők nem feltétlenül fognak annyit fizetni a befektetésért, mint amennyit </w:t>
      </w:r>
      <w:r w:rsidRPr="00A96BEA">
        <w:rPr>
          <w:rFonts w:ascii="Times New Roman" w:hAnsi="Times New Roman" w:cs="Times New Roman"/>
          <w:color w:val="ED7D31" w:themeColor="accent2"/>
        </w:rPr>
        <w:lastRenderedPageBreak/>
        <w:t xml:space="preserve">biztos kifizetés esetén tennének. Ha a befektetők biztosan megkapnák a várt bevételt, akkor hajlandók lennének egy meghatározott összeget kifizetni. Viszont </w:t>
      </w:r>
      <w:r w:rsidRPr="00A96BEA">
        <w:rPr>
          <w:rFonts w:ascii="Times New Roman" w:hAnsi="Times New Roman" w:cs="Times New Roman"/>
          <w:b/>
          <w:bCs/>
          <w:color w:val="ED7D31" w:themeColor="accent2"/>
        </w:rPr>
        <w:t>ha a kifizetés kockázatos, a befektetők kevesebb pénzt ajánlanak.</w:t>
      </w:r>
    </w:p>
    <w:p w14:paraId="12B51C1F" w14:textId="77777777" w:rsidR="00A96BEA" w:rsidRPr="00A96BEA" w:rsidRDefault="00A96BEA" w:rsidP="00A96BEA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A96BEA">
        <w:rPr>
          <w:rFonts w:ascii="Times New Roman" w:hAnsi="Times New Roman" w:cs="Times New Roman"/>
          <w:b/>
          <w:bCs/>
          <w:color w:val="ED7D31" w:themeColor="accent2"/>
        </w:rPr>
        <w:t xml:space="preserve">A kockázat és a jövőbeli pénz értéke: </w:t>
      </w:r>
      <w:r w:rsidRPr="00A96BEA">
        <w:rPr>
          <w:rFonts w:ascii="Times New Roman" w:hAnsi="Times New Roman" w:cs="Times New Roman"/>
          <w:color w:val="ED7D31" w:themeColor="accent2"/>
        </w:rPr>
        <w:t xml:space="preserve">A második alaptétel megfogalmazása szerint: </w:t>
      </w:r>
      <w:r w:rsidRPr="00A96BEA">
        <w:rPr>
          <w:rFonts w:ascii="Times New Roman" w:hAnsi="Times New Roman" w:cs="Times New Roman"/>
          <w:b/>
          <w:bCs/>
          <w:color w:val="ED7D31" w:themeColor="accent2"/>
        </w:rPr>
        <w:t>Egy biztos jövőbeli pénzösszeg többet ér, mint egy bizonytalan.</w:t>
      </w:r>
      <w:r w:rsidRPr="00A96BEA">
        <w:rPr>
          <w:rFonts w:ascii="Times New Roman" w:hAnsi="Times New Roman" w:cs="Times New Roman"/>
          <w:color w:val="ED7D31" w:themeColor="accent2"/>
        </w:rPr>
        <w:t xml:space="preserve"> A legtöbb befektető elkerüli a kockázatot, ha megteheti anélkül, hogy jelentős hozamot áldozna fel.</w:t>
      </w:r>
      <w:r w:rsidRPr="00A96BEA">
        <w:rPr>
          <w:rFonts w:ascii="Times New Roman" w:hAnsi="Times New Roman" w:cs="Times New Roman"/>
          <w:b/>
          <w:bCs/>
          <w:color w:val="ED7D31" w:themeColor="accent2"/>
        </w:rPr>
        <w:t xml:space="preserve"> </w:t>
      </w:r>
      <w:r w:rsidRPr="00A96BEA">
        <w:rPr>
          <w:rFonts w:ascii="Times New Roman" w:hAnsi="Times New Roman" w:cs="Times New Roman"/>
          <w:color w:val="ED7D31" w:themeColor="accent2"/>
        </w:rPr>
        <w:t>Az NPV-t és a diszkontrátát még mindig alkalmazhatjuk kockázatos projektek esetén, de ezekben az esetekben várható pénzáramlásokról és hozamrátákról beszélünk. A befektetés kockázatossága meghatározza a diszkontrátát, vagyis a befektetés várható megtérülési rátáját.</w:t>
      </w:r>
    </w:p>
    <w:p w14:paraId="4904979F" w14:textId="77777777" w:rsidR="00A96BEA" w:rsidRPr="00A96BEA" w:rsidRDefault="00A96BEA" w:rsidP="00A96BEA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A96BEA">
        <w:rPr>
          <w:rFonts w:ascii="Times New Roman" w:hAnsi="Times New Roman" w:cs="Times New Roman"/>
          <w:b/>
          <w:bCs/>
          <w:color w:val="ED7D31" w:themeColor="accent2"/>
        </w:rPr>
        <w:t>Jelenérték és megtérülési ráta (2.4)</w:t>
      </w:r>
    </w:p>
    <w:p w14:paraId="503977BE" w14:textId="77777777" w:rsidR="00A96BEA" w:rsidRPr="00A96BEA" w:rsidRDefault="00A96BEA" w:rsidP="00A96BEA">
      <w:pPr>
        <w:rPr>
          <w:rFonts w:ascii="Times New Roman" w:hAnsi="Times New Roman" w:cs="Times New Roman"/>
          <w:color w:val="ED7D31" w:themeColor="accent2"/>
        </w:rPr>
      </w:pPr>
      <w:r w:rsidRPr="00A96BEA">
        <w:rPr>
          <w:rFonts w:ascii="Times New Roman" w:hAnsi="Times New Roman" w:cs="Times New Roman"/>
          <w:color w:val="ED7D31" w:themeColor="accent2"/>
        </w:rPr>
        <w:t>A projekt jelenértéke a jövőbeli bevételeink diszkontált értéke, amelyhez azt a hozamot vesszük alapul, amit hasonló kockázatú értékpapírok nyújtanának. Ez azt jelenti, hogy a projekt jelenlegi értékét ahhoz viszonyítjuk, mintha ugyanazt a bevételt értékpapírokba való befektetéssel érnénk el.</w:t>
      </w:r>
    </w:p>
    <w:p w14:paraId="47B38AB7" w14:textId="77777777" w:rsidR="00A96BEA" w:rsidRPr="00A96BEA" w:rsidRDefault="00A96BEA" w:rsidP="00A96BEA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A96BEA">
        <w:rPr>
          <w:rFonts w:ascii="Times New Roman" w:hAnsi="Times New Roman" w:cs="Times New Roman"/>
          <w:b/>
          <w:bCs/>
          <w:color w:val="ED7D31" w:themeColor="accent2"/>
        </w:rPr>
        <w:t xml:space="preserve">Döntési kritériumok a befektetések értékeléséhez: </w:t>
      </w:r>
      <w:r w:rsidRPr="00A96BEA">
        <w:rPr>
          <w:rFonts w:ascii="Times New Roman" w:hAnsi="Times New Roman" w:cs="Times New Roman"/>
          <w:color w:val="ED7D31" w:themeColor="accent2"/>
        </w:rPr>
        <w:t xml:space="preserve">A befektetések megítélésére használt egyik alapvető kritérium az, hogy </w:t>
      </w:r>
      <w:r w:rsidRPr="00A96BEA">
        <w:rPr>
          <w:rFonts w:ascii="Times New Roman" w:hAnsi="Times New Roman" w:cs="Times New Roman"/>
          <w:b/>
          <w:bCs/>
          <w:color w:val="ED7D31" w:themeColor="accent2"/>
        </w:rPr>
        <w:t>a befektetés akkor jó, ha a hozama meghaladja a tőkeköltséget.</w:t>
      </w:r>
      <w:r w:rsidRPr="00A96BEA">
        <w:rPr>
          <w:rFonts w:ascii="Times New Roman" w:hAnsi="Times New Roman" w:cs="Times New Roman"/>
          <w:color w:val="ED7D31" w:themeColor="accent2"/>
        </w:rPr>
        <w:t xml:space="preserve"> A hozam a projekt által termelt profit aránya az induló befektetéshez viszonyítva. Ebben az értelemben a tőkeköltség nem más, mint a feláldozott hozam az a hozam, amit értékpapírok vásárlásával érhetnénk el, ha nem a projektbe fektetnénk.</w:t>
      </w:r>
    </w:p>
    <w:p w14:paraId="4DDD6E63" w14:textId="77777777" w:rsidR="00A96BEA" w:rsidRPr="00A96BEA" w:rsidRDefault="00A96BEA" w:rsidP="00A96BEA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A96BEA">
        <w:rPr>
          <w:rFonts w:ascii="Times New Roman" w:hAnsi="Times New Roman" w:cs="Times New Roman"/>
          <w:b/>
          <w:bCs/>
          <w:color w:val="ED7D31" w:themeColor="accent2"/>
        </w:rPr>
        <w:t>Két egyenértékű befektetési szabály</w:t>
      </w:r>
    </w:p>
    <w:p w14:paraId="42E0B8FC" w14:textId="77777777" w:rsidR="00A96BEA" w:rsidRPr="00A96BEA" w:rsidRDefault="00A96BEA" w:rsidP="00A96BEA">
      <w:pPr>
        <w:numPr>
          <w:ilvl w:val="0"/>
          <w:numId w:val="1"/>
        </w:numPr>
        <w:rPr>
          <w:rFonts w:ascii="Times New Roman" w:hAnsi="Times New Roman" w:cs="Times New Roman"/>
          <w:color w:val="ED7D31" w:themeColor="accent2"/>
        </w:rPr>
      </w:pPr>
      <w:r w:rsidRPr="00A96BEA">
        <w:rPr>
          <w:rFonts w:ascii="Times New Roman" w:hAnsi="Times New Roman" w:cs="Times New Roman"/>
          <w:b/>
          <w:bCs/>
          <w:color w:val="ED7D31" w:themeColor="accent2"/>
        </w:rPr>
        <w:t>Nettó jelenérték szabály:</w:t>
      </w:r>
      <w:r w:rsidRPr="00A96BEA">
        <w:rPr>
          <w:rFonts w:ascii="Times New Roman" w:hAnsi="Times New Roman" w:cs="Times New Roman"/>
          <w:color w:val="ED7D31" w:themeColor="accent2"/>
        </w:rPr>
        <w:t xml:space="preserve"> </w:t>
      </w:r>
      <w:r w:rsidRPr="00A96BEA">
        <w:rPr>
          <w:rFonts w:ascii="Times New Roman" w:hAnsi="Times New Roman" w:cs="Times New Roman"/>
          <w:b/>
          <w:bCs/>
          <w:color w:val="ED7D31" w:themeColor="accent2"/>
        </w:rPr>
        <w:t>Fogadjuk el azokat a befektetéseket, amelyek pozitív nettó jelenértékkel rendelkeznek</w:t>
      </w:r>
      <w:r w:rsidRPr="00A96BEA">
        <w:rPr>
          <w:rFonts w:ascii="Times New Roman" w:hAnsi="Times New Roman" w:cs="Times New Roman"/>
          <w:color w:val="ED7D31" w:themeColor="accent2"/>
        </w:rPr>
        <w:t>. Kiszámítás: NPV = 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>0</w:t>
      </w:r>
      <w:r w:rsidRPr="00A96BEA">
        <w:rPr>
          <w:rFonts w:ascii="Times New Roman" w:hAnsi="Times New Roman" w:cs="Times New Roman"/>
          <w:color w:val="ED7D31" w:themeColor="accent2"/>
        </w:rPr>
        <w:t xml:space="preserve"> + 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>1</w:t>
      </w:r>
      <w:r w:rsidRPr="00A96BEA">
        <w:rPr>
          <w:rFonts w:ascii="Times New Roman" w:hAnsi="Times New Roman" w:cs="Times New Roman"/>
          <w:color w:val="ED7D31" w:themeColor="accent2"/>
        </w:rPr>
        <w:t xml:space="preserve"> / (1 + r) (működik hosszabb projekteknél is). Ha NPV = 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>0</w:t>
      </w:r>
      <w:r w:rsidRPr="00A96BEA">
        <w:rPr>
          <w:rFonts w:ascii="Times New Roman" w:hAnsi="Times New Roman" w:cs="Times New Roman"/>
          <w:color w:val="ED7D31" w:themeColor="accent2"/>
        </w:rPr>
        <w:t xml:space="preserve"> + 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>1</w:t>
      </w:r>
      <w:r w:rsidRPr="00A96BEA">
        <w:rPr>
          <w:rFonts w:ascii="Times New Roman" w:hAnsi="Times New Roman" w:cs="Times New Roman"/>
          <w:color w:val="ED7D31" w:themeColor="accent2"/>
        </w:rPr>
        <w:t xml:space="preserve"> / (1 + r) &gt; 0 ----&gt; vonzó</w:t>
      </w:r>
    </w:p>
    <w:p w14:paraId="42258067" w14:textId="77777777" w:rsidR="00A96BEA" w:rsidRPr="00A96BEA" w:rsidRDefault="00A96BEA" w:rsidP="00A96BEA">
      <w:pPr>
        <w:numPr>
          <w:ilvl w:val="0"/>
          <w:numId w:val="1"/>
        </w:numPr>
        <w:rPr>
          <w:rFonts w:ascii="Times New Roman" w:hAnsi="Times New Roman" w:cs="Times New Roman"/>
          <w:color w:val="ED7D31" w:themeColor="accent2"/>
        </w:rPr>
      </w:pPr>
      <w:r w:rsidRPr="00A96BEA">
        <w:rPr>
          <w:rFonts w:ascii="Times New Roman" w:hAnsi="Times New Roman" w:cs="Times New Roman"/>
          <w:b/>
          <w:bCs/>
          <w:color w:val="ED7D31" w:themeColor="accent2"/>
        </w:rPr>
        <w:t>Megtérülési ráta szabály:</w:t>
      </w:r>
      <w:r w:rsidRPr="00A96BEA">
        <w:rPr>
          <w:rFonts w:ascii="Times New Roman" w:hAnsi="Times New Roman" w:cs="Times New Roman"/>
          <w:color w:val="ED7D31" w:themeColor="accent2"/>
        </w:rPr>
        <w:t xml:space="preserve"> </w:t>
      </w:r>
      <w:r w:rsidRPr="00A96BEA">
        <w:rPr>
          <w:rFonts w:ascii="Times New Roman" w:hAnsi="Times New Roman" w:cs="Times New Roman"/>
          <w:b/>
          <w:bCs/>
          <w:color w:val="ED7D31" w:themeColor="accent2"/>
        </w:rPr>
        <w:t>Fogadjuk el azokat a befektetéseket, amelyek ígért hozama (megtérülési rátája) meghaladja a tőke alternatívaköltségét</w:t>
      </w:r>
      <w:r w:rsidRPr="00A96BEA">
        <w:rPr>
          <w:rFonts w:ascii="Times New Roman" w:hAnsi="Times New Roman" w:cs="Times New Roman"/>
          <w:color w:val="ED7D31" w:themeColor="accent2"/>
        </w:rPr>
        <w:t xml:space="preserve">. </w:t>
      </w:r>
      <w:r w:rsidRPr="00A96BEA">
        <w:rPr>
          <w:rFonts w:ascii="Times New Roman" w:hAnsi="Times New Roman" w:cs="Times New Roman"/>
          <w:color w:val="ED7D31" w:themeColor="accent2"/>
        </w:rPr>
        <w:br/>
        <w:t>Kiszámítás: Hozamráta = Nyereség / Beruházás = (C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>0</w:t>
      </w:r>
      <w:r w:rsidRPr="00A96BEA">
        <w:rPr>
          <w:rFonts w:ascii="Times New Roman" w:hAnsi="Times New Roman" w:cs="Times New Roman"/>
          <w:color w:val="ED7D31" w:themeColor="accent2"/>
        </w:rPr>
        <w:t xml:space="preserve"> + 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>1</w:t>
      </w:r>
      <w:r w:rsidRPr="00A96BEA">
        <w:rPr>
          <w:rFonts w:ascii="Times New Roman" w:hAnsi="Times New Roman" w:cs="Times New Roman"/>
          <w:color w:val="ED7D31" w:themeColor="accent2"/>
        </w:rPr>
        <w:t>) / - 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 xml:space="preserve">0 </w:t>
      </w:r>
      <w:r w:rsidRPr="00A96BEA">
        <w:rPr>
          <w:rFonts w:ascii="Times New Roman" w:hAnsi="Times New Roman" w:cs="Times New Roman"/>
          <w:color w:val="ED7D31" w:themeColor="accent2"/>
        </w:rPr>
        <w:t>(nem működik hosszabb projekteknél).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 xml:space="preserve"> </w:t>
      </w:r>
      <w:r w:rsidRPr="00A96BEA">
        <w:rPr>
          <w:rFonts w:ascii="Times New Roman" w:hAnsi="Times New Roman" w:cs="Times New Roman"/>
          <w:color w:val="ED7D31" w:themeColor="accent2"/>
        </w:rPr>
        <w:t>Ha (C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>0</w:t>
      </w:r>
      <w:r w:rsidRPr="00A96BEA">
        <w:rPr>
          <w:rFonts w:ascii="Times New Roman" w:hAnsi="Times New Roman" w:cs="Times New Roman"/>
          <w:color w:val="ED7D31" w:themeColor="accent2"/>
        </w:rPr>
        <w:t xml:space="preserve"> + 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>1</w:t>
      </w:r>
      <w:r w:rsidRPr="00A96BEA">
        <w:rPr>
          <w:rFonts w:ascii="Times New Roman" w:hAnsi="Times New Roman" w:cs="Times New Roman"/>
          <w:color w:val="ED7D31" w:themeColor="accent2"/>
        </w:rPr>
        <w:t>) / - C</w:t>
      </w:r>
      <w:r w:rsidRPr="00A96BEA">
        <w:rPr>
          <w:rFonts w:ascii="Times New Roman" w:hAnsi="Times New Roman" w:cs="Times New Roman"/>
          <w:color w:val="ED7D31" w:themeColor="accent2"/>
          <w:vertAlign w:val="subscript"/>
        </w:rPr>
        <w:t xml:space="preserve">0 </w:t>
      </w:r>
      <w:r w:rsidRPr="00A96BEA">
        <w:rPr>
          <w:rFonts w:ascii="Times New Roman" w:hAnsi="Times New Roman" w:cs="Times New Roman"/>
          <w:color w:val="ED7D31" w:themeColor="accent2"/>
        </w:rPr>
        <w:t>&gt; r ----&gt; vonzó</w:t>
      </w:r>
    </w:p>
    <w:p w14:paraId="33BBB5A0" w14:textId="77777777" w:rsidR="00A96BEA" w:rsidRPr="00A96BEA" w:rsidRDefault="00A96BEA" w:rsidP="00A96BEA">
      <w:pPr>
        <w:rPr>
          <w:rFonts w:ascii="Times New Roman" w:hAnsi="Times New Roman" w:cs="Times New Roman"/>
          <w:b/>
          <w:bCs/>
          <w:color w:val="ED7D31" w:themeColor="accent2"/>
        </w:rPr>
      </w:pPr>
      <w:r w:rsidRPr="00A96BEA">
        <w:rPr>
          <w:rFonts w:ascii="Times New Roman" w:hAnsi="Times New Roman" w:cs="Times New Roman"/>
          <w:b/>
          <w:bCs/>
          <w:color w:val="ED7D31" w:themeColor="accent2"/>
        </w:rPr>
        <w:t>A tőke alternatívaköltsége (2.5)</w:t>
      </w:r>
    </w:p>
    <w:p w14:paraId="43339C88" w14:textId="77777777" w:rsidR="00A96BEA" w:rsidRPr="00A96BEA" w:rsidRDefault="00A96BEA" w:rsidP="00A96BEA">
      <w:pPr>
        <w:rPr>
          <w:rFonts w:ascii="Times New Roman" w:hAnsi="Times New Roman" w:cs="Times New Roman"/>
          <w:color w:val="ED7D31" w:themeColor="accent2"/>
        </w:rPr>
      </w:pPr>
      <w:r w:rsidRPr="00A96BEA">
        <w:rPr>
          <w:rFonts w:ascii="Times New Roman" w:hAnsi="Times New Roman" w:cs="Times New Roman"/>
          <w:color w:val="ED7D31" w:themeColor="accent2"/>
        </w:rPr>
        <w:t xml:space="preserve">Az </w:t>
      </w:r>
      <w:r w:rsidRPr="00A96BEA">
        <w:rPr>
          <w:rFonts w:ascii="Times New Roman" w:hAnsi="Times New Roman" w:cs="Times New Roman"/>
          <w:b/>
          <w:bCs/>
          <w:color w:val="ED7D31" w:themeColor="accent2"/>
        </w:rPr>
        <w:t>alternatívaköltség</w:t>
      </w:r>
      <w:r w:rsidRPr="00A96BEA">
        <w:rPr>
          <w:rFonts w:ascii="Times New Roman" w:hAnsi="Times New Roman" w:cs="Times New Roman"/>
          <w:color w:val="ED7D31" w:themeColor="accent2"/>
        </w:rPr>
        <w:t xml:space="preserve"> bármilyen befektetési döntésnél azt jelzi, hogy mit áldozunk fel, ha egy másik lehetőség helyett az adott befektetést választjuk. </w:t>
      </w:r>
      <w:r w:rsidRPr="00A96BEA">
        <w:rPr>
          <w:rFonts w:ascii="Times New Roman" w:hAnsi="Times New Roman" w:cs="Times New Roman"/>
          <w:b/>
          <w:bCs/>
          <w:color w:val="ED7D31" w:themeColor="accent2"/>
        </w:rPr>
        <w:t>A tőke alternatívaköltsége</w:t>
      </w:r>
      <w:r w:rsidRPr="00A96BEA">
        <w:rPr>
          <w:rFonts w:ascii="Times New Roman" w:hAnsi="Times New Roman" w:cs="Times New Roman"/>
          <w:color w:val="ED7D31" w:themeColor="accent2"/>
        </w:rPr>
        <w:t xml:space="preserve"> tehát az a hozam, amit hasonló kockázatú befektetéssel elérhetnénk. Ha egy projekt nettó jelenértéke pozitív, akkor a vállalat részvényeseinek vagyonát növeli, mivel többet hoz, mint amennyibe kerül.</w:t>
      </w:r>
    </w:p>
    <w:p w14:paraId="01AC42F3" w14:textId="77777777" w:rsidR="00A96BEA" w:rsidRDefault="00A96BEA">
      <w:pPr>
        <w:rPr>
          <w:rFonts w:ascii="Times New Roman" w:hAnsi="Times New Roman" w:cs="Times New Roman"/>
        </w:rPr>
      </w:pPr>
    </w:p>
    <w:p w14:paraId="7972F3DD" w14:textId="77777777" w:rsidR="00A96BEA" w:rsidRPr="00A96BEA" w:rsidRDefault="00A96BEA">
      <w:pPr>
        <w:rPr>
          <w:rFonts w:ascii="Times New Roman" w:hAnsi="Times New Roman" w:cs="Times New Roman"/>
        </w:rPr>
      </w:pPr>
    </w:p>
    <w:p w14:paraId="6FBB0A9E" w14:textId="55981C00" w:rsidR="00F8082F" w:rsidRPr="00A96BEA" w:rsidRDefault="00A96BEA">
      <w:pPr>
        <w:rPr>
          <w:rFonts w:ascii="Times New Roman" w:hAnsi="Times New Roman" w:cs="Times New Roman"/>
          <w:color w:val="EE0000"/>
          <w:sz w:val="40"/>
          <w:szCs w:val="40"/>
        </w:rPr>
      </w:pPr>
      <w:r w:rsidRPr="00A96BEA">
        <w:rPr>
          <w:rFonts w:ascii="Times New Roman" w:hAnsi="Times New Roman" w:cs="Times New Roman"/>
          <w:color w:val="EE0000"/>
          <w:sz w:val="40"/>
          <w:szCs w:val="40"/>
        </w:rPr>
        <w:lastRenderedPageBreak/>
        <w:t xml:space="preserve"> Annuitás, örökjáradék, belső megtérülési ráta, kötvények és értékelésük.</w:t>
      </w:r>
    </w:p>
    <w:p w14:paraId="5BECFEA7" w14:textId="479B6218" w:rsidR="00A6780F" w:rsidRDefault="00A6780F" w:rsidP="00A96BEA">
      <w:pPr>
        <w:rPr>
          <w:rFonts w:ascii="Times New Roman" w:hAnsi="Times New Roman" w:cs="Times New Roman"/>
          <w:b/>
          <w:bCs/>
        </w:rPr>
      </w:pPr>
      <w:r w:rsidRPr="00A6780F">
        <w:rPr>
          <w:rFonts w:ascii="Times New Roman" w:hAnsi="Times New Roman" w:cs="Times New Roman"/>
          <w:b/>
          <w:bCs/>
        </w:rPr>
        <w:t>Ezek a jelenérték-számítás speciális, sorozatos pénzáramlásokra vonatkozó esetei.</w:t>
      </w:r>
    </w:p>
    <w:p w14:paraId="3085155D" w14:textId="47BFCD18" w:rsidR="00A96BEA" w:rsidRDefault="00A96BEA" w:rsidP="00A96BEA">
      <w:pPr>
        <w:rPr>
          <w:rFonts w:ascii="Times New Roman" w:hAnsi="Times New Roman" w:cs="Times New Roman"/>
          <w:b/>
          <w:bCs/>
        </w:rPr>
      </w:pPr>
      <w:r w:rsidRPr="00A96BEA">
        <w:rPr>
          <w:rFonts w:ascii="Times New Roman" w:hAnsi="Times New Roman" w:cs="Times New Roman"/>
          <w:b/>
          <w:bCs/>
        </w:rPr>
        <w:t>Állandó örökjáradék (3.1)</w:t>
      </w:r>
    </w:p>
    <w:p w14:paraId="43FAFF69" w14:textId="005AA567" w:rsidR="00A6780F" w:rsidRPr="00A96BEA" w:rsidRDefault="00A6780F" w:rsidP="00A96BEA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A6780F">
        <w:rPr>
          <w:rFonts w:ascii="Times New Roman" w:hAnsi="Times New Roman" w:cs="Times New Roman"/>
          <w:b/>
          <w:bCs/>
          <w:color w:val="70AD47" w:themeColor="accent6"/>
        </w:rPr>
        <w:t>Ez egy olyan annuitás, amely végtelen ideig fizet. Nincs lejárata. Bár a végtelen ideig tartó fizetés vonzónak hangzik, a jelenértéke véges, mert a nagyon távoli jövőben kapott pénzek mai értéke a diszkontálás miatt szinte nulla. (Például: bizonyos osztalékelsőbbségi részvények vagy brit Consols államkötvények).</w:t>
      </w:r>
    </w:p>
    <w:p w14:paraId="7C9158B7" w14:textId="77777777" w:rsidR="00A96BEA" w:rsidRPr="00A96BEA" w:rsidRDefault="00A96BEA" w:rsidP="00A96B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Azonos hosszúságú időszakok vannak</w:t>
      </w:r>
    </w:p>
    <w:p w14:paraId="6F054CB4" w14:textId="77777777" w:rsidR="00A96BEA" w:rsidRPr="00A96BEA" w:rsidRDefault="00A96BEA" w:rsidP="00A96B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A Cash Flow-k az időszak végén jönnek</w:t>
      </w:r>
    </w:p>
    <w:p w14:paraId="395C88B5" w14:textId="77777777" w:rsidR="00A96BEA" w:rsidRPr="00A96BEA" w:rsidRDefault="00A96BEA" w:rsidP="00A96B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Minden Cash Flow azonos értékű</w:t>
      </w:r>
    </w:p>
    <w:p w14:paraId="2DF55036" w14:textId="77777777" w:rsidR="00A96BEA" w:rsidRPr="00A96BEA" w:rsidRDefault="00A96BEA" w:rsidP="00A96B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Végtelen sok periódus van</w:t>
      </w:r>
    </w:p>
    <w:p w14:paraId="3712F3E5" w14:textId="77777777" w:rsidR="00A96BEA" w:rsidRPr="00A96BEA" w:rsidRDefault="00A96BEA" w:rsidP="00A96BE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Kiszámítása: C/V</w:t>
      </w:r>
    </w:p>
    <w:p w14:paraId="6D236E95" w14:textId="77777777" w:rsidR="00A96BEA" w:rsidRDefault="00A96BEA" w:rsidP="00A96BEA">
      <w:pPr>
        <w:rPr>
          <w:rFonts w:ascii="Times New Roman" w:hAnsi="Times New Roman" w:cs="Times New Roman"/>
          <w:b/>
          <w:bCs/>
        </w:rPr>
      </w:pPr>
      <w:r w:rsidRPr="00A96BEA">
        <w:rPr>
          <w:rFonts w:ascii="Times New Roman" w:hAnsi="Times New Roman" w:cs="Times New Roman"/>
          <w:b/>
          <w:bCs/>
        </w:rPr>
        <w:t>Állandó annuitás (3.2)</w:t>
      </w:r>
    </w:p>
    <w:p w14:paraId="6FC28755" w14:textId="57AC46E4" w:rsidR="00A6780F" w:rsidRPr="00A96BEA" w:rsidRDefault="00A6780F" w:rsidP="00A96BEA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A6780F">
        <w:rPr>
          <w:rFonts w:ascii="Times New Roman" w:hAnsi="Times New Roman" w:cs="Times New Roman"/>
          <w:b/>
          <w:bCs/>
          <w:color w:val="70AD47" w:themeColor="accent6"/>
        </w:rPr>
        <w:t xml:space="preserve">Olyan pénzáramlás, ahol </w:t>
      </w:r>
      <w:r w:rsidRPr="00A6780F">
        <w:rPr>
          <w:rFonts w:ascii="Times New Roman" w:hAnsi="Times New Roman" w:cs="Times New Roman"/>
          <w:b/>
          <w:bCs/>
          <w:i/>
          <w:iCs/>
          <w:color w:val="70AD47" w:themeColor="accent6"/>
        </w:rPr>
        <w:t>szabályos időközönként</w:t>
      </w:r>
      <w:r w:rsidRPr="00A6780F">
        <w:rPr>
          <w:rFonts w:ascii="Times New Roman" w:hAnsi="Times New Roman" w:cs="Times New Roman"/>
          <w:b/>
          <w:bCs/>
          <w:color w:val="70AD47" w:themeColor="accent6"/>
        </w:rPr>
        <w:t xml:space="preserve"> (pl. havonta, évente), </w:t>
      </w:r>
      <w:r w:rsidRPr="00A6780F">
        <w:rPr>
          <w:rFonts w:ascii="Times New Roman" w:hAnsi="Times New Roman" w:cs="Times New Roman"/>
          <w:b/>
          <w:bCs/>
          <w:i/>
          <w:iCs/>
          <w:color w:val="70AD47" w:themeColor="accent6"/>
        </w:rPr>
        <w:t>azonos összegű</w:t>
      </w:r>
      <w:r w:rsidRPr="00A6780F">
        <w:rPr>
          <w:rFonts w:ascii="Times New Roman" w:hAnsi="Times New Roman" w:cs="Times New Roman"/>
          <w:b/>
          <w:bCs/>
          <w:color w:val="70AD47" w:themeColor="accent6"/>
        </w:rPr>
        <w:t xml:space="preserve"> pénzt fizetünk vagy kapunk, egy </w:t>
      </w:r>
      <w:r w:rsidRPr="00A6780F">
        <w:rPr>
          <w:rFonts w:ascii="Times New Roman" w:hAnsi="Times New Roman" w:cs="Times New Roman"/>
          <w:b/>
          <w:bCs/>
          <w:i/>
          <w:iCs/>
          <w:color w:val="70AD47" w:themeColor="accent6"/>
        </w:rPr>
        <w:t>meghatározott ideig</w:t>
      </w:r>
      <w:r w:rsidRPr="00A6780F">
        <w:rPr>
          <w:rFonts w:ascii="Times New Roman" w:hAnsi="Times New Roman" w:cs="Times New Roman"/>
          <w:b/>
          <w:bCs/>
          <w:color w:val="70AD47" w:themeColor="accent6"/>
        </w:rPr>
        <w:t>. Tipikus példája egy lakáshitel fix havi törlesztőrészlete. Az annuitás jelenértéke megmutatja, hogy egy ilyen jövőbeli fizetéssorozat egyösszegben mennyit ér ma</w:t>
      </w:r>
    </w:p>
    <w:p w14:paraId="03563488" w14:textId="77777777" w:rsidR="00A96BEA" w:rsidRPr="00A96BEA" w:rsidRDefault="00A96BEA" w:rsidP="00A96B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Azonos hosszúságú időszakok vannak</w:t>
      </w:r>
    </w:p>
    <w:p w14:paraId="1D29F630" w14:textId="77777777" w:rsidR="00A96BEA" w:rsidRPr="00A96BEA" w:rsidRDefault="00A96BEA" w:rsidP="00A96B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A Cash Flow-k az időszak végén jönnek</w:t>
      </w:r>
    </w:p>
    <w:p w14:paraId="6DD64C6D" w14:textId="77777777" w:rsidR="00A96BEA" w:rsidRPr="00A96BEA" w:rsidRDefault="00A96BEA" w:rsidP="00A96B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Minden Cash Flow azonos értékű</w:t>
      </w:r>
    </w:p>
    <w:p w14:paraId="513EEC41" w14:textId="77777777" w:rsidR="00A96BEA" w:rsidRPr="00A96BEA" w:rsidRDefault="00A96BEA" w:rsidP="00A96B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Véges sok periódus van</w:t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  <w:t>-----</w:t>
      </w:r>
    </w:p>
    <w:p w14:paraId="75FA60C9" w14:textId="3B54FF21" w:rsidR="00A96BEA" w:rsidRPr="00A96BEA" w:rsidRDefault="00A96BEA" w:rsidP="00A96BE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 xml:space="preserve">Kiszámítás: C * [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r</m:t>
            </m:r>
          </m:den>
        </m:f>
        <m:r>
          <w:rPr>
            <w:rFonts w:ascii="Cambria Math" w:hAnsi="Cambria Math" w:cs="Times New Roman"/>
          </w:rPr>
          <m:t>-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r*(1+r)</m:t>
                </m:r>
              </m:e>
              <m:sup>
                <m:r>
                  <w:rPr>
                    <w:rFonts w:ascii="Cambria Math" w:hAnsi="Cambria Math" w:cs="Times New Roman"/>
                  </w:rPr>
                  <m:t>t</m:t>
                </m:r>
              </m:sup>
            </m:sSup>
          </m:den>
        </m:f>
      </m:oMath>
      <w:r w:rsidRPr="00A96BEA">
        <w:rPr>
          <w:rFonts w:ascii="Times New Roman" w:hAnsi="Times New Roman" w:cs="Times New Roman"/>
        </w:rPr>
        <w:t>]</w:t>
      </w:r>
    </w:p>
    <w:p w14:paraId="216003CB" w14:textId="5318413E" w:rsidR="00A96BEA" w:rsidRDefault="00A96BEA" w:rsidP="002008A7">
      <w:pPr>
        <w:tabs>
          <w:tab w:val="left" w:pos="3662"/>
        </w:tabs>
        <w:rPr>
          <w:rFonts w:ascii="Times New Roman" w:hAnsi="Times New Roman" w:cs="Times New Roman"/>
          <w:b/>
          <w:bCs/>
        </w:rPr>
      </w:pPr>
      <w:r w:rsidRPr="00A96BEA">
        <w:rPr>
          <w:rFonts w:ascii="Times New Roman" w:hAnsi="Times New Roman" w:cs="Times New Roman"/>
          <w:b/>
          <w:bCs/>
        </w:rPr>
        <w:t>Növekvő örökjáradék (3.3)</w:t>
      </w:r>
      <w:r w:rsidR="002008A7">
        <w:rPr>
          <w:rFonts w:ascii="Times New Roman" w:hAnsi="Times New Roman" w:cs="Times New Roman"/>
          <w:b/>
          <w:bCs/>
        </w:rPr>
        <w:tab/>
      </w:r>
    </w:p>
    <w:p w14:paraId="3A5D11ED" w14:textId="4383A8FD" w:rsidR="002008A7" w:rsidRPr="002008A7" w:rsidRDefault="002008A7" w:rsidP="002008A7">
      <w:pPr>
        <w:tabs>
          <w:tab w:val="left" w:pos="3662"/>
        </w:tabs>
        <w:rPr>
          <w:rFonts w:ascii="Times New Roman" w:hAnsi="Times New Roman" w:cs="Times New Roman"/>
          <w:b/>
          <w:bCs/>
          <w:color w:val="70AD47" w:themeColor="accent6"/>
        </w:rPr>
      </w:pPr>
      <w:r w:rsidRPr="002008A7">
        <w:rPr>
          <w:rFonts w:ascii="Times New Roman" w:hAnsi="Times New Roman" w:cs="Times New Roman"/>
          <w:b/>
          <w:bCs/>
          <w:color w:val="70AD47" w:themeColor="accent6"/>
        </w:rPr>
        <w:t>Ez egy olyan pénzáramlás, amely a végtelenségig tart, és minden egyes időszakban egy állandó g százalékkal növekszik.</w:t>
      </w:r>
      <w:r>
        <w:rPr>
          <w:rFonts w:ascii="Times New Roman" w:hAnsi="Times New Roman" w:cs="Times New Roman"/>
          <w:b/>
          <w:bCs/>
          <w:color w:val="70AD47" w:themeColor="accent6"/>
        </w:rPr>
        <w:t xml:space="preserve"> </w:t>
      </w:r>
    </w:p>
    <w:p w14:paraId="1F858000" w14:textId="77777777" w:rsidR="002008A7" w:rsidRPr="002008A7" w:rsidRDefault="002008A7" w:rsidP="002008A7">
      <w:pPr>
        <w:numPr>
          <w:ilvl w:val="0"/>
          <w:numId w:val="13"/>
        </w:numPr>
        <w:tabs>
          <w:tab w:val="left" w:pos="3662"/>
        </w:tabs>
        <w:rPr>
          <w:rFonts w:ascii="Times New Roman" w:hAnsi="Times New Roman" w:cs="Times New Roman"/>
          <w:b/>
          <w:bCs/>
          <w:color w:val="70AD47" w:themeColor="accent6"/>
        </w:rPr>
      </w:pPr>
      <w:r w:rsidRPr="002008A7">
        <w:rPr>
          <w:rFonts w:ascii="Times New Roman" w:hAnsi="Times New Roman" w:cs="Times New Roman"/>
          <w:b/>
          <w:bCs/>
          <w:color w:val="70AD47" w:themeColor="accent6"/>
        </w:rPr>
        <w:t>Tipikus példa (Részvényértékelés): Ezt a képletet a pénzügyekben leggyakrabban a stabil, osztalékot fizető vállalatok részvényeinek árazására használják. Ezt hívják Gordon-féle osztaléknövekedési modellnek (Gordon Growth Model). Azt feltételezi, hogy a cég a végtelenségig működik, és az osztalékát minden évben egy stabil ütemben növeli.</w:t>
      </w:r>
    </w:p>
    <w:p w14:paraId="618E528F" w14:textId="77777777" w:rsidR="002008A7" w:rsidRPr="00A96BEA" w:rsidRDefault="002008A7" w:rsidP="002008A7">
      <w:pPr>
        <w:tabs>
          <w:tab w:val="left" w:pos="3662"/>
        </w:tabs>
        <w:rPr>
          <w:rFonts w:ascii="Times New Roman" w:hAnsi="Times New Roman" w:cs="Times New Roman"/>
          <w:b/>
          <w:bCs/>
        </w:rPr>
      </w:pPr>
    </w:p>
    <w:p w14:paraId="7B7E577D" w14:textId="77777777" w:rsidR="00A96BEA" w:rsidRPr="00A96BEA" w:rsidRDefault="00A96BEA" w:rsidP="00A96B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lastRenderedPageBreak/>
        <w:t>Azonos hosszúságú időszakok vannak</w:t>
      </w:r>
    </w:p>
    <w:p w14:paraId="38EF40F5" w14:textId="77777777" w:rsidR="00A96BEA" w:rsidRPr="00A96BEA" w:rsidRDefault="00A96BEA" w:rsidP="00A96B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A Cash Flow-k az időszak végén jönnek</w:t>
      </w:r>
    </w:p>
    <w:p w14:paraId="4D9BDC3B" w14:textId="77777777" w:rsidR="00A96BEA" w:rsidRPr="00A96BEA" w:rsidRDefault="00A96BEA" w:rsidP="00A96B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Növekszik a Cash flow</w:t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  <w:t>-----</w:t>
      </w:r>
    </w:p>
    <w:p w14:paraId="6F5CAC7B" w14:textId="77777777" w:rsidR="00A96BEA" w:rsidRPr="00A96BEA" w:rsidRDefault="00A96BEA" w:rsidP="00A96B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Végtelen sok periódus van</w:t>
      </w:r>
    </w:p>
    <w:p w14:paraId="5151DDD9" w14:textId="77777777" w:rsidR="00A96BEA" w:rsidRPr="00A96BEA" w:rsidRDefault="00A96BEA" w:rsidP="00A96B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Kiszámítás: C / (r - g)</w:t>
      </w:r>
    </w:p>
    <w:p w14:paraId="4CB8AEB7" w14:textId="77777777" w:rsidR="00A96BEA" w:rsidRDefault="00A96BEA" w:rsidP="00A96BEA">
      <w:pPr>
        <w:rPr>
          <w:rFonts w:ascii="Times New Roman" w:hAnsi="Times New Roman" w:cs="Times New Roman"/>
          <w:b/>
          <w:bCs/>
        </w:rPr>
      </w:pPr>
      <w:r w:rsidRPr="00A96BEA">
        <w:rPr>
          <w:rFonts w:ascii="Times New Roman" w:hAnsi="Times New Roman" w:cs="Times New Roman"/>
          <w:b/>
          <w:bCs/>
        </w:rPr>
        <w:t>Növekvő annuitás (3.4)</w:t>
      </w:r>
    </w:p>
    <w:p w14:paraId="31F1EE51" w14:textId="60CB217A" w:rsidR="002008A7" w:rsidRPr="002008A7" w:rsidRDefault="002008A7" w:rsidP="002008A7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2008A7">
        <w:rPr>
          <w:rFonts w:ascii="Times New Roman" w:hAnsi="Times New Roman" w:cs="Times New Roman"/>
          <w:b/>
          <w:bCs/>
          <w:color w:val="70AD47" w:themeColor="accent6"/>
        </w:rPr>
        <w:t>Ez egy olyan, véges ideig tartó fizetéssorozat, ahol a kifizetések (vagy bevételek) összege minden periódusban egy állandó g százalékkal nő.</w:t>
      </w:r>
    </w:p>
    <w:p w14:paraId="29506FE5" w14:textId="77777777" w:rsidR="002008A7" w:rsidRPr="002008A7" w:rsidRDefault="002008A7" w:rsidP="002008A7">
      <w:pPr>
        <w:numPr>
          <w:ilvl w:val="0"/>
          <w:numId w:val="14"/>
        </w:numPr>
        <w:rPr>
          <w:rFonts w:ascii="Times New Roman" w:hAnsi="Times New Roman" w:cs="Times New Roman"/>
          <w:b/>
          <w:bCs/>
          <w:color w:val="70AD47" w:themeColor="accent6"/>
        </w:rPr>
      </w:pPr>
      <w:r w:rsidRPr="002008A7">
        <w:rPr>
          <w:rFonts w:ascii="Times New Roman" w:hAnsi="Times New Roman" w:cs="Times New Roman"/>
          <w:b/>
          <w:bCs/>
          <w:color w:val="70AD47" w:themeColor="accent6"/>
        </w:rPr>
        <w:t>Tipikus példa: Egy 10 éves irodabérleti szerződés, ahol a bérleti díjat minden évben az inflációval megegyező mértékben (pl. fix 5%-kal) megemelik</w:t>
      </w:r>
    </w:p>
    <w:p w14:paraId="12975A90" w14:textId="77777777" w:rsidR="002008A7" w:rsidRPr="00A96BEA" w:rsidRDefault="002008A7" w:rsidP="00A96BEA">
      <w:pPr>
        <w:rPr>
          <w:rFonts w:ascii="Times New Roman" w:hAnsi="Times New Roman" w:cs="Times New Roman"/>
          <w:b/>
          <w:bCs/>
        </w:rPr>
      </w:pPr>
    </w:p>
    <w:p w14:paraId="641376FF" w14:textId="77777777" w:rsidR="00A96BEA" w:rsidRPr="00A96BEA" w:rsidRDefault="00A96BEA" w:rsidP="00A96B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Azonos hosszúságú időszakok vannak</w:t>
      </w:r>
    </w:p>
    <w:p w14:paraId="59C910A4" w14:textId="77777777" w:rsidR="00A96BEA" w:rsidRPr="00A96BEA" w:rsidRDefault="00A96BEA" w:rsidP="00A96B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A Cash Flow-k az időszak végén jönnek</w:t>
      </w:r>
    </w:p>
    <w:p w14:paraId="11905506" w14:textId="77777777" w:rsidR="00A96BEA" w:rsidRPr="00A96BEA" w:rsidRDefault="00A96BEA" w:rsidP="00A96B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Növekszik a Cash flow</w:t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  <w:t>-----</w:t>
      </w:r>
    </w:p>
    <w:p w14:paraId="691A7ACE" w14:textId="77777777" w:rsidR="00A96BEA" w:rsidRPr="00A96BEA" w:rsidRDefault="00A96BEA" w:rsidP="00A96B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Véges sok periódus van</w:t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</w:r>
      <w:r w:rsidRPr="00A96BEA">
        <w:rPr>
          <w:rFonts w:ascii="Times New Roman" w:hAnsi="Times New Roman" w:cs="Times New Roman"/>
        </w:rPr>
        <w:tab/>
        <w:t>-----</w:t>
      </w:r>
    </w:p>
    <w:p w14:paraId="37E61072" w14:textId="6BD63E39" w:rsidR="00A96BEA" w:rsidRPr="00A96BEA" w:rsidRDefault="00A96BEA" w:rsidP="00A96BE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</w:rPr>
        <w:t>Kiszámítás: C * [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r-g</m:t>
            </m:r>
          </m:den>
        </m:f>
        <m:r>
          <w:rPr>
            <w:rFonts w:ascii="Cambria Math" w:hAnsi="Cambria Math" w:cs="Times New Roman"/>
          </w:rPr>
          <m:t xml:space="preserve">*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(1+g)</m:t>
                </m:r>
              </m:e>
              <m:sup>
                <m:r>
                  <w:rPr>
                    <w:rFonts w:ascii="Cambria Math" w:hAnsi="Cambria Math" w:cs="Times New Roman"/>
                  </w:rPr>
                  <m:t>t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r-g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*(1+r)</m:t>
                </m:r>
              </m:e>
              <m:sup>
                <m:r>
                  <w:rPr>
                    <w:rFonts w:ascii="Cambria Math" w:hAnsi="Cambria Math" w:cs="Times New Roman"/>
                  </w:rPr>
                  <m:t>t</m:t>
                </m:r>
              </m:sup>
            </m:sSup>
          </m:den>
        </m:f>
      </m:oMath>
      <w:r w:rsidRPr="00A96BEA">
        <w:rPr>
          <w:rFonts w:ascii="Times New Roman" w:hAnsi="Times New Roman" w:cs="Times New Roman"/>
        </w:rPr>
        <w:t>]</w:t>
      </w:r>
    </w:p>
    <w:p w14:paraId="1011B691" w14:textId="77777777" w:rsidR="00A96BEA" w:rsidRPr="00A96BEA" w:rsidRDefault="00A96BEA" w:rsidP="00A96BEA">
      <w:pPr>
        <w:rPr>
          <w:rFonts w:ascii="Times New Roman" w:hAnsi="Times New Roman" w:cs="Times New Roman"/>
          <w:b/>
          <w:bCs/>
        </w:rPr>
      </w:pPr>
      <w:r w:rsidRPr="00A96BEA">
        <w:rPr>
          <w:rFonts w:ascii="Times New Roman" w:hAnsi="Times New Roman" w:cs="Times New Roman"/>
          <w:b/>
          <w:bCs/>
        </w:rPr>
        <w:t>Örökjáradék és Annuitás (3.5)</w:t>
      </w:r>
    </w:p>
    <w:p w14:paraId="1295814A" w14:textId="77777777" w:rsidR="00A96BEA" w:rsidRPr="00A96BEA" w:rsidRDefault="00A96BEA" w:rsidP="00A96BEA">
      <w:p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  <w:b/>
          <w:bCs/>
        </w:rPr>
        <w:t>Örökjáradék:</w:t>
      </w:r>
      <w:r w:rsidRPr="00A96BEA">
        <w:rPr>
          <w:rFonts w:ascii="Times New Roman" w:hAnsi="Times New Roman" w:cs="Times New Roman"/>
        </w:rPr>
        <w:t xml:space="preserve"> Végtelen ideig tartó pénzáramlást biztosító eszköz.</w:t>
      </w:r>
    </w:p>
    <w:p w14:paraId="0C8DB898" w14:textId="77777777" w:rsidR="00A96BEA" w:rsidRPr="00A96BEA" w:rsidRDefault="00A96BEA" w:rsidP="00A96BEA">
      <w:pPr>
        <w:rPr>
          <w:rFonts w:ascii="Times New Roman" w:hAnsi="Times New Roman" w:cs="Times New Roman"/>
        </w:rPr>
      </w:pPr>
      <w:r w:rsidRPr="00A96BEA">
        <w:rPr>
          <w:rFonts w:ascii="Times New Roman" w:hAnsi="Times New Roman" w:cs="Times New Roman"/>
          <w:b/>
          <w:bCs/>
        </w:rPr>
        <w:t>Annuitás:</w:t>
      </w:r>
      <w:r w:rsidRPr="00A96BEA">
        <w:rPr>
          <w:rFonts w:ascii="Times New Roman" w:hAnsi="Times New Roman" w:cs="Times New Roman"/>
        </w:rPr>
        <w:t xml:space="preserve"> Olyan eszköz, amely meghatározott számú éven (időszakon) keresztül adott összeget biztosít.</w:t>
      </w:r>
    </w:p>
    <w:p w14:paraId="3F187E94" w14:textId="77777777" w:rsidR="00A96BEA" w:rsidRDefault="00A96BEA">
      <w:pPr>
        <w:rPr>
          <w:rFonts w:ascii="Times New Roman" w:hAnsi="Times New Roman" w:cs="Times New Roman"/>
        </w:rPr>
      </w:pPr>
    </w:p>
    <w:p w14:paraId="6591D727" w14:textId="77777777" w:rsidR="003E02EE" w:rsidRDefault="003E02EE">
      <w:pPr>
        <w:rPr>
          <w:rFonts w:ascii="Times New Roman" w:hAnsi="Times New Roman" w:cs="Times New Roman"/>
        </w:rPr>
      </w:pPr>
    </w:p>
    <w:p w14:paraId="78F5497B" w14:textId="77777777" w:rsidR="003E02EE" w:rsidRPr="003E02EE" w:rsidRDefault="003E02EE" w:rsidP="003E02EE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3E02EE">
        <w:rPr>
          <w:rFonts w:ascii="Times New Roman" w:hAnsi="Times New Roman" w:cs="Times New Roman"/>
          <w:b/>
          <w:bCs/>
          <w:color w:val="70AD47" w:themeColor="accent6"/>
        </w:rPr>
        <w:t>Belső megtérülési ráta (Internal Rate of Return - IRR)</w:t>
      </w:r>
    </w:p>
    <w:p w14:paraId="7510E532" w14:textId="77777777" w:rsidR="003E02EE" w:rsidRPr="003E02EE" w:rsidRDefault="003E02EE" w:rsidP="003E02EE">
      <w:pPr>
        <w:rPr>
          <w:rFonts w:ascii="Times New Roman" w:hAnsi="Times New Roman" w:cs="Times New Roman"/>
          <w:color w:val="70AD47" w:themeColor="accent6"/>
        </w:rPr>
      </w:pPr>
      <w:r w:rsidRPr="003E02EE">
        <w:rPr>
          <w:rFonts w:ascii="Times New Roman" w:hAnsi="Times New Roman" w:cs="Times New Roman"/>
          <w:color w:val="70AD47" w:themeColor="accent6"/>
        </w:rPr>
        <w:t xml:space="preserve">Az IRR a beruházások értékelésének egyik legfontosabb mutatója. Azt a </w:t>
      </w:r>
      <w:r w:rsidRPr="003E02EE">
        <w:rPr>
          <w:rFonts w:ascii="Times New Roman" w:hAnsi="Times New Roman" w:cs="Times New Roman"/>
          <w:b/>
          <w:bCs/>
          <w:color w:val="70AD47" w:themeColor="accent6"/>
        </w:rPr>
        <w:t>tényleges éves átlagos hozamot</w:t>
      </w:r>
      <w:r w:rsidRPr="003E02EE">
        <w:rPr>
          <w:rFonts w:ascii="Times New Roman" w:hAnsi="Times New Roman" w:cs="Times New Roman"/>
          <w:color w:val="70AD47" w:themeColor="accent6"/>
        </w:rPr>
        <w:t xml:space="preserve"> jelenti, amit egy befektetés vagy projekt kitermel.</w:t>
      </w:r>
    </w:p>
    <w:p w14:paraId="2435B690" w14:textId="77777777" w:rsidR="003E02EE" w:rsidRPr="003E02EE" w:rsidRDefault="003E02EE" w:rsidP="003E02EE">
      <w:pPr>
        <w:numPr>
          <w:ilvl w:val="0"/>
          <w:numId w:val="7"/>
        </w:numPr>
        <w:rPr>
          <w:rFonts w:ascii="Times New Roman" w:hAnsi="Times New Roman" w:cs="Times New Roman"/>
          <w:color w:val="70AD47" w:themeColor="accent6"/>
        </w:rPr>
      </w:pPr>
      <w:r w:rsidRPr="003E02EE">
        <w:rPr>
          <w:rFonts w:ascii="Times New Roman" w:hAnsi="Times New Roman" w:cs="Times New Roman"/>
          <w:b/>
          <w:bCs/>
          <w:color w:val="70AD47" w:themeColor="accent6"/>
        </w:rPr>
        <w:t>Definíció szerint:</w:t>
      </w:r>
      <w:r w:rsidRPr="003E02EE">
        <w:rPr>
          <w:rFonts w:ascii="Times New Roman" w:hAnsi="Times New Roman" w:cs="Times New Roman"/>
          <w:color w:val="70AD47" w:themeColor="accent6"/>
        </w:rPr>
        <w:t xml:space="preserve"> Az IRR az a diszkontráta, amely mellett egy beruházás összes jövőbeli pénzáramlásának jelenértéke megegyezik a kezdeti befektetés összegével. Más szóval: az a kamatláb, ahol a Nettó Jelenérték (NPV) pontosan nulla.</w:t>
      </w:r>
    </w:p>
    <w:p w14:paraId="3BA96E7B" w14:textId="77777777" w:rsidR="003E02EE" w:rsidRPr="003E02EE" w:rsidRDefault="003E02EE" w:rsidP="003E02EE">
      <w:pPr>
        <w:numPr>
          <w:ilvl w:val="0"/>
          <w:numId w:val="7"/>
        </w:numPr>
        <w:rPr>
          <w:rFonts w:ascii="Times New Roman" w:hAnsi="Times New Roman" w:cs="Times New Roman"/>
          <w:color w:val="70AD47" w:themeColor="accent6"/>
        </w:rPr>
      </w:pPr>
      <w:r w:rsidRPr="003E02EE">
        <w:rPr>
          <w:rFonts w:ascii="Times New Roman" w:hAnsi="Times New Roman" w:cs="Times New Roman"/>
          <w:b/>
          <w:bCs/>
          <w:color w:val="70AD47" w:themeColor="accent6"/>
        </w:rPr>
        <w:t>A döntési szabály:</w:t>
      </w:r>
      <w:r w:rsidRPr="003E02EE">
        <w:rPr>
          <w:rFonts w:ascii="Times New Roman" w:hAnsi="Times New Roman" w:cs="Times New Roman"/>
          <w:color w:val="70AD47" w:themeColor="accent6"/>
        </w:rPr>
        <w:t xml:space="preserve"> Ha egy projekt IRR-je magasabb, mint az elvárt hozamunk (vagy a tőkénk költsége), akkor a beruházást érdemes megvalósítani.</w:t>
      </w:r>
    </w:p>
    <w:p w14:paraId="0DD67C81" w14:textId="77777777" w:rsidR="003E02EE" w:rsidRDefault="003E02EE">
      <w:pPr>
        <w:rPr>
          <w:rFonts w:ascii="Times New Roman" w:hAnsi="Times New Roman" w:cs="Times New Roman"/>
        </w:rPr>
      </w:pPr>
    </w:p>
    <w:p w14:paraId="6FD4F6D0" w14:textId="77777777" w:rsidR="003E02EE" w:rsidRDefault="003E02EE">
      <w:pPr>
        <w:rPr>
          <w:rFonts w:ascii="Times New Roman" w:hAnsi="Times New Roman" w:cs="Times New Roman"/>
        </w:rPr>
      </w:pPr>
    </w:p>
    <w:p w14:paraId="3C57CEEA" w14:textId="77777777" w:rsidR="00A96BEA" w:rsidRDefault="00A96BEA" w:rsidP="00A96BEA">
      <w:pPr>
        <w:rPr>
          <w:rFonts w:ascii="Times New Roman" w:hAnsi="Times New Roman" w:cs="Times New Roman"/>
          <w:color w:val="000000" w:themeColor="text1"/>
        </w:rPr>
      </w:pPr>
      <w:r w:rsidRPr="00D919B0">
        <w:rPr>
          <w:rFonts w:ascii="Times New Roman" w:hAnsi="Times New Roman" w:cs="Times New Roman"/>
          <w:b/>
          <w:bCs/>
          <w:color w:val="000000" w:themeColor="text1"/>
        </w:rPr>
        <w:t>Belső megtérülési ráta (IRR):</w:t>
      </w:r>
      <w:r>
        <w:rPr>
          <w:rFonts w:ascii="Times New Roman" w:hAnsi="Times New Roman" w:cs="Times New Roman"/>
          <w:color w:val="000000" w:themeColor="text1"/>
        </w:rPr>
        <w:t xml:space="preserve"> Az a diszkontráta, ahol NPV(r) = 0.</w:t>
      </w:r>
      <w:r>
        <w:rPr>
          <w:rFonts w:ascii="Times New Roman" w:hAnsi="Times New Roman" w:cs="Times New Roman"/>
          <w:color w:val="000000" w:themeColor="text1"/>
        </w:rPr>
        <w:br/>
      </w:r>
      <w:r w:rsidRPr="005E3F65">
        <w:rPr>
          <w:rFonts w:ascii="Times New Roman" w:hAnsi="Times New Roman" w:cs="Times New Roman"/>
          <w:b/>
          <w:bCs/>
          <w:color w:val="000000" w:themeColor="text1"/>
        </w:rPr>
        <w:t>Az a diszkontráta, ami mellett az NPV=0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Pr="007A5D43">
        <w:rPr>
          <w:rFonts w:ascii="Times New Roman" w:hAnsi="Times New Roman" w:cs="Times New Roman"/>
          <w:b/>
          <w:bCs/>
          <w:color w:val="FF0000"/>
        </w:rPr>
        <w:t>Éves átlagos hozama a projektnek</w:t>
      </w:r>
      <w:r w:rsidRPr="005E3F65">
        <w:rPr>
          <w:rFonts w:ascii="Times New Roman" w:hAnsi="Times New Roman" w:cs="Times New Roman"/>
          <w:b/>
          <w:bCs/>
          <w:color w:val="000000" w:themeColor="text1"/>
        </w:rPr>
        <w:t>,</w:t>
      </w:r>
      <w:r>
        <w:rPr>
          <w:rFonts w:ascii="Times New Roman" w:hAnsi="Times New Roman" w:cs="Times New Roman"/>
          <w:color w:val="000000" w:themeColor="text1"/>
        </w:rPr>
        <w:t xml:space="preserve"> mert minden évben ugyan az a diszkontráta.</w:t>
      </w:r>
    </w:p>
    <w:p w14:paraId="0FA9BEE7" w14:textId="77777777" w:rsidR="00A96BEA" w:rsidRDefault="00A96BEA" w:rsidP="00A96BEA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Speciális esetek: 1 évnél van ilyen, illetve YTM-nél.</w:t>
      </w:r>
    </w:p>
    <w:p w14:paraId="7E0D59DD" w14:textId="77777777" w:rsidR="00A96BEA" w:rsidRPr="00D919B0" w:rsidRDefault="00A96BEA" w:rsidP="00A96BE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D919B0">
        <w:rPr>
          <w:rFonts w:ascii="Times New Roman" w:hAnsi="Times New Roman" w:cs="Times New Roman"/>
          <w:b/>
          <w:bCs/>
          <w:color w:val="000000" w:themeColor="text1"/>
        </w:rPr>
        <w:t xml:space="preserve">Csapdák: </w:t>
      </w:r>
    </w:p>
    <w:p w14:paraId="613D6B18" w14:textId="77777777" w:rsidR="00A96BEA" w:rsidRPr="00712AE3" w:rsidRDefault="00A96BEA" w:rsidP="00A96BEA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712AE3">
        <w:rPr>
          <w:rFonts w:ascii="Times New Roman" w:hAnsi="Times New Roman" w:cs="Times New Roman"/>
          <w:color w:val="000000" w:themeColor="text1"/>
        </w:rPr>
        <w:t>A</w:t>
      </w:r>
      <w:r>
        <w:rPr>
          <w:rFonts w:ascii="Times New Roman" w:hAnsi="Times New Roman" w:cs="Times New Roman"/>
          <w:color w:val="000000" w:themeColor="text1"/>
        </w:rPr>
        <w:t>z NPV</w:t>
      </w:r>
      <w:r w:rsidRPr="00712AE3">
        <w:rPr>
          <w:rFonts w:ascii="Times New Roman" w:hAnsi="Times New Roman" w:cs="Times New Roman"/>
          <w:color w:val="000000" w:themeColor="text1"/>
        </w:rPr>
        <w:t xml:space="preserve"> függvény lehet monoton növekvő is.</w:t>
      </w:r>
    </w:p>
    <w:p w14:paraId="0C4262A5" w14:textId="77777777" w:rsidR="00A96BEA" w:rsidRPr="005E3F65" w:rsidRDefault="00A96BEA" w:rsidP="00A96BEA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r w:rsidRPr="005E3F65">
        <w:rPr>
          <w:rFonts w:ascii="Times New Roman" w:hAnsi="Times New Roman" w:cs="Times New Roman"/>
          <w:color w:val="000000" w:themeColor="text1"/>
        </w:rPr>
        <w:t>Egy magasfokú egyenletnek több megoldása is van.</w:t>
      </w:r>
    </w:p>
    <w:p w14:paraId="69CF0F22" w14:textId="77777777" w:rsidR="00A96BEA" w:rsidRPr="00822D35" w:rsidRDefault="00A96BEA" w:rsidP="00A96BEA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Nem lehet az IRR-t összehasonlításra használni egymást kizáró projekteknél, mert relatív mutató a projekt volumenét nem mutatja.</w:t>
      </w:r>
    </w:p>
    <w:p w14:paraId="47847839" w14:textId="77777777" w:rsidR="00A96BEA" w:rsidRPr="005E3F65" w:rsidRDefault="00A96BEA" w:rsidP="00A96BEA">
      <w:pPr>
        <w:pStyle w:val="Listaszerbekezds"/>
        <w:rPr>
          <w:rFonts w:ascii="Times New Roman" w:hAnsi="Times New Roman" w:cs="Times New Roman"/>
        </w:rPr>
      </w:pPr>
    </w:p>
    <w:p w14:paraId="4004F9A0" w14:textId="77777777" w:rsidR="00A96BEA" w:rsidRPr="00712AE3" w:rsidRDefault="00A96BEA" w:rsidP="00A96BEA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577D4C">
        <w:rPr>
          <w:rFonts w:ascii="Times New Roman" w:hAnsi="Times New Roman" w:cs="Times New Roman"/>
          <w:color w:val="000000" w:themeColor="text1"/>
        </w:rPr>
        <w:t>Bizonyos pénzáramlások esetén egy projekt NPV-je a diszkontráta növekedésével növekszik. Ez ellentétben áll a diszkontráta és az NPV hagyományos viszonyával.</w:t>
      </w:r>
      <w:r>
        <w:rPr>
          <w:rFonts w:ascii="Times New Roman" w:hAnsi="Times New Roman" w:cs="Times New Roman"/>
          <w:color w:val="000000" w:themeColor="text1"/>
        </w:rPr>
        <w:t xml:space="preserve"> (</w:t>
      </w:r>
      <w:r w:rsidRPr="00712AE3">
        <w:rPr>
          <w:rFonts w:ascii="Times New Roman" w:hAnsi="Times New Roman" w:cs="Times New Roman"/>
          <w:color w:val="000000" w:themeColor="text1"/>
        </w:rPr>
        <w:t>A függvény lehet monoton növekvő is.</w:t>
      </w:r>
      <w:r>
        <w:rPr>
          <w:rFonts w:ascii="Times New Roman" w:hAnsi="Times New Roman" w:cs="Times New Roman"/>
          <w:color w:val="000000" w:themeColor="text1"/>
        </w:rPr>
        <w:t>)</w:t>
      </w:r>
    </w:p>
    <w:p w14:paraId="19E93D94" w14:textId="77777777" w:rsidR="00A96BEA" w:rsidRDefault="00A96BEA" w:rsidP="00A96BEA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1E4A48">
        <w:rPr>
          <w:rFonts w:ascii="Times New Roman" w:hAnsi="Times New Roman" w:cs="Times New Roman"/>
          <w:color w:val="000000" w:themeColor="text1"/>
        </w:rPr>
        <w:t>Bizonyos pénzáramlásoknak két különböző diszkontráta mellett is nulla az NPV-je.</w:t>
      </w:r>
      <w:r>
        <w:rPr>
          <w:rFonts w:ascii="Times New Roman" w:hAnsi="Times New Roman" w:cs="Times New Roman"/>
          <w:color w:val="000000" w:themeColor="text1"/>
        </w:rPr>
        <w:t xml:space="preserve"> (</w:t>
      </w:r>
      <w:r w:rsidRPr="00712AE3">
        <w:rPr>
          <w:rFonts w:ascii="Times New Roman" w:hAnsi="Times New Roman" w:cs="Times New Roman"/>
          <w:color w:val="000000" w:themeColor="text1"/>
        </w:rPr>
        <w:t>Egy magasfokú egyenletnek több megoldása is van.</w:t>
      </w:r>
      <w:r>
        <w:rPr>
          <w:rFonts w:ascii="Times New Roman" w:hAnsi="Times New Roman" w:cs="Times New Roman"/>
          <w:color w:val="000000" w:themeColor="text1"/>
        </w:rPr>
        <w:t>)</w:t>
      </w:r>
    </w:p>
    <w:p w14:paraId="23EC1110" w14:textId="5B16E676" w:rsidR="00A96BEA" w:rsidRDefault="00A96BEA" w:rsidP="00A96BEA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153B5B">
        <w:rPr>
          <w:rFonts w:ascii="Times New Roman" w:hAnsi="Times New Roman" w:cs="Times New Roman"/>
          <w:color w:val="000000" w:themeColor="text1"/>
        </w:rPr>
        <w:t>Egymást kölcsönösen kizáró lehetőségek</w:t>
      </w:r>
      <w:r>
        <w:rPr>
          <w:rFonts w:ascii="Times New Roman" w:hAnsi="Times New Roman" w:cs="Times New Roman"/>
          <w:color w:val="000000" w:themeColor="text1"/>
        </w:rPr>
        <w:t xml:space="preserve">: </w:t>
      </w:r>
      <w:r w:rsidRPr="00153B5B">
        <w:rPr>
          <w:rFonts w:ascii="Times New Roman" w:hAnsi="Times New Roman" w:cs="Times New Roman"/>
          <w:color w:val="000000" w:themeColor="text1"/>
        </w:rPr>
        <w:t>Az IRR olykor elleplezi egy projekt fontosságát.</w:t>
      </w:r>
      <w:r w:rsidR="00C516A3">
        <w:rPr>
          <w:rFonts w:ascii="Times New Roman" w:hAnsi="Times New Roman" w:cs="Times New Roman"/>
          <w:color w:val="000000" w:themeColor="text1"/>
        </w:rPr>
        <w:t xml:space="preserve"> </w:t>
      </w:r>
      <w:r w:rsidR="00C516A3" w:rsidRPr="00C516A3">
        <w:rPr>
          <w:rFonts w:ascii="Times New Roman" w:hAnsi="Times New Roman" w:cs="Times New Roman"/>
          <w:color w:val="ED7D31" w:themeColor="accent2"/>
        </w:rPr>
        <w:t>(más következtetésre juttathat minket az NPV és az IRR, ilyenkor az NPV alapján döntünk)</w:t>
      </w:r>
    </w:p>
    <w:p w14:paraId="3257526E" w14:textId="77777777" w:rsidR="00A96BEA" w:rsidRPr="007B5CFC" w:rsidRDefault="00A96BEA" w:rsidP="00A96BEA">
      <w:pPr>
        <w:pStyle w:val="Listaszerbekezds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</w:rPr>
      </w:pPr>
      <w:r w:rsidRPr="007F5608">
        <w:rPr>
          <w:rFonts w:ascii="Times New Roman" w:hAnsi="Times New Roman" w:cs="Times New Roman"/>
          <w:color w:val="000000" w:themeColor="text1"/>
        </w:rPr>
        <w:t>A rövid és hosszú távú kamatlábak eltérnek</w:t>
      </w:r>
      <w:r>
        <w:rPr>
          <w:rFonts w:ascii="Times New Roman" w:hAnsi="Times New Roman" w:cs="Times New Roman"/>
          <w:color w:val="000000" w:themeColor="text1"/>
        </w:rPr>
        <w:t xml:space="preserve">. </w:t>
      </w:r>
      <w:r w:rsidRPr="007F5608">
        <w:rPr>
          <w:rFonts w:ascii="Times New Roman" w:hAnsi="Times New Roman" w:cs="Times New Roman"/>
          <w:color w:val="000000" w:themeColor="text1"/>
        </w:rPr>
        <w:t>Feltesszük, hogy a diszkontráták a projekt élettartama alatt stabilak maradnak. Ez a feltevés azt implikálja, hogy minden pénzt az IRR mellett forgatunk vissza. Ez a feltevés hamis.</w:t>
      </w:r>
    </w:p>
    <w:p w14:paraId="079A0FAB" w14:textId="77777777" w:rsidR="00A96BEA" w:rsidRDefault="00A96BEA">
      <w:pPr>
        <w:rPr>
          <w:rFonts w:ascii="Times New Roman" w:hAnsi="Times New Roman" w:cs="Times New Roman"/>
        </w:rPr>
      </w:pPr>
    </w:p>
    <w:p w14:paraId="3F0788D2" w14:textId="77777777" w:rsidR="003E02EE" w:rsidRDefault="003E02EE">
      <w:pPr>
        <w:rPr>
          <w:rFonts w:ascii="Times New Roman" w:hAnsi="Times New Roman" w:cs="Times New Roman"/>
        </w:rPr>
      </w:pPr>
    </w:p>
    <w:p w14:paraId="03F71D8B" w14:textId="77777777" w:rsidR="003E02EE" w:rsidRPr="005E0D85" w:rsidRDefault="003E02EE" w:rsidP="003E02E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E0D85">
        <w:rPr>
          <w:rFonts w:ascii="Times New Roman" w:hAnsi="Times New Roman" w:cs="Times New Roman"/>
          <w:b/>
          <w:bCs/>
          <w:sz w:val="36"/>
          <w:szCs w:val="36"/>
        </w:rPr>
        <w:t>Kötvény (4.1)</w:t>
      </w:r>
    </w:p>
    <w:p w14:paraId="6034C698" w14:textId="77777777" w:rsidR="003E02EE" w:rsidRDefault="003E02EE" w:rsidP="003E02EE">
      <w:pPr>
        <w:rPr>
          <w:rFonts w:ascii="Times New Roman" w:hAnsi="Times New Roman" w:cs="Times New Roman"/>
          <w:b/>
          <w:bCs/>
        </w:rPr>
      </w:pPr>
    </w:p>
    <w:p w14:paraId="54AD50D0" w14:textId="77777777" w:rsidR="003E02EE" w:rsidRPr="003E02EE" w:rsidRDefault="003E02EE" w:rsidP="003E02EE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3E02EE">
        <w:rPr>
          <w:rFonts w:ascii="Times New Roman" w:hAnsi="Times New Roman" w:cs="Times New Roman"/>
          <w:b/>
          <w:bCs/>
          <w:color w:val="70AD47" w:themeColor="accent6"/>
        </w:rPr>
        <w:t>A kötvény egy hitelviszonyt megtestesítő értékpapír. Amikor kötvényt veszel, valójában kölcsönadsz a kibocsátónak (pl. államnak, vállalatnak). Cserébe a kibocsátó időnként kamatot (kupont) fizet, a lejáratkor pedig visszafizeti a kölcsönvett tőkét (a névértéket).</w:t>
      </w:r>
    </w:p>
    <w:p w14:paraId="18021AA6" w14:textId="1B1FBADB" w:rsidR="003E02EE" w:rsidRPr="003E02EE" w:rsidRDefault="003E02EE" w:rsidP="003E02EE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3E02EE">
        <w:rPr>
          <w:rFonts w:ascii="Times New Roman" w:hAnsi="Times New Roman" w:cs="Times New Roman"/>
          <w:b/>
          <w:bCs/>
          <w:color w:val="70AD47" w:themeColor="accent6"/>
        </w:rPr>
        <w:t>Hogyan határozzuk meg egy kötvény korrekt (elméleti) árát? Egy kötvény ára nem más, mint a belőle származó összes jövőbeli pénzáramlás jelenértéke. Ez tehát az annuitás (a rendszeres kuponfizetések) és egy egyösszegű jövőérték (a lejáratkor kapott névérték) jelenértékének összege</w:t>
      </w:r>
    </w:p>
    <w:p w14:paraId="7EBFB35D" w14:textId="77777777" w:rsidR="003E02EE" w:rsidRDefault="003E02EE" w:rsidP="003E02EE">
      <w:pPr>
        <w:rPr>
          <w:rFonts w:ascii="Times New Roman" w:hAnsi="Times New Roman" w:cs="Times New Roman"/>
          <w:b/>
          <w:bCs/>
        </w:rPr>
      </w:pPr>
    </w:p>
    <w:p w14:paraId="0931DB7D" w14:textId="5A4D6A28" w:rsidR="003E02EE" w:rsidRPr="00C516A3" w:rsidRDefault="00C516A3" w:rsidP="003E02EE">
      <w:pPr>
        <w:rPr>
          <w:rFonts w:ascii="Times New Roman" w:hAnsi="Times New Roman" w:cs="Times New Roman"/>
          <w:b/>
          <w:bCs/>
          <w:color w:val="70AD47" w:themeColor="accent6"/>
        </w:rPr>
      </w:pPr>
      <w:r w:rsidRPr="00C516A3">
        <w:rPr>
          <w:rFonts w:ascii="Times New Roman" w:hAnsi="Times New Roman" w:cs="Times New Roman"/>
          <w:b/>
          <w:bCs/>
          <w:color w:val="70AD47" w:themeColor="accent6"/>
        </w:rPr>
        <w:t>Kötvények jellemzői: - Kötvényt kibocsáthat az állam, a központi költségvetési szerv, a helyi önkormányzat, a hitelintézet, a jogi személyiséggel rendelkező gazdasági szervezet, a jogi személyiséggel rendelkező külföldi gazdasági szervezet fióktelepe.</w:t>
      </w:r>
    </w:p>
    <w:p w14:paraId="3CEE8C6D" w14:textId="77777777" w:rsidR="00C516A3" w:rsidRDefault="00C516A3" w:rsidP="003E02EE">
      <w:pPr>
        <w:rPr>
          <w:rFonts w:ascii="Times New Roman" w:hAnsi="Times New Roman" w:cs="Times New Roman"/>
          <w:b/>
          <w:bCs/>
        </w:rPr>
      </w:pPr>
    </w:p>
    <w:p w14:paraId="2F5A1BE4" w14:textId="77777777" w:rsidR="00C516A3" w:rsidRDefault="00C516A3" w:rsidP="003E02EE">
      <w:pPr>
        <w:rPr>
          <w:rFonts w:ascii="Times New Roman" w:hAnsi="Times New Roman" w:cs="Times New Roman"/>
          <w:b/>
          <w:bCs/>
        </w:rPr>
      </w:pPr>
    </w:p>
    <w:p w14:paraId="3A35135F" w14:textId="1B50E36F" w:rsidR="003E02EE" w:rsidRDefault="003E02EE" w:rsidP="003E02EE">
      <w:pPr>
        <w:rPr>
          <w:rFonts w:ascii="Times New Roman" w:hAnsi="Times New Roman" w:cs="Times New Roman"/>
        </w:rPr>
      </w:pPr>
      <w:r w:rsidRPr="00D729DF">
        <w:rPr>
          <w:rFonts w:ascii="Times New Roman" w:hAnsi="Times New Roman" w:cs="Times New Roman"/>
          <w:b/>
          <w:bCs/>
        </w:rPr>
        <w:t>Kötvény:</w:t>
      </w:r>
      <w:r>
        <w:rPr>
          <w:rFonts w:ascii="Times New Roman" w:hAnsi="Times New Roman" w:cs="Times New Roman"/>
        </w:rPr>
        <w:t xml:space="preserve"> Hitelviszonyt megtestesítő értékpapírok</w:t>
      </w:r>
    </w:p>
    <w:p w14:paraId="2134EDFE" w14:textId="77777777" w:rsidR="003E02EE" w:rsidRPr="00D729DF" w:rsidRDefault="003E02EE" w:rsidP="003E02EE">
      <w:pPr>
        <w:rPr>
          <w:rFonts w:ascii="Times New Roman" w:hAnsi="Times New Roman" w:cs="Times New Roman"/>
          <w:b/>
          <w:bCs/>
        </w:rPr>
      </w:pPr>
      <w:r w:rsidRPr="00D729DF">
        <w:rPr>
          <w:rFonts w:ascii="Times New Roman" w:hAnsi="Times New Roman" w:cs="Times New Roman"/>
          <w:b/>
          <w:bCs/>
        </w:rPr>
        <w:t>Részei:</w:t>
      </w:r>
    </w:p>
    <w:p w14:paraId="069AF1E2" w14:textId="77777777" w:rsidR="003E02EE" w:rsidRPr="003906B5" w:rsidRDefault="003E02EE" w:rsidP="003E02EE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D729DF">
        <w:rPr>
          <w:rFonts w:ascii="Times New Roman" w:hAnsi="Times New Roman" w:cs="Times New Roman"/>
          <w:b/>
          <w:bCs/>
        </w:rPr>
        <w:t>Névérték:</w:t>
      </w:r>
      <w:r w:rsidRPr="003906B5">
        <w:rPr>
          <w:rFonts w:ascii="Times New Roman" w:hAnsi="Times New Roman" w:cs="Times New Roman"/>
        </w:rPr>
        <w:t xml:space="preserve"> A kötvény méretét adja meg, jele: P</w:t>
      </w:r>
    </w:p>
    <w:p w14:paraId="013E1EF5" w14:textId="77777777" w:rsidR="003E02EE" w:rsidRPr="003906B5" w:rsidRDefault="003E02EE" w:rsidP="003E02EE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D729DF">
        <w:rPr>
          <w:rFonts w:ascii="Times New Roman" w:hAnsi="Times New Roman" w:cs="Times New Roman"/>
          <w:b/>
          <w:bCs/>
        </w:rPr>
        <w:t>Lejárat:</w:t>
      </w:r>
      <w:r w:rsidRPr="003906B5">
        <w:rPr>
          <w:rFonts w:ascii="Times New Roman" w:hAnsi="Times New Roman" w:cs="Times New Roman"/>
        </w:rPr>
        <w:t xml:space="preserve"> Az értékpapírok csak a lejáratig élnek, jele: T</w:t>
      </w:r>
    </w:p>
    <w:p w14:paraId="473644CA" w14:textId="77777777" w:rsidR="003E02EE" w:rsidRDefault="003E02EE" w:rsidP="003E02EE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D729DF">
        <w:rPr>
          <w:rFonts w:ascii="Times New Roman" w:hAnsi="Times New Roman" w:cs="Times New Roman"/>
          <w:b/>
          <w:bCs/>
        </w:rPr>
        <w:t>Kamatráta:</w:t>
      </w:r>
      <w:r w:rsidRPr="003906B5">
        <w:rPr>
          <w:rFonts w:ascii="Times New Roman" w:hAnsi="Times New Roman" w:cs="Times New Roman"/>
        </w:rPr>
        <w:t xml:space="preserve"> jele: d</w:t>
      </w:r>
    </w:p>
    <w:p w14:paraId="07F9E489" w14:textId="77777777" w:rsidR="003E02EE" w:rsidRDefault="003E02EE" w:rsidP="003E02EE">
      <w:pPr>
        <w:pStyle w:val="Listaszerbekezds"/>
        <w:numPr>
          <w:ilvl w:val="0"/>
          <w:numId w:val="9"/>
        </w:numPr>
        <w:rPr>
          <w:rFonts w:ascii="Times New Roman" w:hAnsi="Times New Roman" w:cs="Times New Roman"/>
        </w:rPr>
      </w:pPr>
      <w:r w:rsidRPr="00D729DF">
        <w:rPr>
          <w:rFonts w:ascii="Times New Roman" w:hAnsi="Times New Roman" w:cs="Times New Roman"/>
          <w:b/>
          <w:bCs/>
        </w:rPr>
        <w:t>Éves kamat kifizetés:</w:t>
      </w:r>
      <w:r>
        <w:rPr>
          <w:rFonts w:ascii="Times New Roman" w:hAnsi="Times New Roman" w:cs="Times New Roman"/>
        </w:rPr>
        <w:t xml:space="preserve"> d * P</w:t>
      </w:r>
    </w:p>
    <w:p w14:paraId="18C110F9" w14:textId="77777777" w:rsidR="003E02EE" w:rsidRPr="005E0D85" w:rsidRDefault="003E02EE" w:rsidP="003E02E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E0D85">
        <w:rPr>
          <w:rFonts w:ascii="Times New Roman" w:hAnsi="Times New Roman" w:cs="Times New Roman"/>
          <w:b/>
          <w:bCs/>
          <w:sz w:val="36"/>
          <w:szCs w:val="36"/>
        </w:rPr>
        <w:t>Alapfogalmak (4.2)</w:t>
      </w:r>
    </w:p>
    <w:p w14:paraId="41B4D296" w14:textId="77777777" w:rsidR="003E02EE" w:rsidRDefault="003E02EE" w:rsidP="003E02EE">
      <w:pPr>
        <w:rPr>
          <w:rFonts w:ascii="Times New Roman" w:hAnsi="Times New Roman" w:cs="Times New Roman"/>
        </w:rPr>
      </w:pPr>
      <w:r w:rsidRPr="00D729DF">
        <w:rPr>
          <w:rFonts w:ascii="Times New Roman" w:hAnsi="Times New Roman" w:cs="Times New Roman"/>
          <w:b/>
          <w:bCs/>
        </w:rPr>
        <w:t>Kötvénykibocsátók feladata:</w:t>
      </w:r>
      <w:r>
        <w:rPr>
          <w:rFonts w:ascii="Times New Roman" w:hAnsi="Times New Roman" w:cs="Times New Roman"/>
        </w:rPr>
        <w:t xml:space="preserve"> A névérték és az éves kamat kifizetése lejárat után.</w:t>
      </w:r>
    </w:p>
    <w:p w14:paraId="50FF8BD3" w14:textId="77777777" w:rsidR="003E02EE" w:rsidRDefault="003E02EE" w:rsidP="003E02EE">
      <w:pPr>
        <w:rPr>
          <w:rFonts w:ascii="Times New Roman" w:hAnsi="Times New Roman" w:cs="Times New Roman"/>
        </w:rPr>
      </w:pPr>
      <w:r w:rsidRPr="00D729DF">
        <w:rPr>
          <w:rFonts w:ascii="Times New Roman" w:hAnsi="Times New Roman" w:cs="Times New Roman"/>
          <w:b/>
          <w:bCs/>
        </w:rPr>
        <w:t>k:</w:t>
      </w:r>
      <w:r>
        <w:rPr>
          <w:rFonts w:ascii="Times New Roman" w:hAnsi="Times New Roman" w:cs="Times New Roman"/>
        </w:rPr>
        <w:t xml:space="preserve"> Egy időszakon belüli kamat kifizetése</w:t>
      </w:r>
    </w:p>
    <w:p w14:paraId="76A3F47E" w14:textId="37C37947" w:rsidR="003E02EE" w:rsidRDefault="003E02EE" w:rsidP="003E02EE">
      <w:pPr>
        <w:rPr>
          <w:rFonts w:ascii="Times New Roman" w:hAnsi="Times New Roman" w:cs="Times New Roman"/>
        </w:rPr>
      </w:pPr>
      <w:r w:rsidRPr="00D729DF">
        <w:rPr>
          <w:rFonts w:ascii="Times New Roman" w:hAnsi="Times New Roman" w:cs="Times New Roman"/>
          <w:b/>
          <w:bCs/>
        </w:rPr>
        <w:t>Elsődleges piac:</w:t>
      </w:r>
      <w:r>
        <w:rPr>
          <w:rFonts w:ascii="Times New Roman" w:hAnsi="Times New Roman" w:cs="Times New Roman"/>
        </w:rPr>
        <w:t xml:space="preserve"> A</w:t>
      </w:r>
      <w:r w:rsidR="00C516A3">
        <w:rPr>
          <w:rFonts w:ascii="Times New Roman" w:hAnsi="Times New Roman" w:cs="Times New Roman"/>
        </w:rPr>
        <w:t>hol</w:t>
      </w:r>
      <w:r>
        <w:rPr>
          <w:rFonts w:ascii="Times New Roman" w:hAnsi="Times New Roman" w:cs="Times New Roman"/>
        </w:rPr>
        <w:t xml:space="preserve"> kibocsátó értékesíti a kötvényét</w:t>
      </w:r>
      <w:r w:rsidR="00C516A3">
        <w:rPr>
          <w:rFonts w:ascii="Times New Roman" w:hAnsi="Times New Roman" w:cs="Times New Roman"/>
        </w:rPr>
        <w:t>, ahol az első tulajdonos megszerzi</w:t>
      </w:r>
    </w:p>
    <w:p w14:paraId="0AE7739F" w14:textId="1F97FA43" w:rsidR="003E02EE" w:rsidRDefault="003E02EE" w:rsidP="003E02EE">
      <w:pPr>
        <w:rPr>
          <w:rFonts w:ascii="Times New Roman" w:hAnsi="Times New Roman" w:cs="Times New Roman"/>
        </w:rPr>
      </w:pPr>
      <w:r w:rsidRPr="00D729DF">
        <w:rPr>
          <w:rFonts w:ascii="Times New Roman" w:hAnsi="Times New Roman" w:cs="Times New Roman"/>
          <w:b/>
          <w:bCs/>
        </w:rPr>
        <w:t>Másodlagos piac:</w:t>
      </w:r>
      <w:r>
        <w:rPr>
          <w:rFonts w:ascii="Times New Roman" w:hAnsi="Times New Roman" w:cs="Times New Roman"/>
        </w:rPr>
        <w:t xml:space="preserve"> Ha a kötvény átruházható, tovább értékesítik, </w:t>
      </w:r>
      <w:r w:rsidR="00C516A3">
        <w:rPr>
          <w:rFonts w:ascii="Times New Roman" w:hAnsi="Times New Roman" w:cs="Times New Roman"/>
        </w:rPr>
        <w:t>ahol kereskednek vele pl: tőzsde</w:t>
      </w:r>
    </w:p>
    <w:p w14:paraId="6C4B5953" w14:textId="77777777" w:rsidR="003E02EE" w:rsidRPr="005E0D85" w:rsidRDefault="003E02EE" w:rsidP="003E02E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E0D85">
        <w:rPr>
          <w:rFonts w:ascii="Times New Roman" w:hAnsi="Times New Roman" w:cs="Times New Roman"/>
          <w:b/>
          <w:bCs/>
          <w:sz w:val="36"/>
          <w:szCs w:val="36"/>
        </w:rPr>
        <w:t>Kötvények csoportosítása (4.3)</w:t>
      </w:r>
    </w:p>
    <w:p w14:paraId="21AEB8B2" w14:textId="77777777" w:rsidR="003E02EE" w:rsidRPr="00D729DF" w:rsidRDefault="003E02EE" w:rsidP="003E02EE">
      <w:pPr>
        <w:pStyle w:val="Listaszerbekezds"/>
        <w:numPr>
          <w:ilvl w:val="1"/>
          <w:numId w:val="8"/>
        </w:numPr>
        <w:rPr>
          <w:rFonts w:ascii="Times New Roman" w:hAnsi="Times New Roman" w:cs="Times New Roman"/>
          <w:b/>
          <w:bCs/>
        </w:rPr>
      </w:pPr>
      <w:r w:rsidRPr="00D729DF">
        <w:rPr>
          <w:rFonts w:ascii="Times New Roman" w:hAnsi="Times New Roman" w:cs="Times New Roman"/>
          <w:b/>
          <w:bCs/>
        </w:rPr>
        <w:t>Kibocsátók szerint:</w:t>
      </w:r>
    </w:p>
    <w:p w14:paraId="46F03BBC" w14:textId="77777777" w:rsidR="003E02EE" w:rsidRPr="00AA1594" w:rsidRDefault="003E02EE" w:rsidP="003E02EE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 w:rsidRPr="00AA1594">
        <w:rPr>
          <w:rFonts w:ascii="Times New Roman" w:hAnsi="Times New Roman" w:cs="Times New Roman"/>
        </w:rPr>
        <w:t>Vállalkozások: vállalati kötvények</w:t>
      </w:r>
    </w:p>
    <w:p w14:paraId="0930888C" w14:textId="77777777" w:rsidR="003E02EE" w:rsidRDefault="003E02EE" w:rsidP="003E02EE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 w:rsidRPr="00AA1594">
        <w:rPr>
          <w:rFonts w:ascii="Times New Roman" w:hAnsi="Times New Roman" w:cs="Times New Roman"/>
        </w:rPr>
        <w:t>Állam: államkötvények (hosszú táv), kincstárjegy (rövidtáv)</w:t>
      </w:r>
    </w:p>
    <w:p w14:paraId="25F30FE5" w14:textId="77777777" w:rsidR="003E02EE" w:rsidRDefault="003E02EE" w:rsidP="003E02EE">
      <w:pPr>
        <w:pStyle w:val="Listaszerbekezds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helyi önkormányzat, tartomány</w:t>
      </w:r>
    </w:p>
    <w:p w14:paraId="78B57E08" w14:textId="77777777" w:rsidR="003E02EE" w:rsidRPr="00D729DF" w:rsidRDefault="003E02EE" w:rsidP="003E02EE">
      <w:pPr>
        <w:pStyle w:val="Listaszerbekezds"/>
        <w:numPr>
          <w:ilvl w:val="1"/>
          <w:numId w:val="8"/>
        </w:numPr>
        <w:rPr>
          <w:rFonts w:ascii="Times New Roman" w:hAnsi="Times New Roman" w:cs="Times New Roman"/>
          <w:b/>
          <w:bCs/>
        </w:rPr>
      </w:pPr>
      <w:r w:rsidRPr="00D729DF">
        <w:rPr>
          <w:rFonts w:ascii="Times New Roman" w:hAnsi="Times New Roman" w:cs="Times New Roman"/>
          <w:b/>
          <w:bCs/>
        </w:rPr>
        <w:t>Kamatráta szerint:</w:t>
      </w:r>
    </w:p>
    <w:p w14:paraId="65B101CC" w14:textId="77777777" w:rsidR="003E02EE" w:rsidRPr="001E4138" w:rsidRDefault="003E02EE" w:rsidP="003E02EE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1E4138">
        <w:rPr>
          <w:rFonts w:ascii="Times New Roman" w:hAnsi="Times New Roman" w:cs="Times New Roman"/>
        </w:rPr>
        <w:t>állandó (fix kamatozású)</w:t>
      </w:r>
    </w:p>
    <w:p w14:paraId="529EE9EB" w14:textId="77777777" w:rsidR="003E02EE" w:rsidRPr="001E4138" w:rsidRDefault="003E02EE" w:rsidP="003E02EE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 w:rsidRPr="001E4138">
        <w:rPr>
          <w:rFonts w:ascii="Times New Roman" w:hAnsi="Times New Roman" w:cs="Times New Roman"/>
        </w:rPr>
        <w:t>változó (d = referencia hozam + %)</w:t>
      </w:r>
    </w:p>
    <w:p w14:paraId="3580AB0C" w14:textId="22DA7D45" w:rsidR="003E02EE" w:rsidRDefault="00C516A3" w:rsidP="003E02EE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kamatot nem fizető kötvények / </w:t>
      </w:r>
      <w:r w:rsidR="003E02EE" w:rsidRPr="001E4138">
        <w:rPr>
          <w:rFonts w:ascii="Times New Roman" w:hAnsi="Times New Roman" w:cs="Times New Roman"/>
        </w:rPr>
        <w:t>kuponszelvény nélküli kötvények (nincs kamatfizetés)</w:t>
      </w:r>
    </w:p>
    <w:p w14:paraId="3BB8989F" w14:textId="77777777" w:rsidR="003E02EE" w:rsidRDefault="003E02EE" w:rsidP="003E02EE">
      <w:pPr>
        <w:rPr>
          <w:rFonts w:ascii="Times New Roman" w:hAnsi="Times New Roman" w:cs="Times New Roman"/>
        </w:rPr>
      </w:pPr>
    </w:p>
    <w:p w14:paraId="11AA6F9C" w14:textId="77777777" w:rsidR="003E02EE" w:rsidRDefault="003E02EE" w:rsidP="003E02EE">
      <w:pPr>
        <w:rPr>
          <w:rFonts w:ascii="Times New Roman" w:hAnsi="Times New Roman" w:cs="Times New Roman"/>
        </w:rPr>
      </w:pPr>
    </w:p>
    <w:p w14:paraId="422743C5" w14:textId="33047664" w:rsidR="003E02EE" w:rsidRPr="003E02EE" w:rsidRDefault="003E02EE" w:rsidP="003E02EE">
      <w:pPr>
        <w:rPr>
          <w:rFonts w:ascii="Times New Roman" w:hAnsi="Times New Roman" w:cs="Times New Roman"/>
          <w:color w:val="7030A0"/>
        </w:rPr>
      </w:pPr>
      <w:r w:rsidRPr="003E02EE">
        <w:rPr>
          <w:rFonts w:ascii="Times New Roman" w:hAnsi="Times New Roman" w:cs="Times New Roman"/>
          <w:b/>
          <w:bCs/>
          <w:color w:val="7030A0"/>
        </w:rPr>
        <w:t>összefüggés a kötvénypiacon:</w:t>
      </w:r>
      <w:r w:rsidRPr="003E02EE">
        <w:rPr>
          <w:rFonts w:ascii="Times New Roman" w:hAnsi="Times New Roman" w:cs="Times New Roman"/>
          <w:color w:val="7030A0"/>
        </w:rPr>
        <w:t xml:space="preserve"> A kötvény ára és a piaci kamatkörnyezet között </w:t>
      </w:r>
      <w:r w:rsidRPr="003E02EE">
        <w:rPr>
          <w:rFonts w:ascii="Times New Roman" w:hAnsi="Times New Roman" w:cs="Times New Roman"/>
          <w:b/>
          <w:bCs/>
          <w:color w:val="7030A0"/>
        </w:rPr>
        <w:t>inverz (fordított) kapcsolat</w:t>
      </w:r>
      <w:r w:rsidRPr="003E02EE">
        <w:rPr>
          <w:rFonts w:ascii="Times New Roman" w:hAnsi="Times New Roman" w:cs="Times New Roman"/>
          <w:color w:val="7030A0"/>
        </w:rPr>
        <w:t xml:space="preserve"> van.</w:t>
      </w:r>
    </w:p>
    <w:p w14:paraId="775FAB8A" w14:textId="77777777" w:rsidR="003E02EE" w:rsidRPr="003E02EE" w:rsidRDefault="003E02EE" w:rsidP="003E02EE">
      <w:pPr>
        <w:numPr>
          <w:ilvl w:val="0"/>
          <w:numId w:val="12"/>
        </w:numPr>
        <w:rPr>
          <w:rFonts w:ascii="Times New Roman" w:hAnsi="Times New Roman" w:cs="Times New Roman"/>
          <w:color w:val="7030A0"/>
        </w:rPr>
      </w:pPr>
      <w:r w:rsidRPr="003E02EE">
        <w:rPr>
          <w:rFonts w:ascii="Times New Roman" w:hAnsi="Times New Roman" w:cs="Times New Roman"/>
          <w:color w:val="7030A0"/>
        </w:rPr>
        <w:t xml:space="preserve">Ha a piaci kamatok </w:t>
      </w:r>
      <w:r w:rsidRPr="003E02EE">
        <w:rPr>
          <w:rFonts w:ascii="Times New Roman" w:hAnsi="Times New Roman" w:cs="Times New Roman"/>
          <w:b/>
          <w:bCs/>
          <w:color w:val="7030A0"/>
        </w:rPr>
        <w:t>nőnek</w:t>
      </w:r>
      <w:r w:rsidRPr="003E02EE">
        <w:rPr>
          <w:rFonts w:ascii="Times New Roman" w:hAnsi="Times New Roman" w:cs="Times New Roman"/>
          <w:color w:val="7030A0"/>
        </w:rPr>
        <w:t xml:space="preserve">, a korábban kibocsátott (alacsonyabb fix kamatozású) kötvények ára </w:t>
      </w:r>
      <w:r w:rsidRPr="003E02EE">
        <w:rPr>
          <w:rFonts w:ascii="Times New Roman" w:hAnsi="Times New Roman" w:cs="Times New Roman"/>
          <w:b/>
          <w:bCs/>
          <w:color w:val="7030A0"/>
        </w:rPr>
        <w:t>esik</w:t>
      </w:r>
      <w:r w:rsidRPr="003E02EE">
        <w:rPr>
          <w:rFonts w:ascii="Times New Roman" w:hAnsi="Times New Roman" w:cs="Times New Roman"/>
          <w:color w:val="7030A0"/>
        </w:rPr>
        <w:t>.</w:t>
      </w:r>
    </w:p>
    <w:p w14:paraId="2C44B835" w14:textId="77777777" w:rsidR="003E02EE" w:rsidRPr="003E02EE" w:rsidRDefault="003E02EE" w:rsidP="003E02EE">
      <w:pPr>
        <w:numPr>
          <w:ilvl w:val="0"/>
          <w:numId w:val="12"/>
        </w:numPr>
        <w:rPr>
          <w:rFonts w:ascii="Times New Roman" w:hAnsi="Times New Roman" w:cs="Times New Roman"/>
          <w:color w:val="7030A0"/>
        </w:rPr>
      </w:pPr>
      <w:r w:rsidRPr="003E02EE">
        <w:rPr>
          <w:rFonts w:ascii="Times New Roman" w:hAnsi="Times New Roman" w:cs="Times New Roman"/>
          <w:color w:val="7030A0"/>
        </w:rPr>
        <w:t xml:space="preserve">Ha a piaci kamatok </w:t>
      </w:r>
      <w:r w:rsidRPr="003E02EE">
        <w:rPr>
          <w:rFonts w:ascii="Times New Roman" w:hAnsi="Times New Roman" w:cs="Times New Roman"/>
          <w:b/>
          <w:bCs/>
          <w:color w:val="7030A0"/>
        </w:rPr>
        <w:t>csökkennek</w:t>
      </w:r>
      <w:r w:rsidRPr="003E02EE">
        <w:rPr>
          <w:rFonts w:ascii="Times New Roman" w:hAnsi="Times New Roman" w:cs="Times New Roman"/>
          <w:color w:val="7030A0"/>
        </w:rPr>
        <w:t xml:space="preserve">, a meglévő (magasabb kamatot fizető) kötvények ára </w:t>
      </w:r>
      <w:r w:rsidRPr="003E02EE">
        <w:rPr>
          <w:rFonts w:ascii="Times New Roman" w:hAnsi="Times New Roman" w:cs="Times New Roman"/>
          <w:b/>
          <w:bCs/>
          <w:color w:val="7030A0"/>
        </w:rPr>
        <w:t>emelkedik</w:t>
      </w:r>
      <w:r w:rsidRPr="003E02EE">
        <w:rPr>
          <w:rFonts w:ascii="Times New Roman" w:hAnsi="Times New Roman" w:cs="Times New Roman"/>
          <w:color w:val="7030A0"/>
        </w:rPr>
        <w:t>.</w:t>
      </w:r>
    </w:p>
    <w:p w14:paraId="58904FF4" w14:textId="77777777" w:rsidR="003E02EE" w:rsidRPr="003E02EE" w:rsidRDefault="003E02EE" w:rsidP="003E02EE">
      <w:pPr>
        <w:rPr>
          <w:rFonts w:ascii="Times New Roman" w:hAnsi="Times New Roman" w:cs="Times New Roman"/>
        </w:rPr>
      </w:pPr>
    </w:p>
    <w:p w14:paraId="64B3DC0D" w14:textId="77777777" w:rsidR="003E02EE" w:rsidRPr="009962D2" w:rsidRDefault="003E02EE" w:rsidP="003E02E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</w:rPr>
        <w:br w:type="page"/>
      </w:r>
      <w:r w:rsidRPr="009962D2">
        <w:rPr>
          <w:rFonts w:ascii="Times New Roman" w:hAnsi="Times New Roman" w:cs="Times New Roman"/>
          <w:b/>
          <w:bCs/>
          <w:sz w:val="36"/>
          <w:szCs w:val="36"/>
        </w:rPr>
        <w:lastRenderedPageBreak/>
        <w:t>Kötvények árazása (4.4)</w:t>
      </w:r>
    </w:p>
    <w:p w14:paraId="630DD5EF" w14:textId="77777777" w:rsidR="003E02EE" w:rsidRPr="008F7076" w:rsidRDefault="003E02EE" w:rsidP="003E02EE">
      <w:pPr>
        <w:rPr>
          <w:rFonts w:ascii="Times New Roman" w:hAnsi="Times New Roman" w:cs="Times New Roman"/>
          <w:color w:val="FF0000"/>
        </w:rPr>
      </w:pPr>
      <w:r w:rsidRPr="008F7076">
        <w:rPr>
          <w:rFonts w:ascii="Times New Roman" w:hAnsi="Times New Roman" w:cs="Times New Roman"/>
          <w:color w:val="FF0000"/>
        </w:rPr>
        <w:t xml:space="preserve">Kötvények árazásának kiszámítása: B =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color w:val="FF0000"/>
              </w:rPr>
            </m:ctrlPr>
          </m:naryPr>
          <m:sub>
            <m:r>
              <w:rPr>
                <w:rFonts w:ascii="Cambria Math" w:hAnsi="Cambria Math" w:cs="Times New Roman"/>
                <w:color w:val="FF0000"/>
              </w:rPr>
              <m:t>i=1</m:t>
            </m:r>
          </m:sub>
          <m:sup>
            <m:r>
              <w:rPr>
                <w:rFonts w:ascii="Cambria Math" w:hAnsi="Cambria Math" w:cs="Times New Roman"/>
                <w:color w:val="FF0000"/>
              </w:rPr>
              <m:t>n</m:t>
            </m:r>
          </m:sup>
          <m:e>
            <m:r>
              <w:rPr>
                <w:rFonts w:ascii="Cambria Math" w:hAnsi="Cambria Math" w:cs="Times New Roman"/>
                <w:color w:val="FF0000"/>
              </w:rPr>
              <m:t>PV(Ci)</m:t>
            </m:r>
          </m:e>
        </m:nary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color w:val="FF0000"/>
                  </w:rPr>
                </m:ctrlPr>
              </m:eqArrP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color w:val="FF0000"/>
                      </w:rPr>
                      <m:t>n</m:t>
                    </m:r>
                  </m:sup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</w:rPr>
                          <m:t>Ci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</w:rPr>
                              <m:t>(1+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</w:rPr>
                                  <m:t>r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</w:rPr>
                                  <m:t>k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</w:rPr>
                              <m:t>t*k</m:t>
                            </m:r>
                          </m:sup>
                        </m:sSup>
                      </m:den>
                    </m:f>
                  </m:e>
                </m:nary>
              </m:e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color w:val="FF0000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</w:rPr>
                          <m:t>Ci*e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</w:rPr>
                          <m:t>-r*t</m:t>
                        </m:r>
                      </m:sup>
                    </m:sSup>
                  </m:e>
                </m:nary>
              </m:e>
            </m:eqArr>
          </m:e>
        </m:d>
      </m:oMath>
    </w:p>
    <w:p w14:paraId="24D50B4A" w14:textId="77777777" w:rsidR="003E02EE" w:rsidRDefault="003E02EE" w:rsidP="003E02EE">
      <w:pPr>
        <w:rPr>
          <w:rFonts w:ascii="Times New Roman" w:eastAsiaTheme="minorEastAsia" w:hAnsi="Times New Roman" w:cs="Times New Roman"/>
        </w:rPr>
      </w:pPr>
      <w:r w:rsidRPr="00F8640E">
        <w:rPr>
          <w:rFonts w:ascii="Times New Roman" w:hAnsi="Times New Roman" w:cs="Times New Roman"/>
          <w:b/>
          <w:bCs/>
        </w:rPr>
        <w:t>Lejáratig számított hozam:</w:t>
      </w:r>
      <w:r>
        <w:rPr>
          <w:rFonts w:ascii="Times New Roman" w:hAnsi="Times New Roman" w:cs="Times New Roman"/>
        </w:rPr>
        <w:t xml:space="preserve"> Amennyiben megvásárolja a kötvényt, és megvárja a lejáratot, mekkora hozamot biztosít. </w:t>
      </w:r>
      <w:r w:rsidRPr="00D56E33">
        <w:rPr>
          <w:rFonts w:ascii="Times New Roman" w:hAnsi="Times New Roman" w:cs="Times New Roman"/>
          <w:color w:val="FF0000"/>
        </w:rPr>
        <w:t xml:space="preserve">Kiszámítás: B (kötvény jelenértéke) = piaci ár =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color w:val="FF0000"/>
              </w:rPr>
            </m:ctrlPr>
          </m:naryPr>
          <m:sub>
            <m:r>
              <w:rPr>
                <w:rFonts w:ascii="Cambria Math" w:hAnsi="Cambria Math" w:cs="Times New Roman"/>
                <w:color w:val="FF0000"/>
              </w:rPr>
              <m:t>i=1</m:t>
            </m:r>
          </m:sub>
          <m:sup>
            <m:r>
              <w:rPr>
                <w:rFonts w:ascii="Cambria Math" w:hAnsi="Cambria Math" w:cs="Times New Roman"/>
                <w:color w:val="FF0000"/>
              </w:rPr>
              <m:t>n</m:t>
            </m:r>
          </m:sup>
          <m:e>
            <m:r>
              <w:rPr>
                <w:rFonts w:ascii="Cambria Math" w:hAnsi="Cambria Math" w:cs="Times New Roman"/>
                <w:color w:val="FF0000"/>
              </w:rPr>
              <m:t>PV(Ci)</m:t>
            </m:r>
          </m:e>
        </m:nary>
      </m:oMath>
      <w:r w:rsidRPr="00D56E33">
        <w:rPr>
          <w:rFonts w:ascii="Times New Roman" w:eastAsiaTheme="minorEastAsia" w:hAnsi="Times New Roman" w:cs="Times New Roman"/>
          <w:color w:val="FF0000"/>
        </w:rPr>
        <w:t xml:space="preserve"> .</w:t>
      </w:r>
      <w:r>
        <w:rPr>
          <w:rFonts w:ascii="Times New Roman" w:eastAsiaTheme="minorEastAsia" w:hAnsi="Times New Roman" w:cs="Times New Roman"/>
        </w:rPr>
        <w:br/>
        <w:t>Ezáltal megadja, hogy a piac mekkora diszkontrátával számol, ez a piac által elvárt átlagos, névleges éves hozam. Az érték kiszámításához nincs megoldóképlet, az értéket közelítéssel számítjuk ki.</w:t>
      </w:r>
    </w:p>
    <w:p w14:paraId="1C1EEB14" w14:textId="77777777" w:rsidR="003E02EE" w:rsidRDefault="003E02EE" w:rsidP="003E02EE">
      <w:pPr>
        <w:rPr>
          <w:rFonts w:ascii="Times New Roman" w:eastAsiaTheme="minorEastAsia" w:hAnsi="Times New Roman" w:cs="Times New Roman"/>
        </w:rPr>
      </w:pPr>
      <w:r w:rsidRPr="003E02EE">
        <w:rPr>
          <w:rFonts w:ascii="Times New Roman" w:eastAsiaTheme="minorEastAsia" w:hAnsi="Times New Roman" w:cs="Times New Roman"/>
          <w:b/>
          <w:bCs/>
        </w:rPr>
        <w:t>Duration (Átlagos kifizetési idő):</w:t>
      </w:r>
      <w:r>
        <w:rPr>
          <w:rFonts w:ascii="Times New Roman" w:eastAsiaTheme="minorEastAsia" w:hAnsi="Times New Roman" w:cs="Times New Roman"/>
        </w:rPr>
        <w:t xml:space="preserve"> A kifizetési időpontok súlyozott átlaga, ahol a súlyok az időpontokhoz tartozó Cash Flow-kal egyeznek meg. </w:t>
      </w:r>
      <w:r w:rsidRPr="000F7F5D">
        <w:rPr>
          <w:rFonts w:ascii="Times New Roman" w:eastAsiaTheme="minorEastAsia" w:hAnsi="Times New Roman" w:cs="Times New Roman"/>
          <w:color w:val="FF0000"/>
        </w:rPr>
        <w:t xml:space="preserve">Kiszámítás: D =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color w:val="FF0000"/>
              </w:rPr>
            </m:ctrlPr>
          </m:naryPr>
          <m:sub>
            <m:r>
              <w:rPr>
                <w:rFonts w:ascii="Cambria Math" w:hAnsi="Cambria Math" w:cs="Times New Roman"/>
                <w:color w:val="FF0000"/>
              </w:rPr>
              <m:t>i=1</m:t>
            </m:r>
          </m:sub>
          <m:sup>
            <m:r>
              <w:rPr>
                <w:rFonts w:ascii="Cambria Math" w:hAnsi="Cambria Math" w:cs="Times New Roman"/>
                <w:color w:val="FF0000"/>
              </w:rPr>
              <m:t>n</m:t>
            </m:r>
          </m:sup>
          <m:e>
            <m:r>
              <w:rPr>
                <w:rFonts w:ascii="Cambria Math" w:hAnsi="Cambria Math" w:cs="Times New Roman"/>
                <w:color w:val="FF0000"/>
              </w:rPr>
              <m:t>ti* PV(Ci)</m:t>
            </m:r>
          </m:e>
        </m:nary>
      </m:oMath>
      <w:r w:rsidRPr="000F7F5D">
        <w:rPr>
          <w:rFonts w:ascii="Times New Roman" w:eastAsiaTheme="minorEastAsia" w:hAnsi="Times New Roman" w:cs="Times New Roman"/>
          <w:color w:val="FF0000"/>
        </w:rPr>
        <w:t xml:space="preserve"> / B</w:t>
      </w:r>
      <w:r w:rsidRPr="000F7F5D">
        <w:rPr>
          <w:rFonts w:ascii="Times New Roman" w:eastAsiaTheme="minorEastAsia" w:hAnsi="Times New Roman" w:cs="Times New Roman"/>
          <w:color w:val="FF0000"/>
        </w:rPr>
        <w:br/>
      </w:r>
      <w:r w:rsidRPr="000F7F5D">
        <w:rPr>
          <w:rFonts w:ascii="Times New Roman" w:hAnsi="Times New Roman" w:cs="Times New Roman"/>
          <w:color w:val="FF0000"/>
        </w:rPr>
        <w:t xml:space="preserve">D =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color w:val="FF0000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</w:rPr>
                        </m:ctrlPr>
                      </m:dPr>
                      <m:e>
                        <m:nary>
                          <m:naryPr>
                            <m:chr m:val="∑"/>
                            <m:limLoc m:val="undOvr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color w:val="FF0000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</w:rPr>
                              <m:t>i=1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color w:val="FF0000"/>
                              </w:rPr>
                              <m:t>n</m:t>
                            </m:r>
                          </m:sup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color w:val="FF000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 w:cs="Times New Roman"/>
                                    <w:color w:val="FF0000"/>
                                  </w:rPr>
                                  <m:t>Ci</m:t>
                                </m:r>
                              </m:num>
                              <m:den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="Times New Roman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 w:cs="Times New Roman"/>
                                            <w:i/>
                                            <w:color w:val="FF000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Theme="minorEastAsia" w:hAnsi="Cambria Math" w:cs="Times New Roman"/>
                                            <w:color w:val="FF0000"/>
                                          </w:rPr>
                                          <m:t>1+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Theme="minorEastAsia" w:hAnsi="Cambria Math" w:cs="Times New Roman"/>
                                                <w:i/>
                                                <w:color w:val="FF0000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color w:val="FF0000"/>
                                              </w:rPr>
                                              <m:t>r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eastAsiaTheme="minorEastAsia" w:hAnsi="Cambria Math" w:cs="Times New Roman"/>
                                                <w:color w:val="FF0000"/>
                                              </w:rPr>
                                              <m:t>k</m:t>
                                            </m:r>
                                          </m:den>
                                        </m:f>
                                      </m:e>
                                    </m:d>
                                  </m:e>
                                  <m:sup>
                                    <m:r>
                                      <w:rPr>
                                        <w:rFonts w:ascii="Cambria Math" w:eastAsiaTheme="minorEastAsia" w:hAnsi="Cambria Math" w:cs="Times New Roman"/>
                                        <w:color w:val="FF0000"/>
                                      </w:rPr>
                                      <m:t>ti*k</m:t>
                                    </m:r>
                                  </m:sup>
                                </m:sSup>
                              </m:den>
                            </m:f>
                          </m:e>
                        </m:nary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</w:rPr>
                          <m:t>*ti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FF0000"/>
                      </w:rPr>
                      <m:t>B</m:t>
                    </m:r>
                  </m:den>
                </m:f>
              </m:e>
              <m:e>
                <m:r>
                  <w:rPr>
                    <w:rFonts w:ascii="Cambria Math" w:eastAsiaTheme="minorEastAsia" w:hAnsi="Cambria Math" w:cs="Times New Roman"/>
                    <w:color w:val="FF0000"/>
                  </w:rPr>
                  <m:t>(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color w:val="FF000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color w:val="FF0000"/>
                      </w:rPr>
                      <m:t>i=1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color w:val="FF0000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FF000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</w:rPr>
                          <m:t>Ci*e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color w:val="FF0000"/>
                          </w:rPr>
                          <m:t>-r*ti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color w:val="FF0000"/>
                      </w:rPr>
                      <m:t>)/B</m:t>
                    </m:r>
                  </m:e>
                </m:nary>
              </m:e>
            </m:eqArr>
          </m:e>
        </m:d>
      </m:oMath>
      <w:r>
        <w:rPr>
          <w:rFonts w:ascii="Times New Roman" w:eastAsiaTheme="minorEastAsia" w:hAnsi="Times New Roman" w:cs="Times New Roman"/>
          <w:color w:val="FF0000"/>
        </w:rPr>
        <w:tab/>
      </w:r>
      <w:r>
        <w:rPr>
          <w:rFonts w:ascii="Times New Roman" w:eastAsiaTheme="minorEastAsia" w:hAnsi="Times New Roman" w:cs="Times New Roman"/>
          <w:color w:val="FF0000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</w:rPr>
              <m:t>dB</m:t>
            </m:r>
          </m:num>
          <m:den>
            <m:r>
              <w:rPr>
                <w:rFonts w:ascii="Cambria Math" w:hAnsi="Cambria Math" w:cs="Times New Roman"/>
                <w:color w:val="FF0000"/>
              </w:rPr>
              <m:t>dr</m:t>
            </m:r>
          </m:den>
        </m:f>
        <m:r>
          <w:rPr>
            <w:rFonts w:ascii="Cambria Math" w:eastAsiaTheme="minorEastAsia" w:hAnsi="Cambria Math" w:cs="Times New Roman"/>
            <w:color w:val="FF0000"/>
          </w:rPr>
          <m:t>= -D*B</m:t>
        </m:r>
      </m:oMath>
      <w:r>
        <w:rPr>
          <w:rFonts w:ascii="Times New Roman" w:eastAsiaTheme="minorEastAsia" w:hAnsi="Times New Roman" w:cs="Times New Roman"/>
          <w:color w:val="FF0000"/>
        </w:rPr>
        <w:tab/>
      </w:r>
      <w:r>
        <w:rPr>
          <w:rFonts w:ascii="Times New Roman" w:eastAsiaTheme="minorEastAsia" w:hAnsi="Times New Roman" w:cs="Times New Roman"/>
          <w:color w:val="FF0000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FF0000"/>
              </w:rPr>
              <m:t>∆B</m:t>
            </m:r>
          </m:num>
          <m:den>
            <m:r>
              <w:rPr>
                <w:rFonts w:ascii="Cambria Math" w:eastAsiaTheme="minorEastAsia" w:hAnsi="Cambria Math" w:cs="Times New Roman"/>
                <w:color w:val="FF0000"/>
              </w:rPr>
              <m:t>∆r</m:t>
            </m:r>
          </m:den>
        </m:f>
        <m:r>
          <w:rPr>
            <w:rFonts w:ascii="Cambria Math" w:eastAsiaTheme="minorEastAsia" w:hAnsi="Cambria Math" w:cs="Times New Roman"/>
            <w:color w:val="FF0000"/>
          </w:rPr>
          <m:t>≈-D*B</m:t>
        </m:r>
      </m:oMath>
    </w:p>
    <w:p w14:paraId="692D25E5" w14:textId="77777777" w:rsidR="003E02EE" w:rsidRDefault="003E02EE" w:rsidP="003E02EE">
      <w:pPr>
        <w:rPr>
          <w:rFonts w:ascii="Times New Roman" w:eastAsiaTheme="minorEastAsia" w:hAnsi="Times New Roman" w:cs="Times New Roman"/>
          <w:color w:val="FF0000"/>
        </w:rPr>
      </w:pPr>
      <w:r>
        <w:rPr>
          <w:rFonts w:ascii="Times New Roman" w:eastAsiaTheme="minorEastAsia" w:hAnsi="Times New Roman" w:cs="Times New Roman"/>
          <w:color w:val="FF0000"/>
        </w:rPr>
        <w:t xml:space="preserve">Folytonos eset: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</w:rPr>
              <m:t>dB</m:t>
            </m:r>
          </m:num>
          <m:den>
            <m:r>
              <w:rPr>
                <w:rFonts w:ascii="Cambria Math" w:hAnsi="Cambria Math" w:cs="Times New Roman"/>
                <w:color w:val="FF0000"/>
              </w:rPr>
              <m:t>dr</m:t>
            </m:r>
          </m:den>
        </m:f>
        <m:r>
          <w:rPr>
            <w:rFonts w:ascii="Cambria Math" w:eastAsiaTheme="minorEastAsia" w:hAnsi="Cambria Math" w:cs="Times New Roman"/>
            <w:color w:val="FF0000"/>
          </w:rPr>
          <m:t>= -D*B</m:t>
        </m:r>
      </m:oMath>
      <w:r>
        <w:rPr>
          <w:rFonts w:ascii="Times New Roman" w:eastAsiaTheme="minorEastAsia" w:hAnsi="Times New Roman" w:cs="Times New Roman"/>
          <w:color w:val="FF0000"/>
        </w:rPr>
        <w:tab/>
      </w:r>
      <w:r>
        <w:rPr>
          <w:rFonts w:ascii="Times New Roman" w:eastAsiaTheme="minorEastAsia" w:hAnsi="Times New Roman" w:cs="Times New Roman"/>
          <w:color w:val="FF0000"/>
        </w:rPr>
        <w:tab/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FF0000"/>
              </w:rPr>
              <m:t>∆B</m:t>
            </m:r>
          </m:num>
          <m:den>
            <m:r>
              <w:rPr>
                <w:rFonts w:ascii="Cambria Math" w:eastAsiaTheme="minorEastAsia" w:hAnsi="Cambria Math" w:cs="Times New Roman"/>
                <w:color w:val="FF0000"/>
              </w:rPr>
              <m:t>∆r</m:t>
            </m:r>
          </m:den>
        </m:f>
        <m:r>
          <w:rPr>
            <w:rFonts w:ascii="Cambria Math" w:eastAsiaTheme="minorEastAsia" w:hAnsi="Cambria Math" w:cs="Times New Roman"/>
            <w:color w:val="FF0000"/>
          </w:rPr>
          <m:t>≈-D*B</m:t>
        </m:r>
      </m:oMath>
    </w:p>
    <w:p w14:paraId="0413B4E9" w14:textId="77777777" w:rsidR="003E02EE" w:rsidRPr="005128DA" w:rsidRDefault="003E02EE" w:rsidP="003E02EE">
      <w:pPr>
        <w:rPr>
          <w:rFonts w:ascii="Times New Roman" w:eastAsiaTheme="minorEastAsia" w:hAnsi="Times New Roman" w:cs="Times New Roman"/>
          <w:color w:val="FF0000"/>
        </w:rPr>
      </w:pPr>
      <w:r>
        <w:rPr>
          <w:rFonts w:ascii="Times New Roman" w:eastAsiaTheme="minorEastAsia" w:hAnsi="Times New Roman" w:cs="Times New Roman"/>
          <w:color w:val="FF0000"/>
        </w:rPr>
        <w:t xml:space="preserve">Klasszikus eset: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</w:rPr>
              <m:t>dB</m:t>
            </m:r>
          </m:num>
          <m:den>
            <m:r>
              <w:rPr>
                <w:rFonts w:ascii="Cambria Math" w:hAnsi="Cambria Math" w:cs="Times New Roman"/>
                <w:color w:val="FF0000"/>
              </w:rPr>
              <m:t>dr</m:t>
            </m:r>
          </m:den>
        </m:f>
        <m:r>
          <w:rPr>
            <w:rFonts w:ascii="Cambria Math" w:eastAsiaTheme="minorEastAsia" w:hAnsi="Cambria Math" w:cs="Times New Roman"/>
            <w:color w:val="FF0000"/>
          </w:rPr>
          <m:t xml:space="preserve">=- 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FF0000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FF0000"/>
              </w:rPr>
              <m:t>1+r/k</m:t>
            </m:r>
          </m:den>
        </m:f>
      </m:oMath>
      <w:r>
        <w:rPr>
          <w:rFonts w:ascii="Times New Roman" w:eastAsiaTheme="minorEastAsia" w:hAnsi="Times New Roman" w:cs="Times New Roman"/>
          <w:color w:val="FF0000"/>
        </w:rPr>
        <w:t xml:space="preserve"> * DB = -D</w:t>
      </w:r>
      <w:r w:rsidRPr="00FA3E88">
        <w:rPr>
          <w:rFonts w:ascii="Times New Roman" w:eastAsiaTheme="minorEastAsia" w:hAnsi="Times New Roman" w:cs="Times New Roman"/>
          <w:color w:val="FF0000"/>
          <w:vertAlign w:val="superscript"/>
        </w:rPr>
        <w:t>*</w:t>
      </w:r>
      <w:r>
        <w:rPr>
          <w:rFonts w:ascii="Times New Roman" w:eastAsiaTheme="minorEastAsia" w:hAnsi="Times New Roman" w:cs="Times New Roman"/>
          <w:color w:val="FF0000"/>
        </w:rPr>
        <w:t xml:space="preserve"> * B</w:t>
      </w:r>
      <w:r>
        <w:rPr>
          <w:rFonts w:ascii="Times New Roman" w:eastAsiaTheme="minorEastAsia" w:hAnsi="Times New Roman" w:cs="Times New Roman"/>
          <w:color w:val="FF0000"/>
        </w:rPr>
        <w:br/>
        <w:t>ahol D</w:t>
      </w:r>
      <w:r w:rsidRPr="00FA3E88">
        <w:rPr>
          <w:rFonts w:ascii="Times New Roman" w:eastAsiaTheme="minorEastAsia" w:hAnsi="Times New Roman" w:cs="Times New Roman"/>
          <w:color w:val="FF0000"/>
          <w:vertAlign w:val="superscript"/>
        </w:rPr>
        <w:t>*</w:t>
      </w:r>
      <w:r>
        <w:rPr>
          <w:rFonts w:ascii="Times New Roman" w:eastAsiaTheme="minorEastAsia" w:hAnsi="Times New Roman" w:cs="Times New Roman"/>
          <w:color w:val="FF0000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FF0000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FF0000"/>
              </w:rPr>
              <m:t>1+r/k</m:t>
            </m:r>
          </m:den>
        </m:f>
      </m:oMath>
      <w:r>
        <w:rPr>
          <w:rFonts w:ascii="Times New Roman" w:eastAsiaTheme="minorEastAsia" w:hAnsi="Times New Roman" w:cs="Times New Roman"/>
          <w:color w:val="FF0000"/>
        </w:rPr>
        <w:t xml:space="preserve"> * D</w:t>
      </w:r>
    </w:p>
    <w:p w14:paraId="031005A5" w14:textId="77777777" w:rsidR="003E02EE" w:rsidRDefault="003E02EE" w:rsidP="003E02EE">
      <w:pPr>
        <w:rPr>
          <w:rFonts w:ascii="Times New Roman" w:eastAsiaTheme="minorEastAsia" w:hAnsi="Times New Roman" w:cs="Times New Roman"/>
          <w:color w:val="000000" w:themeColor="text1"/>
        </w:rPr>
      </w:pPr>
      <w:r w:rsidRPr="003A0393">
        <w:rPr>
          <w:rFonts w:ascii="Times New Roman" w:eastAsiaTheme="minorEastAsia" w:hAnsi="Times New Roman" w:cs="Times New Roman"/>
          <w:b/>
          <w:bCs/>
          <w:color w:val="000000" w:themeColor="text1"/>
        </w:rPr>
        <w:t>Reál hozam egyenlete:</w:t>
      </w:r>
      <w:r>
        <w:rPr>
          <w:rFonts w:ascii="Times New Roman" w:eastAsiaTheme="minorEastAsia" w:hAnsi="Times New Roman" w:cs="Times New Roman"/>
          <w:color w:val="000000" w:themeColor="text1"/>
        </w:rPr>
        <w:t xml:space="preserve"> 1 + r</w:t>
      </w:r>
      <w:r w:rsidRPr="009E2A83">
        <w:rPr>
          <w:rFonts w:ascii="Times New Roman" w:eastAsiaTheme="minorEastAsia" w:hAnsi="Times New Roman" w:cs="Times New Roman"/>
          <w:color w:val="000000" w:themeColor="text1"/>
          <w:vertAlign w:val="subscript"/>
        </w:rPr>
        <w:t>n</w:t>
      </w:r>
      <w:r>
        <w:rPr>
          <w:rFonts w:ascii="Times New Roman" w:eastAsiaTheme="minorEastAsia" w:hAnsi="Times New Roman" w:cs="Times New Roman"/>
          <w:color w:val="000000" w:themeColor="text1"/>
        </w:rPr>
        <w:t xml:space="preserve"> = (1+i) * (1 + r</w:t>
      </w:r>
      <w:r w:rsidRPr="009E2A83">
        <w:rPr>
          <w:rFonts w:ascii="Times New Roman" w:eastAsiaTheme="minorEastAsia" w:hAnsi="Times New Roman" w:cs="Times New Roman"/>
          <w:color w:val="000000" w:themeColor="text1"/>
          <w:vertAlign w:val="subscript"/>
        </w:rPr>
        <w:t>r</w:t>
      </w:r>
      <w:r>
        <w:rPr>
          <w:rFonts w:ascii="Times New Roman" w:eastAsiaTheme="minorEastAsia" w:hAnsi="Times New Roman" w:cs="Times New Roman"/>
          <w:color w:val="000000" w:themeColor="text1"/>
        </w:rPr>
        <w:t>) = i + r</w:t>
      </w:r>
      <w:r w:rsidRPr="00072091">
        <w:rPr>
          <w:rFonts w:ascii="Times New Roman" w:eastAsiaTheme="minorEastAsia" w:hAnsi="Times New Roman" w:cs="Times New Roman"/>
          <w:color w:val="000000" w:themeColor="text1"/>
          <w:vertAlign w:val="subscript"/>
        </w:rPr>
        <w:t>r</w:t>
      </w:r>
      <w:r>
        <w:rPr>
          <w:rFonts w:ascii="Times New Roman" w:eastAsiaTheme="minorEastAsia" w:hAnsi="Times New Roman" w:cs="Times New Roman"/>
          <w:color w:val="000000" w:themeColor="text1"/>
        </w:rPr>
        <w:t xml:space="preserve"> + i * r</w:t>
      </w:r>
      <w:r w:rsidRPr="00072091">
        <w:rPr>
          <w:rFonts w:ascii="Times New Roman" w:eastAsiaTheme="minorEastAsia" w:hAnsi="Times New Roman" w:cs="Times New Roman"/>
          <w:color w:val="000000" w:themeColor="text1"/>
          <w:vertAlign w:val="subscript"/>
        </w:rPr>
        <w:t>r</w:t>
      </w:r>
      <w:r>
        <w:rPr>
          <w:rFonts w:ascii="Times New Roman" w:eastAsiaTheme="minorEastAsia" w:hAnsi="Times New Roman" w:cs="Times New Roman"/>
          <w:color w:val="000000" w:themeColor="text1"/>
        </w:rPr>
        <w:br/>
        <w:t xml:space="preserve">ahol </w:t>
      </w:r>
      <w:r w:rsidRPr="003A0393">
        <w:rPr>
          <w:rFonts w:ascii="Times New Roman" w:eastAsiaTheme="minorEastAsia" w:hAnsi="Times New Roman" w:cs="Times New Roman"/>
          <w:b/>
          <w:bCs/>
          <w:color w:val="000000" w:themeColor="text1"/>
        </w:rPr>
        <w:t>i</w:t>
      </w:r>
      <w:r>
        <w:rPr>
          <w:rFonts w:ascii="Times New Roman" w:eastAsiaTheme="minorEastAsia" w:hAnsi="Times New Roman" w:cs="Times New Roman"/>
          <w:color w:val="000000" w:themeColor="text1"/>
        </w:rPr>
        <w:t xml:space="preserve"> = inflációs ráta</w:t>
      </w:r>
    </w:p>
    <w:p w14:paraId="18B54ADC" w14:textId="77777777" w:rsidR="003E02EE" w:rsidRDefault="003E02EE" w:rsidP="003E02EE">
      <w:pPr>
        <w:rPr>
          <w:rFonts w:ascii="Times New Roman" w:eastAsiaTheme="minorEastAsia" w:hAnsi="Times New Roman" w:cs="Times New Roman"/>
          <w:color w:val="000000" w:themeColor="text1"/>
        </w:rPr>
      </w:pPr>
      <w:r w:rsidRPr="003A0393">
        <w:rPr>
          <w:rFonts w:ascii="Times New Roman" w:eastAsiaTheme="minorEastAsia" w:hAnsi="Times New Roman" w:cs="Times New Roman"/>
          <w:b/>
          <w:bCs/>
          <w:color w:val="000000" w:themeColor="text1"/>
        </w:rPr>
        <w:t>r</w:t>
      </w:r>
      <w:r w:rsidRPr="003A0393">
        <w:rPr>
          <w:rFonts w:ascii="Times New Roman" w:eastAsiaTheme="minorEastAsia" w:hAnsi="Times New Roman" w:cs="Times New Roman"/>
          <w:b/>
          <w:bCs/>
          <w:color w:val="000000" w:themeColor="text1"/>
          <w:vertAlign w:val="subscript"/>
        </w:rPr>
        <w:t>r</w:t>
      </w:r>
      <w:r>
        <w:rPr>
          <w:rFonts w:ascii="Times New Roman" w:eastAsiaTheme="minorEastAsia" w:hAnsi="Times New Roman" w:cs="Times New Roman"/>
          <w:color w:val="000000" w:themeColor="text1"/>
        </w:rPr>
        <w:t xml:space="preserve"> = reál hozamráta</w:t>
      </w:r>
    </w:p>
    <w:p w14:paraId="7E058B13" w14:textId="77777777" w:rsidR="003E02EE" w:rsidRPr="009E2A83" w:rsidRDefault="003E02EE" w:rsidP="003E02EE">
      <w:pPr>
        <w:rPr>
          <w:rFonts w:ascii="Times New Roman" w:eastAsiaTheme="minorEastAsia" w:hAnsi="Times New Roman" w:cs="Times New Roman"/>
          <w:color w:val="000000" w:themeColor="text1"/>
        </w:rPr>
      </w:pPr>
      <w:r w:rsidRPr="003A0393">
        <w:rPr>
          <w:rFonts w:ascii="Times New Roman" w:eastAsiaTheme="minorEastAsia" w:hAnsi="Times New Roman" w:cs="Times New Roman"/>
          <w:b/>
          <w:bCs/>
          <w:color w:val="000000" w:themeColor="text1"/>
        </w:rPr>
        <w:t>r</w:t>
      </w:r>
      <w:r w:rsidRPr="003A0393">
        <w:rPr>
          <w:rFonts w:ascii="Times New Roman" w:eastAsiaTheme="minorEastAsia" w:hAnsi="Times New Roman" w:cs="Times New Roman"/>
          <w:b/>
          <w:bCs/>
          <w:color w:val="000000" w:themeColor="text1"/>
          <w:vertAlign w:val="subscript"/>
        </w:rPr>
        <w:t>n</w:t>
      </w:r>
      <w:r>
        <w:rPr>
          <w:rFonts w:ascii="Times New Roman" w:eastAsiaTheme="minorEastAsia" w:hAnsi="Times New Roman" w:cs="Times New Roman"/>
          <w:color w:val="000000" w:themeColor="text1"/>
        </w:rPr>
        <w:t xml:space="preserve"> = nominális hozam</w:t>
      </w:r>
    </w:p>
    <w:p w14:paraId="12D473B9" w14:textId="38A42824" w:rsidR="003E02EE" w:rsidRPr="00F8082F" w:rsidRDefault="003E02EE" w:rsidP="003E02EE">
      <w:pPr>
        <w:rPr>
          <w:rFonts w:ascii="Times New Roman" w:hAnsi="Times New Roman" w:cs="Times New Roman"/>
        </w:rPr>
      </w:pPr>
    </w:p>
    <w:sectPr w:rsidR="003E02EE" w:rsidRPr="00F8082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35F44" w14:textId="77777777" w:rsidR="00BD1BC6" w:rsidRDefault="00BD1BC6" w:rsidP="00A96BEA">
      <w:pPr>
        <w:spacing w:after="0" w:line="240" w:lineRule="auto"/>
      </w:pPr>
      <w:r>
        <w:separator/>
      </w:r>
    </w:p>
  </w:endnote>
  <w:endnote w:type="continuationSeparator" w:id="0">
    <w:p w14:paraId="2E070EF2" w14:textId="77777777" w:rsidR="00BD1BC6" w:rsidRDefault="00BD1BC6" w:rsidP="00A96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2677A" w14:textId="77777777" w:rsidR="00BD1BC6" w:rsidRDefault="00BD1BC6" w:rsidP="00A96BEA">
      <w:pPr>
        <w:spacing w:after="0" w:line="240" w:lineRule="auto"/>
      </w:pPr>
      <w:r>
        <w:separator/>
      </w:r>
    </w:p>
  </w:footnote>
  <w:footnote w:type="continuationSeparator" w:id="0">
    <w:p w14:paraId="12FCB219" w14:textId="77777777" w:rsidR="00BD1BC6" w:rsidRDefault="00BD1BC6" w:rsidP="00A96B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0E097" w14:textId="552E7FA6" w:rsidR="00A96BEA" w:rsidRPr="00A96BEA" w:rsidRDefault="00A96BEA" w:rsidP="00A96BEA">
    <w:pPr>
      <w:pStyle w:val="lfej"/>
      <w:pBdr>
        <w:bottom w:val="single" w:sz="4" w:space="1" w:color="auto"/>
      </w:pBdr>
      <w:jc w:val="center"/>
      <w:rPr>
        <w:rFonts w:ascii="Times New Roman" w:hAnsi="Times New Roman" w:cs="Times New Roman"/>
        <w:b/>
        <w:bCs/>
        <w:sz w:val="40"/>
        <w:szCs w:val="40"/>
      </w:rPr>
    </w:pPr>
    <w:r w:rsidRPr="00A96BEA">
      <w:rPr>
        <w:rFonts w:ascii="Times New Roman" w:hAnsi="Times New Roman" w:cs="Times New Roman"/>
        <w:b/>
        <w:bCs/>
        <w:sz w:val="40"/>
        <w:szCs w:val="40"/>
      </w:rPr>
      <w:t>13. Pénzügyi alapok I. Tétel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669D2"/>
    <w:multiLevelType w:val="multilevel"/>
    <w:tmpl w:val="E56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21B5D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2BC36E2"/>
    <w:multiLevelType w:val="multilevel"/>
    <w:tmpl w:val="91C8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F328F"/>
    <w:multiLevelType w:val="hybridMultilevel"/>
    <w:tmpl w:val="09B489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7B1510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DC8416B"/>
    <w:multiLevelType w:val="hybridMultilevel"/>
    <w:tmpl w:val="D826C6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5C0D28"/>
    <w:multiLevelType w:val="hybridMultilevel"/>
    <w:tmpl w:val="CC4C22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EF24D6"/>
    <w:multiLevelType w:val="multilevel"/>
    <w:tmpl w:val="D9D2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84725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6803152D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74AE066E"/>
    <w:multiLevelType w:val="multilevel"/>
    <w:tmpl w:val="9C4C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FA3DDD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DC703B3"/>
    <w:multiLevelType w:val="multilevel"/>
    <w:tmpl w:val="4776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869D9"/>
    <w:multiLevelType w:val="hybridMultilevel"/>
    <w:tmpl w:val="EC6A206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0526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742813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654398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9536344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436002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51487136">
    <w:abstractNumId w:val="3"/>
  </w:num>
  <w:num w:numId="7" w16cid:durableId="1362323476">
    <w:abstractNumId w:val="12"/>
  </w:num>
  <w:num w:numId="8" w16cid:durableId="244263073">
    <w:abstractNumId w:val="9"/>
  </w:num>
  <w:num w:numId="9" w16cid:durableId="1324313749">
    <w:abstractNumId w:val="5"/>
  </w:num>
  <w:num w:numId="10" w16cid:durableId="1352562862">
    <w:abstractNumId w:val="13"/>
  </w:num>
  <w:num w:numId="11" w16cid:durableId="718557491">
    <w:abstractNumId w:val="6"/>
  </w:num>
  <w:num w:numId="12" w16cid:durableId="1194030275">
    <w:abstractNumId w:val="0"/>
  </w:num>
  <w:num w:numId="13" w16cid:durableId="1937595391">
    <w:abstractNumId w:val="2"/>
  </w:num>
  <w:num w:numId="14" w16cid:durableId="20989444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82F"/>
    <w:rsid w:val="002008A7"/>
    <w:rsid w:val="003E02EE"/>
    <w:rsid w:val="00870D56"/>
    <w:rsid w:val="00A6780F"/>
    <w:rsid w:val="00A96BEA"/>
    <w:rsid w:val="00BD1BC6"/>
    <w:rsid w:val="00C516A3"/>
    <w:rsid w:val="00C5581B"/>
    <w:rsid w:val="00CC3225"/>
    <w:rsid w:val="00CD4B29"/>
    <w:rsid w:val="00DA43DA"/>
    <w:rsid w:val="00F8082F"/>
    <w:rsid w:val="00F8640E"/>
    <w:rsid w:val="00F9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0E694"/>
  <w15:chartTrackingRefBased/>
  <w15:docId w15:val="{F3580167-F9A4-4A5E-9556-9F1A99EC8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80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80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80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80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80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80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80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80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80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80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80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80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8082F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8082F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8082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8082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8082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8082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80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80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80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80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80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8082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8082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8082F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80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8082F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8082F"/>
    <w:rPr>
      <w:b/>
      <w:bCs/>
      <w:smallCaps/>
      <w:color w:val="2F5496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96B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96BEA"/>
  </w:style>
  <w:style w:type="paragraph" w:styleId="llb">
    <w:name w:val="footer"/>
    <w:basedOn w:val="Norml"/>
    <w:link w:val="llbChar"/>
    <w:uiPriority w:val="99"/>
    <w:unhideWhenUsed/>
    <w:rsid w:val="00A96B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96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1549</Words>
  <Characters>10694</Characters>
  <Application>Microsoft Office Word</Application>
  <DocSecurity>0</DocSecurity>
  <Lines>89</Lines>
  <Paragraphs>24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Barnai Balázs</dc:creator>
  <cp:keywords/>
  <dc:description/>
  <cp:lastModifiedBy>Barnai Balázs</cp:lastModifiedBy>
  <cp:revision>7</cp:revision>
  <dcterms:created xsi:type="dcterms:W3CDTF">2026-03-21T13:22:00Z</dcterms:created>
  <dcterms:modified xsi:type="dcterms:W3CDTF">2026-03-22T10:01:00Z</dcterms:modified>
</cp:coreProperties>
</file>