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4694" w14:textId="77777777" w:rsidR="00826EA0" w:rsidRPr="00826EA0" w:rsidRDefault="00826EA0">
      <w:pPr>
        <w:rPr>
          <w:b/>
          <w:bCs/>
          <w:color w:val="EE0000"/>
          <w:sz w:val="40"/>
          <w:szCs w:val="40"/>
        </w:rPr>
      </w:pPr>
      <w:r w:rsidRPr="00826EA0">
        <w:rPr>
          <w:b/>
          <w:bCs/>
          <w:color w:val="EE0000"/>
          <w:sz w:val="40"/>
          <w:szCs w:val="40"/>
        </w:rPr>
        <w:t xml:space="preserve">A Nemzetközi Pénzügyi Beszámolási Standardok (IFRS-ek) rendszere. </w:t>
      </w:r>
    </w:p>
    <w:p w14:paraId="3A3F1F3A" w14:textId="77777777" w:rsidR="00D565F0" w:rsidRDefault="00B64CAF" w:rsidP="00CB0FE1">
      <w:r w:rsidRPr="00D565F0">
        <w:rPr>
          <w:b/>
          <w:bCs/>
        </w:rPr>
        <w:t xml:space="preserve">A Nemzetközi Pénzügyi Beszámolási Standardok </w:t>
      </w:r>
      <w:r w:rsidRPr="00D565F0">
        <w:rPr>
          <w:b/>
          <w:bCs/>
          <w:color w:val="EE0000"/>
        </w:rPr>
        <w:t>(IFRS-ek)</w:t>
      </w:r>
      <w:r w:rsidRPr="00D565F0">
        <w:rPr>
          <w:color w:val="EE0000"/>
        </w:rPr>
        <w:t xml:space="preserve"> </w:t>
      </w:r>
      <w:r w:rsidRPr="00B64CAF">
        <w:t xml:space="preserve">egy olyan globális szabályrendszer, amelyet a vállalatok pénzügyi kimutatásainak elkészítésére használnak. </w:t>
      </w:r>
    </w:p>
    <w:p w14:paraId="319DA5AC" w14:textId="534FDF87" w:rsidR="00B64CAF" w:rsidRDefault="00B64CAF" w:rsidP="00CB0FE1">
      <w:r w:rsidRPr="00D565F0">
        <w:rPr>
          <w:color w:val="EE0000"/>
        </w:rPr>
        <w:t>Célja</w:t>
      </w:r>
      <w:r w:rsidRPr="00B64CAF">
        <w:t xml:space="preserve"> az, hogy a pénzügyi beszámolók világszerte összehasonlíthatóak, átláthatóak és megbízhatóak legyenek. A Nemzetközi Számviteli Standard Testület (IASB) felelős az IFRS-ek kidolgozásáért és karbantartásáért. </w:t>
      </w:r>
    </w:p>
    <w:p w14:paraId="73D839FE" w14:textId="77777777" w:rsidR="0050115E" w:rsidRDefault="00CB0FE1" w:rsidP="00CB0FE1">
      <w:r w:rsidRPr="00CB0FE1">
        <w:rPr>
          <w:b/>
          <w:bCs/>
        </w:rPr>
        <w:t>Célja:</w:t>
      </w:r>
      <w:r w:rsidRPr="00CB0FE1">
        <w:t xml:space="preserve"> Olyan transzparens, összehasonlítható és megbízható pénzügyi információk szolgáltatása, amelyek segítik a befektetőket, a hitelezőket és más piaci szereplőket a gazdasági döntéshozatalban. </w:t>
      </w:r>
    </w:p>
    <w:p w14:paraId="24A16FB1" w14:textId="79B36FE2" w:rsidR="00CB0FE1" w:rsidRPr="00B64CAF" w:rsidRDefault="00CB0FE1" w:rsidP="00CB0FE1">
      <w:pPr>
        <w:rPr>
          <w:color w:val="7030A0"/>
        </w:rPr>
      </w:pPr>
      <w:r w:rsidRPr="00CB0FE1">
        <w:rPr>
          <w:color w:val="7030A0"/>
        </w:rPr>
        <w:t xml:space="preserve">(Míg a magyar Sztv. hagyományosan inkább a hitelezővédelemre és az adózásra fókuszál, az IFRS egyértelműen </w:t>
      </w:r>
      <w:r w:rsidRPr="00CB0FE1">
        <w:rPr>
          <w:b/>
          <w:bCs/>
          <w:color w:val="7030A0"/>
        </w:rPr>
        <w:t>befektetőközpontú</w:t>
      </w:r>
      <w:r w:rsidRPr="00CB0FE1">
        <w:rPr>
          <w:color w:val="7030A0"/>
        </w:rPr>
        <w:t>).</w:t>
      </w:r>
    </w:p>
    <w:p w14:paraId="464A50F2" w14:textId="77777777" w:rsidR="00E5512F" w:rsidRDefault="00B64CAF" w:rsidP="00CB0FE1">
      <w:pPr>
        <w:rPr>
          <w:color w:val="7030A0"/>
        </w:rPr>
      </w:pPr>
      <w:r w:rsidRPr="00B64CAF">
        <w:rPr>
          <w:color w:val="7030A0"/>
        </w:rPr>
        <w:t xml:space="preserve">Az IFRS-átállás az utóbbi évek legjelentősebb számviteli változása. Bizonyos hazai vállalkozások számára lehetővé, sőt, 2017-től kötelezővé vált, hogy éves beszámolójukat az IFRS szerint készítsék el, mentesülve ezzel a Magyar Számviteli Szabályok (MSZSZ) alkalmazásától. </w:t>
      </w:r>
    </w:p>
    <w:p w14:paraId="25F1D4E8" w14:textId="389BA65F" w:rsidR="00B64CAF" w:rsidRDefault="00B64CAF" w:rsidP="00CB0FE1">
      <w:r w:rsidRPr="00D565F0">
        <w:rPr>
          <w:b/>
          <w:bCs/>
        </w:rPr>
        <w:t>Az IFRS-ek elsődleges feladata</w:t>
      </w:r>
      <w:r w:rsidRPr="00B64CAF">
        <w:t xml:space="preserve"> a befektetők és más felhasználók számára történő megbízható és releváns információszolgáltatás, amely segíti őket a gazdasági döntések meghozatalában. Ez magában foglalja a vállalatok pénzügyi helyzetének, teljesítményének és cash flow-</w:t>
      </w:r>
      <w:proofErr w:type="spellStart"/>
      <w:r w:rsidRPr="00B64CAF">
        <w:t>jának</w:t>
      </w:r>
      <w:proofErr w:type="spellEnd"/>
      <w:r w:rsidRPr="00B64CAF">
        <w:t xml:space="preserve"> ábrázolását.</w:t>
      </w:r>
    </w:p>
    <w:p w14:paraId="1BD59B33" w14:textId="77777777" w:rsidR="00E5512F" w:rsidRPr="00D565F0" w:rsidRDefault="00E5512F" w:rsidP="00CB0FE1">
      <w:pPr>
        <w:rPr>
          <w:b/>
          <w:bCs/>
        </w:rPr>
      </w:pPr>
      <w:r w:rsidRPr="00D565F0">
        <w:rPr>
          <w:b/>
          <w:bCs/>
        </w:rPr>
        <w:t xml:space="preserve">Az IFRS-ek alkalmazása számos előnnyel jár, többek között: </w:t>
      </w:r>
    </w:p>
    <w:p w14:paraId="2C4744C6" w14:textId="77777777" w:rsidR="00E5512F" w:rsidRDefault="00E5512F" w:rsidP="00CB0FE1">
      <w:r w:rsidRPr="00E5512F">
        <w:t xml:space="preserve">• Növeli a pénzügyi kimutatások átláthatóságát és összehasonlíthatóságát a nemzetközi szinten működő befektetők és más érdekelt felek számára. </w:t>
      </w:r>
    </w:p>
    <w:p w14:paraId="65A89611" w14:textId="77777777" w:rsidR="00E5512F" w:rsidRDefault="00E5512F" w:rsidP="00CB0FE1">
      <w:r w:rsidRPr="00E5512F">
        <w:t xml:space="preserve">• Segíti a külföldi tőkepiacokhoz való hozzáférést, mivel sok tőzsde IFRS szerinti beszámolót kér. </w:t>
      </w:r>
    </w:p>
    <w:p w14:paraId="6BC57509" w14:textId="77777777" w:rsidR="00E5512F" w:rsidRDefault="00E5512F" w:rsidP="00CB0FE1">
      <w:r w:rsidRPr="00E5512F">
        <w:t xml:space="preserve">• Rugalmasabb, mint a nemzeti számviteli standardok, mivel inkább a szabályok mögötti alapelvekre összpontosít. </w:t>
      </w:r>
    </w:p>
    <w:p w14:paraId="3EB63F92" w14:textId="77777777" w:rsidR="00E5512F" w:rsidRPr="00D565F0" w:rsidRDefault="00E5512F" w:rsidP="00CB0FE1">
      <w:pPr>
        <w:rPr>
          <w:b/>
          <w:bCs/>
        </w:rPr>
      </w:pPr>
      <w:r w:rsidRPr="00D565F0">
        <w:rPr>
          <w:b/>
          <w:bCs/>
        </w:rPr>
        <w:t xml:space="preserve">Ugyanakkor vannak kihívások is: </w:t>
      </w:r>
    </w:p>
    <w:p w14:paraId="6705C94C" w14:textId="77777777" w:rsidR="00E5512F" w:rsidRDefault="00E5512F" w:rsidP="00CB0FE1">
      <w:r w:rsidRPr="00E5512F">
        <w:t xml:space="preserve">• Az átállás költséges és időigényes lehet, különösen azoknak a vállalatoknak, amelyek korábban eltérő számviteli standardokat használtak. </w:t>
      </w:r>
    </w:p>
    <w:p w14:paraId="31AF84FA" w14:textId="77777777" w:rsidR="00E5512F" w:rsidRDefault="00E5512F" w:rsidP="00CB0FE1">
      <w:r w:rsidRPr="00E5512F">
        <w:t xml:space="preserve">• A szabályok értelmezése eltérő lehet, ami bizonytalanságot teremthet. </w:t>
      </w:r>
    </w:p>
    <w:p w14:paraId="06426812" w14:textId="77777777" w:rsidR="00E5512F" w:rsidRDefault="00E5512F" w:rsidP="00CB0FE1"/>
    <w:p w14:paraId="444A4361" w14:textId="77777777" w:rsidR="00E5512F" w:rsidRDefault="00E5512F" w:rsidP="00CB0FE1">
      <w:r w:rsidRPr="00E5512F">
        <w:lastRenderedPageBreak/>
        <w:t xml:space="preserve">Az IFRS-ek folyamatosan fejlődnek, hogy lépést tartsanak a változó gazdasági és üzleti környezettel. Ez azt jelenti, hogy a vállalatoknak és a számviteli szakembereknek folyamatosan naprakészeknek kell lenniük az új és módosított standardokkal kapcsolatban. </w:t>
      </w:r>
    </w:p>
    <w:p w14:paraId="1603F3D5" w14:textId="46CF1894" w:rsidR="00826EA0" w:rsidRDefault="00E5512F">
      <w:r w:rsidRPr="00E5512F">
        <w:t>Az IFRS célja a világszerte egységes számviteli standardok alkalmazása, ami megkönnyíti az üzleti információk összehasonlítását és növeli a pénzügyi transzparenciát a globális piacon.</w:t>
      </w:r>
    </w:p>
    <w:p w14:paraId="3A01D143" w14:textId="77777777" w:rsidR="007C4EF8" w:rsidRDefault="007C4EF8"/>
    <w:p w14:paraId="1CFE35B6" w14:textId="77777777" w:rsidR="00826EA0" w:rsidRPr="00826EA0" w:rsidRDefault="00826EA0">
      <w:pPr>
        <w:rPr>
          <w:b/>
          <w:bCs/>
          <w:color w:val="EE0000"/>
          <w:sz w:val="40"/>
          <w:szCs w:val="40"/>
        </w:rPr>
      </w:pPr>
      <w:r w:rsidRPr="00826EA0">
        <w:rPr>
          <w:b/>
          <w:bCs/>
          <w:color w:val="EE0000"/>
          <w:sz w:val="40"/>
          <w:szCs w:val="40"/>
        </w:rPr>
        <w:t xml:space="preserve">A pénzügyi kimutatások fő részei. </w:t>
      </w:r>
    </w:p>
    <w:p w14:paraId="37BD38D4" w14:textId="77777777" w:rsidR="0003201A" w:rsidRDefault="006B3997" w:rsidP="00CB0FE1">
      <w:r w:rsidRPr="006B3997">
        <w:t xml:space="preserve">A pénzügyi kimutatások a vállalatok gazdasági tevékenységének, pénzügyi helyzetének és teljesítményének átfogó képét nyújtják. Ezek a dokumentumok létfontosságúak a vállalatok vezetői, befektetői, hitelezői és más érdekelt felek számára a tájékozott döntéshozatal érdekében. </w:t>
      </w:r>
    </w:p>
    <w:p w14:paraId="2058CD7A" w14:textId="4DC5C902" w:rsidR="006B3997" w:rsidRPr="0003201A" w:rsidRDefault="006B3997" w:rsidP="00CB0FE1">
      <w:pPr>
        <w:rPr>
          <w:b/>
          <w:bCs/>
        </w:rPr>
      </w:pPr>
      <w:r w:rsidRPr="0003201A">
        <w:rPr>
          <w:b/>
          <w:bCs/>
        </w:rPr>
        <w:t>A pénzügyi kimutatások fő részei a következők:</w:t>
      </w:r>
    </w:p>
    <w:p w14:paraId="6D7CC7B3" w14:textId="77777777" w:rsidR="006B3997" w:rsidRDefault="006B3997" w:rsidP="00CB0FE1">
      <w:r w:rsidRPr="0003201A">
        <w:rPr>
          <w:b/>
          <w:bCs/>
        </w:rPr>
        <w:t>1. Mérleg:</w:t>
      </w:r>
      <w:r w:rsidRPr="006B3997">
        <w:t xml:space="preserve"> A mérleg beszámol a vállalkozás pénzügyi helyzetéről egy adott időpontban. Ez az egyik oldalon a vállalkozás tulajdonában lévő eszközöket, a másik oldalon pedig a vállalkozás által az ilyen eszközök tárolására felhasznált pénzeszközök forrásait mutatja a tőkejuttatás és a vállalkozásnál felmerülő kötelezettségek formájában. Megmutatja, hogyan bocsátották a pénzt a vállalat üzleti tevékenységének rendelkezésére, és hogy a vállalat hogyan használja fel a pénzt. </w:t>
      </w:r>
    </w:p>
    <w:p w14:paraId="6CEB7B68" w14:textId="77777777" w:rsidR="006B3997" w:rsidRDefault="006B3997" w:rsidP="00CB0FE1">
      <w:r w:rsidRPr="0003201A">
        <w:rPr>
          <w:b/>
          <w:bCs/>
        </w:rPr>
        <w:t>2. Eredménykimutatás:</w:t>
      </w:r>
      <w:r w:rsidRPr="006B3997">
        <w:t xml:space="preserve"> Az eredménykimutatás beszámol a vállalkozás pénzügyi teljesítményéről egy időszakra vonatkozóan, tartalmazza a bevételeket, és magában foglal minden olyan nyereséget és veszteséget is, amely nem a szokásos üzleti tevékenységnek tulajdonítható. </w:t>
      </w:r>
    </w:p>
    <w:p w14:paraId="55DE2F4C" w14:textId="77777777" w:rsidR="006B3997" w:rsidRDefault="006B3997" w:rsidP="00CB0FE1">
      <w:r w:rsidRPr="0003201A">
        <w:rPr>
          <w:b/>
          <w:bCs/>
        </w:rPr>
        <w:t>3. Cash Flow kimutatás:</w:t>
      </w:r>
      <w:r w:rsidRPr="006B3997">
        <w:t xml:space="preserve"> Ez a kimutatás megmutatja a vállalkozás pénzügyi helyzetének változását a készpénz vállalkozásba történő belépése és az onnan való mozgása szempontjából. Három fő részből áll: működési cash flow (a vállalat napi működéséből származó készpénz mozgások), beruházási cash flow (tárgyi és befektetett eszközeihez – ingatlanok, gépek és berendezések, járművek, kapcsolt vállalkozások – kapcsolódó tranzakciók egyenlegét mutatja) és finanszírozási cash flow (a forrás oldalt veszi témájául, hitelek felvétele, visszafizetése, tőkeemelés, részvény-visszavásárlások mind kerülhetnek ebbe a kategóriába.). </w:t>
      </w:r>
    </w:p>
    <w:p w14:paraId="1156BAFF" w14:textId="77777777" w:rsidR="006B3997" w:rsidRDefault="006B3997" w:rsidP="00CB0FE1">
      <w:r w:rsidRPr="0003201A">
        <w:rPr>
          <w:b/>
          <w:bCs/>
        </w:rPr>
        <w:t>4. Saját tőke-változások kimutatása:</w:t>
      </w:r>
      <w:r w:rsidRPr="006B3997">
        <w:t xml:space="preserve"> Ez a kimutatás a vállalat saját tőkéjének változásait mutatja be az időszak során. Tükrözi a saját tőke mozgását, valamint információkat tartalmaz a felhalmozott eredmény (veszteség) összegéről és a társaság részesedéséről. </w:t>
      </w:r>
    </w:p>
    <w:p w14:paraId="374642AC" w14:textId="101C84C4" w:rsidR="00826EA0" w:rsidRDefault="006B3997">
      <w:r w:rsidRPr="0003201A">
        <w:rPr>
          <w:b/>
          <w:bCs/>
        </w:rPr>
        <w:t xml:space="preserve">5. Kiegészítő megjegyzések: </w:t>
      </w:r>
      <w:r w:rsidRPr="006B3997">
        <w:t>Ezek a megjegyzések tartalmazzák a pénzügyi kimutatások értelmezéséhez szükséges további információkat, beleértve a számviteli politikákat, a potenciális kötelezettségeket, az eszközök értékvesztését és egyéb fontos magyarázatokat.</w:t>
      </w:r>
    </w:p>
    <w:p w14:paraId="64F068B5" w14:textId="22EE9E93" w:rsidR="00826EA0" w:rsidRPr="00826EA0" w:rsidRDefault="00826EA0">
      <w:pPr>
        <w:rPr>
          <w:b/>
          <w:bCs/>
          <w:color w:val="EE0000"/>
          <w:sz w:val="40"/>
          <w:szCs w:val="40"/>
        </w:rPr>
      </w:pPr>
      <w:r w:rsidRPr="00826EA0">
        <w:rPr>
          <w:b/>
          <w:bCs/>
          <w:color w:val="EE0000"/>
          <w:sz w:val="40"/>
          <w:szCs w:val="40"/>
        </w:rPr>
        <w:lastRenderedPageBreak/>
        <w:t>A magyar szabályozás és az IFRS-ek fontosabb eltérései.</w:t>
      </w:r>
    </w:p>
    <w:p w14:paraId="6EAEC384" w14:textId="77777777" w:rsidR="006B3997" w:rsidRDefault="006B3997" w:rsidP="00CB0FE1">
      <w:pPr>
        <w:rPr>
          <w:b/>
          <w:bCs/>
        </w:rPr>
      </w:pPr>
      <w:r w:rsidRPr="006B3997">
        <w:rPr>
          <w:b/>
          <w:bCs/>
        </w:rPr>
        <w:t xml:space="preserve">Alapelvek: </w:t>
      </w:r>
    </w:p>
    <w:p w14:paraId="3CB46078" w14:textId="77777777" w:rsidR="006B3997" w:rsidRPr="006B3997" w:rsidRDefault="006B3997" w:rsidP="00CB0FE1">
      <w:r w:rsidRPr="006B3997">
        <w:rPr>
          <w:b/>
          <w:bCs/>
        </w:rPr>
        <w:t xml:space="preserve">• </w:t>
      </w:r>
      <w:r w:rsidRPr="006B3997">
        <w:t xml:space="preserve">A magyar számviteli szabályozás (MSZSZ) hagyományosan konzervatívabb megközelítést alkalmaz, hangsúlyozva a stabilitást és a biztonságos értékelést. </w:t>
      </w:r>
    </w:p>
    <w:p w14:paraId="7E290C96" w14:textId="77777777" w:rsidR="006B3997" w:rsidRPr="006B3997" w:rsidRDefault="006B3997" w:rsidP="00CB0FE1">
      <w:r w:rsidRPr="006B3997">
        <w:t xml:space="preserve">• Az IFRS inkább a piaci értéken alapuló számviteli megközelítést részesíti előnyben, amely nagyobb hangsúlyt fektet a relevanciára és a döntéshozók információs igényeinek kielégítésére. </w:t>
      </w:r>
    </w:p>
    <w:p w14:paraId="0B48BBE6" w14:textId="77777777" w:rsidR="006B3997" w:rsidRDefault="006B3997" w:rsidP="00CB0FE1">
      <w:pPr>
        <w:rPr>
          <w:b/>
          <w:bCs/>
        </w:rPr>
      </w:pPr>
      <w:r w:rsidRPr="006B3997">
        <w:rPr>
          <w:b/>
          <w:bCs/>
        </w:rPr>
        <w:t xml:space="preserve">Célok: </w:t>
      </w:r>
    </w:p>
    <w:p w14:paraId="0D3E27C8" w14:textId="77777777" w:rsidR="006B3997" w:rsidRPr="006B3997" w:rsidRDefault="006B3997" w:rsidP="00CB0FE1">
      <w:r w:rsidRPr="006B3997">
        <w:rPr>
          <w:b/>
          <w:bCs/>
        </w:rPr>
        <w:t xml:space="preserve">• </w:t>
      </w:r>
      <w:r w:rsidRPr="006B3997">
        <w:t xml:space="preserve">Az MSZSZ célja a törvényi előírásoknak való megfelelés, amely magában foglalja az adózási kötelezettségek teljesítését is. </w:t>
      </w:r>
    </w:p>
    <w:p w14:paraId="4F6BEF97" w14:textId="005D1012" w:rsidR="006B3997" w:rsidRDefault="006B3997" w:rsidP="00CB0FE1">
      <w:r w:rsidRPr="006B3997">
        <w:t>• Az IFRS elsősorban a befektetők és más érdekelt felek tájékoztatására összpontosít, globálisan összehasonlítható és átlátható pénzügyi információk biztosítására.</w:t>
      </w:r>
    </w:p>
    <w:p w14:paraId="3247612B" w14:textId="77777777" w:rsidR="006B3997" w:rsidRDefault="006B3997" w:rsidP="00CB0FE1"/>
    <w:p w14:paraId="5601259C" w14:textId="2C847B81" w:rsidR="006B3997" w:rsidRDefault="000F2E9A" w:rsidP="00CB0FE1">
      <w:r w:rsidRPr="008E7E27">
        <w:drawing>
          <wp:anchor distT="0" distB="0" distL="114300" distR="114300" simplePos="0" relativeHeight="251658240" behindDoc="0" locked="0" layoutInCell="1" allowOverlap="1" wp14:anchorId="15D075B0" wp14:editId="4138B9D3">
            <wp:simplePos x="0" y="0"/>
            <wp:positionH relativeFrom="margin">
              <wp:posOffset>-104140</wp:posOffset>
            </wp:positionH>
            <wp:positionV relativeFrom="paragraph">
              <wp:posOffset>528320</wp:posOffset>
            </wp:positionV>
            <wp:extent cx="5760720" cy="1553845"/>
            <wp:effectExtent l="0" t="0" r="0" b="8255"/>
            <wp:wrapSquare wrapText="bothSides"/>
            <wp:docPr id="7145342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3424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7E27" w:rsidRPr="008E7E27">
        <w:t>Pénzügyi kimutatások formai és tartalmi eltérései:</w:t>
      </w:r>
    </w:p>
    <w:p w14:paraId="766374A2" w14:textId="749C84C6" w:rsidR="008E7E27" w:rsidRDefault="008E7E27" w:rsidP="00CB0FE1"/>
    <w:p w14:paraId="11F6BFBC" w14:textId="339E8DC7" w:rsidR="006B3997" w:rsidRDefault="007C4EF8" w:rsidP="00CB0FE1">
      <w:r w:rsidRPr="008E7E27">
        <w:lastRenderedPageBreak/>
        <w:drawing>
          <wp:anchor distT="0" distB="0" distL="114300" distR="114300" simplePos="0" relativeHeight="251659264" behindDoc="0" locked="0" layoutInCell="1" allowOverlap="1" wp14:anchorId="3F1920D2" wp14:editId="36190BB3">
            <wp:simplePos x="0" y="0"/>
            <wp:positionH relativeFrom="margin">
              <wp:align>center</wp:align>
            </wp:positionH>
            <wp:positionV relativeFrom="paragraph">
              <wp:posOffset>33</wp:posOffset>
            </wp:positionV>
            <wp:extent cx="5760720" cy="3842385"/>
            <wp:effectExtent l="0" t="0" r="0" b="5715"/>
            <wp:wrapSquare wrapText="bothSides"/>
            <wp:docPr id="21430666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6668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2E9A" w:rsidRPr="008E7E27">
        <w:drawing>
          <wp:anchor distT="0" distB="0" distL="114300" distR="114300" simplePos="0" relativeHeight="251660288" behindDoc="0" locked="0" layoutInCell="1" allowOverlap="1" wp14:anchorId="5CE253DE" wp14:editId="3D32F0E3">
            <wp:simplePos x="0" y="0"/>
            <wp:positionH relativeFrom="margin">
              <wp:posOffset>19763</wp:posOffset>
            </wp:positionH>
            <wp:positionV relativeFrom="paragraph">
              <wp:posOffset>4851193</wp:posOffset>
            </wp:positionV>
            <wp:extent cx="5760720" cy="4037965"/>
            <wp:effectExtent l="0" t="0" r="0" b="635"/>
            <wp:wrapSquare wrapText="bothSides"/>
            <wp:docPr id="20582528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285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37F9F" w14:textId="14023D91" w:rsidR="006B3997" w:rsidRPr="006B3997" w:rsidRDefault="008E7E27" w:rsidP="00CB0FE1">
      <w:r w:rsidRPr="008E7E27">
        <w:lastRenderedPageBreak/>
        <w:drawing>
          <wp:inline distT="0" distB="0" distL="0" distR="0" wp14:anchorId="22395AE9" wp14:editId="3EDBB8A0">
            <wp:extent cx="5760720" cy="8067040"/>
            <wp:effectExtent l="0" t="0" r="0" b="0"/>
            <wp:docPr id="10277247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4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6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997" w:rsidRPr="006B39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C2091"/>
    <w:multiLevelType w:val="multilevel"/>
    <w:tmpl w:val="2B72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CC5F1E"/>
    <w:multiLevelType w:val="multilevel"/>
    <w:tmpl w:val="B7A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067380">
    <w:abstractNumId w:val="1"/>
  </w:num>
  <w:num w:numId="2" w16cid:durableId="143794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A0"/>
    <w:rsid w:val="0003201A"/>
    <w:rsid w:val="000F2E9A"/>
    <w:rsid w:val="002550B7"/>
    <w:rsid w:val="0050115E"/>
    <w:rsid w:val="00696622"/>
    <w:rsid w:val="006B3997"/>
    <w:rsid w:val="007C4EF8"/>
    <w:rsid w:val="00826EA0"/>
    <w:rsid w:val="008E7E27"/>
    <w:rsid w:val="009279A2"/>
    <w:rsid w:val="00B64CAF"/>
    <w:rsid w:val="00CB0FE1"/>
    <w:rsid w:val="00D565F0"/>
    <w:rsid w:val="00E47B08"/>
    <w:rsid w:val="00E5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5A4DC"/>
  <w15:chartTrackingRefBased/>
  <w15:docId w15:val="{3B315F61-9D9E-48EB-B4C5-6A0C1A47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2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2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26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2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26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26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26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26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26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26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26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26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26EA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26EA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26EA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26EA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26EA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26EA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26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2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26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2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26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26EA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26EA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26EA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26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26EA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26EA0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696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689</Words>
  <Characters>4755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Barnai Balázs</dc:creator>
  <cp:keywords/>
  <dc:description/>
  <cp:lastModifiedBy>Barnai Balázs</cp:lastModifiedBy>
  <cp:revision>12</cp:revision>
  <dcterms:created xsi:type="dcterms:W3CDTF">2026-03-30T13:54:00Z</dcterms:created>
  <dcterms:modified xsi:type="dcterms:W3CDTF">2026-03-30T14:26:00Z</dcterms:modified>
</cp:coreProperties>
</file>