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4E5F"/>
          <w:sz w:val="34"/>
          <w:szCs w:val="34"/>
        </w:rPr>
        <w:t xml:space="preserve">TOOL AI PHÂN TÍCH &amp; DỰ BÁO XU HƯỚNG GIAO DỊCH</w:t>
      </w:r>
    </w:p>
    <w:p>
      <w:pPr>
        <w:spacing w:after="300"/>
      </w:pPr>
      <w:r>
        <w:rPr>
          <w:rFonts w:ascii="Calibri" w:cs="Calibri" w:eastAsia="Calibri" w:hAnsi="Calibri"/>
          <w:i/>
          <w:iCs/>
          <w:color w:val="555555"/>
          <w:sz w:val="22"/>
          <w:szCs w:val="22"/>
        </w:rPr>
        <w:t xml:space="preserve">Kết hợp chỉ báo kỹ thuật, dòng tiền vi mô (order flow / on-chain) và yếu tố vĩ mô — Spec thiết kế hệ thống</w:t>
      </w:r>
    </w:p>
    <w:p>
      <w:pPr>
        <w:pBdr>
          <w:left w:val="single" w:color="999999" w:sz="12" w:space="8"/>
        </w:pBdr>
        <w:spacing w:after="160"/>
      </w:pPr>
      <w:r>
        <w:rPr>
          <w:rFonts w:ascii="Calibri" w:cs="Calibri" w:eastAsia="Calibri" w:hAnsi="Calibri"/>
          <w:i/>
          <w:iCs/>
          <w:color w:val="555555"/>
          <w:sz w:val="20"/>
          <w:szCs w:val="20"/>
        </w:rPr>
        <w:t xml:space="preserve">Lưu ý: Tài liệu này là spec thiết kế hệ thống mang tính tham khảo kỹ thuật, không phải lời khuyên đầu tư. Không có mô hình nào đảm bảo dự báo đúng tuyệt đối một cặp giao dịch.</w:t>
      </w:r>
    </w:p>
    <w:p>
      <w:pPr>
        <w:pStyle w:val="Heading1"/>
        <w:spacing w:after="150" w:before="300"/>
      </w:pPr>
      <w:r>
        <w:t xml:space="preserve">Phần 1 — Đọc dashboard tham chiếu</w:t>
      </w:r>
    </w:p>
    <w:p>
      <w:pPr>
        <w:spacing w:after="140"/>
      </w:pPr>
      <w:r>
        <w:rPr>
          <w:rFonts w:ascii="Calibri" w:cs="Calibri" w:eastAsia="Calibri" w:hAnsi="Calibri"/>
          <w:sz w:val="22"/>
          <w:szCs w:val="22"/>
        </w:rPr>
        <w:t xml:space="preserve">Dashboard tham chiếu (ảnh gốc dạng video quảng cáo bot Polymarket) gồm các khối chính sau:</w:t>
      </w:r>
    </w:p>
    <w:p>
      <w:pPr>
        <w:pStyle w:val="ListParagraph"/>
        <w:numPr>
          <w:ilvl w:val="0"/>
          <w:numId w:val="2"/>
        </w:numPr>
        <w:spacing w:after="80"/>
      </w:pPr>
      <w:r>
        <w:rPr>
          <w:rFonts w:ascii="Calibri" w:cs="Calibri" w:eastAsia="Calibri" w:hAnsi="Calibri"/>
          <w:sz w:val="22"/>
          <w:szCs w:val="22"/>
        </w:rPr>
        <w:t xml:space="preserve">Header/status bar — trạng thái bot, giá spot, P(market) vs P(model), edge, giờ UTC.</w:t>
      </w:r>
    </w:p>
    <w:p>
      <w:pPr>
        <w:pStyle w:val="ListParagraph"/>
        <w:numPr>
          <w:ilvl w:val="0"/>
          <w:numId w:val="2"/>
        </w:numPr>
        <w:spacing w:after="80"/>
      </w:pPr>
      <w:r>
        <w:rPr>
          <w:rFonts w:ascii="Calibri" w:cs="Calibri" w:eastAsia="Calibri" w:hAnsi="Calibri"/>
          <w:sz w:val="22"/>
          <w:szCs w:val="22"/>
        </w:rPr>
        <w:t xml:space="preserve">Live feed ticker — log các lệnh vừa khớp theo thời gian thực.</w:t>
      </w:r>
    </w:p>
    <w:p>
      <w:pPr>
        <w:pStyle w:val="ListParagraph"/>
        <w:numPr>
          <w:ilvl w:val="0"/>
          <w:numId w:val="2"/>
        </w:numPr>
        <w:spacing w:after="80"/>
      </w:pPr>
      <w:r>
        <w:rPr>
          <w:rFonts w:ascii="Calibri" w:cs="Calibri" w:eastAsia="Calibri" w:hAnsi="Calibri"/>
          <w:sz w:val="22"/>
          <w:szCs w:val="22"/>
        </w:rPr>
        <w:t xml:space="preserve">Wallet &amp; PnL panel — PnL, win rate, model edge trung bình, drawdown risk.</w:t>
      </w:r>
    </w:p>
    <w:p>
      <w:pPr>
        <w:pStyle w:val="ListParagraph"/>
        <w:numPr>
          <w:ilvl w:val="0"/>
          <w:numId w:val="2"/>
        </w:numPr>
        <w:spacing w:after="80"/>
      </w:pPr>
      <w:r>
        <w:rPr>
          <w:rFonts w:ascii="Calibri" w:cs="Calibri" w:eastAsia="Calibri" w:hAnsi="Calibri"/>
          <w:sz w:val="22"/>
          <w:szCs w:val="22"/>
        </w:rPr>
        <w:t xml:space="preserve">Biểu đồ giá spot + sổ lệnh mini.</w:t>
      </w:r>
    </w:p>
    <w:p>
      <w:pPr>
        <w:pStyle w:val="ListParagraph"/>
        <w:numPr>
          <w:ilvl w:val="0"/>
          <w:numId w:val="2"/>
        </w:numPr>
        <w:spacing w:after="80"/>
      </w:pPr>
      <w:r>
        <w:rPr>
          <w:rFonts w:ascii="Calibri" w:cs="Calibri" w:eastAsia="Calibri" w:hAnsi="Calibri"/>
          <w:sz w:val="22"/>
          <w:szCs w:val="22"/>
        </w:rPr>
        <w:t xml:space="preserve">Market lifecycle timeline (Gantt) — entry → resolve theo từng market.</w:t>
      </w:r>
    </w:p>
    <w:p>
      <w:pPr>
        <w:pStyle w:val="ListParagraph"/>
        <w:numPr>
          <w:ilvl w:val="0"/>
          <w:numId w:val="2"/>
        </w:numPr>
        <w:spacing w:after="80"/>
      </w:pPr>
      <w:r>
        <w:rPr>
          <w:rFonts w:ascii="Calibri" w:cs="Calibri" w:eastAsia="Calibri" w:hAnsi="Calibri"/>
          <w:sz w:val="22"/>
          <w:szCs w:val="22"/>
        </w:rPr>
        <w:t xml:space="preserve">Resolution grid — lưới các market đang mở, màu theo xác suất.</w:t>
      </w:r>
    </w:p>
    <w:p>
      <w:pPr>
        <w:pStyle w:val="ListParagraph"/>
        <w:numPr>
          <w:ilvl w:val="0"/>
          <w:numId w:val="2"/>
        </w:numPr>
        <w:spacing w:after="80"/>
      </w:pPr>
      <w:r>
        <w:rPr>
          <w:rFonts w:ascii="Calibri" w:cs="Calibri" w:eastAsia="Calibri" w:hAnsi="Calibri"/>
          <w:sz w:val="22"/>
          <w:szCs w:val="22"/>
        </w:rPr>
        <w:t xml:space="preserve">Neural network visualization — sơ đồ input feature → model → output xác suất.</w:t>
      </w:r>
    </w:p>
    <w:p>
      <w:pPr>
        <w:pStyle w:val="ListParagraph"/>
        <w:numPr>
          <w:ilvl w:val="0"/>
          <w:numId w:val="2"/>
        </w:numPr>
        <w:spacing w:after="80"/>
      </w:pPr>
      <w:r>
        <w:rPr>
          <w:rFonts w:ascii="Calibri" w:cs="Calibri" w:eastAsia="Calibri" w:hAnsi="Calibri"/>
          <w:sz w:val="22"/>
          <w:szCs w:val="22"/>
        </w:rPr>
        <w:t xml:space="preserve">Entry price waterfall — phân phối giá vào lệnh theo thời gian.</w:t>
      </w:r>
    </w:p>
    <w:p>
      <w:pPr>
        <w:pStyle w:val="ListParagraph"/>
        <w:numPr>
          <w:ilvl w:val="0"/>
          <w:numId w:val="2"/>
        </w:numPr>
        <w:spacing w:after="80"/>
      </w:pPr>
      <w:r>
        <w:rPr>
          <w:rFonts w:ascii="Calibri" w:cs="Calibri" w:eastAsia="Calibri" w:hAnsi="Calibri"/>
          <w:sz w:val="22"/>
          <w:szCs w:val="22"/>
        </w:rPr>
        <w:t xml:space="preserve">Edge matrix — scatter model vs market, thể hiện chênh lệch (edge).</w:t>
      </w:r>
    </w:p>
    <w:p>
      <w:pPr>
        <w:pStyle w:val="ListParagraph"/>
        <w:numPr>
          <w:ilvl w:val="0"/>
          <w:numId w:val="2"/>
        </w:numPr>
        <w:spacing w:after="80"/>
      </w:pPr>
      <w:r>
        <w:rPr>
          <w:rFonts w:ascii="Calibri" w:cs="Calibri" w:eastAsia="Calibri" w:hAnsi="Calibri"/>
          <w:sz w:val="22"/>
          <w:szCs w:val="22"/>
        </w:rPr>
        <w:t xml:space="preserve">Position flow (Sankey) — dòng vốn: entry → giữ/hedge/exit.</w:t>
      </w:r>
    </w:p>
    <w:p>
      <w:pPr>
        <w:pStyle w:val="ListParagraph"/>
        <w:numPr>
          <w:ilvl w:val="0"/>
          <w:numId w:val="2"/>
        </w:numPr>
        <w:spacing w:after="80"/>
      </w:pPr>
      <w:r>
        <w:rPr>
          <w:rFonts w:ascii="Calibri" w:cs="Calibri" w:eastAsia="Calibri" w:hAnsi="Calibri"/>
          <w:sz w:val="22"/>
          <w:szCs w:val="22"/>
        </w:rPr>
        <w:t xml:space="preserve">Footer KPI bar — PnL, ROI, volume, win rate, edge trung bình.</w:t>
      </w:r>
    </w:p>
    <w:p>
      <w:pPr>
        <w:pBdr>
          <w:left w:val="single" w:color="999999" w:sz="12" w:space="8"/>
        </w:pBdr>
        <w:spacing w:after="160"/>
      </w:pPr>
      <w:r>
        <w:rPr>
          <w:rFonts w:ascii="Calibri" w:cs="Calibri" w:eastAsia="Calibri" w:hAnsi="Calibri"/>
          <w:i/>
          <w:iCs/>
          <w:color w:val="555555"/>
          <w:sz w:val="20"/>
          <w:szCs w:val="20"/>
        </w:rPr>
        <w:t xml:space="preserve">Các con số PnL/ROI trong nội dung quảng cáo gốc (VD: ROI hàng nghìn %) không có gì đảm bảo là dữ liệu thật hay đã kiểm chứng — chỉ nên tham khảo về bố cục UI, không dùng làm kỳ vọng hiệu năng.</w:t>
      </w:r>
    </w:p>
    <w:p>
      <w:pPr>
        <w:pStyle w:val="Heading1"/>
        <w:spacing w:after="150" w:before="300"/>
      </w:pPr>
      <w:r>
        <w:t xml:space="preserve">Phần 2 — Bộ công cụ theo dõi và dự báo (3 tầng)</w:t>
      </w:r>
    </w:p>
    <w:p>
      <w:pPr>
        <w:pStyle w:val="Heading2"/>
        <w:spacing w:after="120" w:before="240"/>
      </w:pPr>
      <w:r>
        <w:t xml:space="preserve">2.1 Chỉ báo kỹ thuật trên chart</w:t>
      </w:r>
    </w:p>
    <w:p>
      <w:pPr>
        <w:spacing w:after="140"/>
      </w:pPr>
      <w:r>
        <w:rPr>
          <w:rFonts w:ascii="Calibri" w:cs="Calibri" w:eastAsia="Calibri" w:hAnsi="Calibri"/>
          <w:sz w:val="22"/>
          <w:szCs w:val="22"/>
        </w:rPr>
        <w:t xml:space="preserve">Xu hướng (trend):</w:t>
      </w:r>
    </w:p>
    <w:p>
      <w:pPr>
        <w:pStyle w:val="ListParagraph"/>
        <w:numPr>
          <w:ilvl w:val="0"/>
          <w:numId w:val="2"/>
        </w:numPr>
        <w:spacing w:after="80"/>
      </w:pPr>
      <w:r>
        <w:rPr>
          <w:rFonts w:ascii="Calibri" w:cs="Calibri" w:eastAsia="Calibri" w:hAnsi="Calibri"/>
          <w:sz w:val="22"/>
          <w:szCs w:val="22"/>
        </w:rPr>
        <w:t xml:space="preserve">Moving Average (EMA 20/50/200, MA cross)</w:t>
      </w:r>
    </w:p>
    <w:p>
      <w:pPr>
        <w:pStyle w:val="ListParagraph"/>
        <w:numPr>
          <w:ilvl w:val="0"/>
          <w:numId w:val="2"/>
        </w:numPr>
        <w:spacing w:after="80"/>
      </w:pPr>
      <w:r>
        <w:rPr>
          <w:rFonts w:ascii="Calibri" w:cs="Calibri" w:eastAsia="Calibri" w:hAnsi="Calibri"/>
          <w:sz w:val="22"/>
          <w:szCs w:val="22"/>
        </w:rPr>
        <w:t xml:space="preserve">ADX — đo độ mạnh của trend</w:t>
      </w:r>
    </w:p>
    <w:p>
      <w:pPr>
        <w:pStyle w:val="ListParagraph"/>
        <w:numPr>
          <w:ilvl w:val="0"/>
          <w:numId w:val="2"/>
        </w:numPr>
        <w:spacing w:after="80"/>
      </w:pPr>
      <w:r>
        <w:rPr>
          <w:rFonts w:ascii="Calibri" w:cs="Calibri" w:eastAsia="Calibri" w:hAnsi="Calibri"/>
          <w:sz w:val="22"/>
          <w:szCs w:val="22"/>
        </w:rPr>
        <w:t xml:space="preserve">Ichimoku Cloud</w:t>
      </w:r>
    </w:p>
    <w:p>
      <w:pPr>
        <w:pStyle w:val="ListParagraph"/>
        <w:numPr>
          <w:ilvl w:val="0"/>
          <w:numId w:val="2"/>
        </w:numPr>
        <w:spacing w:after="80"/>
      </w:pPr>
      <w:r>
        <w:rPr>
          <w:rFonts w:ascii="Calibri" w:cs="Calibri" w:eastAsia="Calibri" w:hAnsi="Calibri"/>
          <w:sz w:val="22"/>
          <w:szCs w:val="22"/>
        </w:rPr>
        <w:t xml:space="preserve">Parabolic SAR</w:t>
      </w:r>
    </w:p>
    <w:p>
      <w:pPr>
        <w:spacing w:after="140"/>
      </w:pPr>
      <w:r>
        <w:rPr>
          <w:rFonts w:ascii="Calibri" w:cs="Calibri" w:eastAsia="Calibri" w:hAnsi="Calibri"/>
          <w:sz w:val="22"/>
          <w:szCs w:val="22"/>
        </w:rPr>
        <w:t xml:space="preserve">Động lượng (momentum):</w:t>
      </w:r>
    </w:p>
    <w:p>
      <w:pPr>
        <w:pStyle w:val="ListParagraph"/>
        <w:numPr>
          <w:ilvl w:val="0"/>
          <w:numId w:val="2"/>
        </w:numPr>
        <w:spacing w:after="80"/>
      </w:pPr>
      <w:r>
        <w:rPr>
          <w:rFonts w:ascii="Calibri" w:cs="Calibri" w:eastAsia="Calibri" w:hAnsi="Calibri"/>
          <w:sz w:val="22"/>
          <w:szCs w:val="22"/>
        </w:rPr>
        <w:t xml:space="preserve">RSI (quá mua/quá bán, phân kỳ)</w:t>
      </w:r>
    </w:p>
    <w:p>
      <w:pPr>
        <w:pStyle w:val="ListParagraph"/>
        <w:numPr>
          <w:ilvl w:val="0"/>
          <w:numId w:val="2"/>
        </w:numPr>
        <w:spacing w:after="80"/>
      </w:pPr>
      <w:r>
        <w:rPr>
          <w:rFonts w:ascii="Calibri" w:cs="Calibri" w:eastAsia="Calibri" w:hAnsi="Calibri"/>
          <w:sz w:val="22"/>
          <w:szCs w:val="22"/>
        </w:rPr>
        <w:t xml:space="preserve">MACD (giao cắt + phân kỳ)</w:t>
      </w:r>
    </w:p>
    <w:p>
      <w:pPr>
        <w:pStyle w:val="ListParagraph"/>
        <w:numPr>
          <w:ilvl w:val="0"/>
          <w:numId w:val="2"/>
        </w:numPr>
        <w:spacing w:after="80"/>
      </w:pPr>
      <w:r>
        <w:rPr>
          <w:rFonts w:ascii="Calibri" w:cs="Calibri" w:eastAsia="Calibri" w:hAnsi="Calibri"/>
          <w:sz w:val="22"/>
          <w:szCs w:val="22"/>
        </w:rPr>
        <w:t xml:space="preserve">Stochastic Oscillator</w:t>
      </w:r>
    </w:p>
    <w:p>
      <w:pPr>
        <w:pStyle w:val="ListParagraph"/>
        <w:numPr>
          <w:ilvl w:val="0"/>
          <w:numId w:val="2"/>
        </w:numPr>
        <w:spacing w:after="80"/>
      </w:pPr>
      <w:r>
        <w:rPr>
          <w:rFonts w:ascii="Calibri" w:cs="Calibri" w:eastAsia="Calibri" w:hAnsi="Calibri"/>
          <w:sz w:val="22"/>
          <w:szCs w:val="22"/>
        </w:rPr>
        <w:t xml:space="preserve">Rate of Change (ROC)</w:t>
      </w:r>
    </w:p>
    <w:p>
      <w:pPr>
        <w:spacing w:after="140"/>
      </w:pPr>
      <w:r>
        <w:rPr>
          <w:rFonts w:ascii="Calibri" w:cs="Calibri" w:eastAsia="Calibri" w:hAnsi="Calibri"/>
          <w:sz w:val="22"/>
          <w:szCs w:val="22"/>
        </w:rPr>
        <w:t xml:space="preserve">Volume / dòng tiền trên chart:</w:t>
      </w:r>
    </w:p>
    <w:p>
      <w:pPr>
        <w:pStyle w:val="ListParagraph"/>
        <w:numPr>
          <w:ilvl w:val="0"/>
          <w:numId w:val="2"/>
        </w:numPr>
        <w:spacing w:after="80"/>
      </w:pPr>
      <w:r>
        <w:rPr>
          <w:rFonts w:ascii="Calibri" w:cs="Calibri" w:eastAsia="Calibri" w:hAnsi="Calibri"/>
          <w:sz w:val="22"/>
          <w:szCs w:val="22"/>
        </w:rPr>
        <w:t xml:space="preserve">Volume Profile / Volume by Price</w:t>
      </w:r>
    </w:p>
    <w:p>
      <w:pPr>
        <w:pStyle w:val="ListParagraph"/>
        <w:numPr>
          <w:ilvl w:val="0"/>
          <w:numId w:val="2"/>
        </w:numPr>
        <w:spacing w:after="80"/>
      </w:pPr>
      <w:r>
        <w:rPr>
          <w:rFonts w:ascii="Calibri" w:cs="Calibri" w:eastAsia="Calibri" w:hAnsi="Calibri"/>
          <w:sz w:val="22"/>
          <w:szCs w:val="22"/>
        </w:rPr>
        <w:t xml:space="preserve">On-Balance Volume (OBV)</w:t>
      </w:r>
    </w:p>
    <w:p>
      <w:pPr>
        <w:pStyle w:val="ListParagraph"/>
        <w:numPr>
          <w:ilvl w:val="0"/>
          <w:numId w:val="2"/>
        </w:numPr>
        <w:spacing w:after="80"/>
      </w:pPr>
      <w:r>
        <w:rPr>
          <w:rFonts w:ascii="Calibri" w:cs="Calibri" w:eastAsia="Calibri" w:hAnsi="Calibri"/>
          <w:sz w:val="22"/>
          <w:szCs w:val="22"/>
        </w:rPr>
        <w:t xml:space="preserve">VWAP</w:t>
      </w:r>
    </w:p>
    <w:p>
      <w:pPr>
        <w:pStyle w:val="ListParagraph"/>
        <w:numPr>
          <w:ilvl w:val="0"/>
          <w:numId w:val="2"/>
        </w:numPr>
        <w:spacing w:after="80"/>
      </w:pPr>
      <w:r>
        <w:rPr>
          <w:rFonts w:ascii="Calibri" w:cs="Calibri" w:eastAsia="Calibri" w:hAnsi="Calibri"/>
          <w:sz w:val="22"/>
          <w:szCs w:val="22"/>
        </w:rPr>
        <w:t xml:space="preserve">Money Flow Index (MFI)</w:t>
      </w:r>
    </w:p>
    <w:p>
      <w:pPr>
        <w:pStyle w:val="ListParagraph"/>
        <w:numPr>
          <w:ilvl w:val="0"/>
          <w:numId w:val="2"/>
        </w:numPr>
        <w:spacing w:after="80"/>
      </w:pPr>
      <w:r>
        <w:rPr>
          <w:rFonts w:ascii="Calibri" w:cs="Calibri" w:eastAsia="Calibri" w:hAnsi="Calibri"/>
          <w:sz w:val="22"/>
          <w:szCs w:val="22"/>
        </w:rPr>
        <w:t xml:space="preserve">Accumulation/Distribution Line</w:t>
      </w:r>
    </w:p>
    <w:p>
      <w:pPr>
        <w:spacing w:after="140"/>
      </w:pPr>
      <w:r>
        <w:rPr>
          <w:rFonts w:ascii="Calibri" w:cs="Calibri" w:eastAsia="Calibri" w:hAnsi="Calibri"/>
          <w:sz w:val="22"/>
          <w:szCs w:val="22"/>
        </w:rPr>
        <w:t xml:space="preserve">Biến động (volatility):</w:t>
      </w:r>
    </w:p>
    <w:p>
      <w:pPr>
        <w:pStyle w:val="ListParagraph"/>
        <w:numPr>
          <w:ilvl w:val="0"/>
          <w:numId w:val="2"/>
        </w:numPr>
        <w:spacing w:after="80"/>
      </w:pPr>
      <w:r>
        <w:rPr>
          <w:rFonts w:ascii="Calibri" w:cs="Calibri" w:eastAsia="Calibri" w:hAnsi="Calibri"/>
          <w:sz w:val="22"/>
          <w:szCs w:val="22"/>
        </w:rPr>
        <w:t xml:space="preserve">Bollinger Bands</w:t>
      </w:r>
    </w:p>
    <w:p>
      <w:pPr>
        <w:pStyle w:val="ListParagraph"/>
        <w:numPr>
          <w:ilvl w:val="0"/>
          <w:numId w:val="2"/>
        </w:numPr>
        <w:spacing w:after="80"/>
      </w:pPr>
      <w:r>
        <w:rPr>
          <w:rFonts w:ascii="Calibri" w:cs="Calibri" w:eastAsia="Calibri" w:hAnsi="Calibri"/>
          <w:sz w:val="22"/>
          <w:szCs w:val="22"/>
        </w:rPr>
        <w:t xml:space="preserve">ATR (dùng đặt stop-loss/size lệnh)</w:t>
      </w:r>
    </w:p>
    <w:p>
      <w:pPr>
        <w:pStyle w:val="ListParagraph"/>
        <w:numPr>
          <w:ilvl w:val="0"/>
          <w:numId w:val="2"/>
        </w:numPr>
        <w:spacing w:after="80"/>
      </w:pPr>
      <w:r>
        <w:rPr>
          <w:rFonts w:ascii="Calibri" w:cs="Calibri" w:eastAsia="Calibri" w:hAnsi="Calibri"/>
          <w:sz w:val="22"/>
          <w:szCs w:val="22"/>
        </w:rPr>
        <w:t xml:space="preserve">Keltner Channel</w:t>
      </w:r>
    </w:p>
    <w:p>
      <w:pPr>
        <w:spacing w:after="140"/>
      </w:pPr>
      <w:r>
        <w:rPr>
          <w:rFonts w:ascii="Calibri" w:cs="Calibri" w:eastAsia="Calibri" w:hAnsi="Calibri"/>
          <w:sz w:val="22"/>
          <w:szCs w:val="22"/>
        </w:rPr>
        <w:t xml:space="preserve">Cấu trúc giá / hỗ trợ-kháng cự:</w:t>
      </w:r>
    </w:p>
    <w:p>
      <w:pPr>
        <w:pStyle w:val="ListParagraph"/>
        <w:numPr>
          <w:ilvl w:val="0"/>
          <w:numId w:val="2"/>
        </w:numPr>
        <w:spacing w:after="80"/>
      </w:pPr>
      <w:r>
        <w:rPr>
          <w:rFonts w:ascii="Calibri" w:cs="Calibri" w:eastAsia="Calibri" w:hAnsi="Calibri"/>
          <w:sz w:val="22"/>
          <w:szCs w:val="22"/>
        </w:rPr>
        <w:t xml:space="preserve">Fibonacci Retracement/Extension</w:t>
      </w:r>
    </w:p>
    <w:p>
      <w:pPr>
        <w:pStyle w:val="ListParagraph"/>
        <w:numPr>
          <w:ilvl w:val="0"/>
          <w:numId w:val="2"/>
        </w:numPr>
        <w:spacing w:after="80"/>
      </w:pPr>
      <w:r>
        <w:rPr>
          <w:rFonts w:ascii="Calibri" w:cs="Calibri" w:eastAsia="Calibri" w:hAnsi="Calibri"/>
          <w:sz w:val="22"/>
          <w:szCs w:val="22"/>
        </w:rPr>
        <w:t xml:space="preserve">Pivot Points</w:t>
      </w:r>
    </w:p>
    <w:p>
      <w:pPr>
        <w:pStyle w:val="ListParagraph"/>
        <w:numPr>
          <w:ilvl w:val="0"/>
          <w:numId w:val="2"/>
        </w:numPr>
        <w:spacing w:after="80"/>
      </w:pPr>
      <w:r>
        <w:rPr>
          <w:rFonts w:ascii="Calibri" w:cs="Calibri" w:eastAsia="Calibri" w:hAnsi="Calibri"/>
          <w:sz w:val="22"/>
          <w:szCs w:val="22"/>
        </w:rPr>
        <w:t xml:space="preserve">Order Blocks / Fair Value Gap (Smart Money Concept, ICT)</w:t>
      </w:r>
    </w:p>
    <w:p>
      <w:pPr>
        <w:pStyle w:val="Heading2"/>
        <w:spacing w:after="120" w:before="240"/>
      </w:pPr>
      <w:r>
        <w:t xml:space="preserve">2.2 Công cụ vi mô — dòng tiền thật (order flow)</w:t>
      </w:r>
    </w:p>
    <w:p>
      <w:pPr>
        <w:pStyle w:val="ListParagraph"/>
        <w:numPr>
          <w:ilvl w:val="0"/>
          <w:numId w:val="2"/>
        </w:numPr>
        <w:spacing w:after="80"/>
      </w:pPr>
      <w:r>
        <w:rPr>
          <w:rFonts w:ascii="Calibri" w:cs="Calibri" w:eastAsia="Calibri" w:hAnsi="Calibri"/>
          <w:sz w:val="22"/>
          <w:szCs w:val="22"/>
        </w:rPr>
        <w:t xml:space="preserve">Order book depth / Depth of Market (DOM)</w:t>
      </w:r>
    </w:p>
    <w:p>
      <w:pPr>
        <w:pStyle w:val="ListParagraph"/>
        <w:numPr>
          <w:ilvl w:val="0"/>
          <w:numId w:val="2"/>
        </w:numPr>
        <w:spacing w:after="80"/>
      </w:pPr>
      <w:r>
        <w:rPr>
          <w:rFonts w:ascii="Calibri" w:cs="Calibri" w:eastAsia="Calibri" w:hAnsi="Calibri"/>
          <w:sz w:val="22"/>
          <w:szCs w:val="22"/>
        </w:rPr>
        <w:t xml:space="preserve">Footprint chart / Bid-Ask volume</w:t>
      </w:r>
    </w:p>
    <w:p>
      <w:pPr>
        <w:pStyle w:val="ListParagraph"/>
        <w:numPr>
          <w:ilvl w:val="0"/>
          <w:numId w:val="2"/>
        </w:numPr>
        <w:spacing w:after="80"/>
      </w:pPr>
      <w:r>
        <w:rPr>
          <w:rFonts w:ascii="Calibri" w:cs="Calibri" w:eastAsia="Calibri" w:hAnsi="Calibri"/>
          <w:sz w:val="22"/>
          <w:szCs w:val="22"/>
        </w:rPr>
        <w:t xml:space="preserve">Cumulative Volume Delta (CVD)</w:t>
      </w:r>
    </w:p>
    <w:p>
      <w:pPr>
        <w:pStyle w:val="ListParagraph"/>
        <w:numPr>
          <w:ilvl w:val="0"/>
          <w:numId w:val="2"/>
        </w:numPr>
        <w:spacing w:after="80"/>
      </w:pPr>
      <w:r>
        <w:rPr>
          <w:rFonts w:ascii="Calibri" w:cs="Calibri" w:eastAsia="Calibri" w:hAnsi="Calibri"/>
          <w:sz w:val="22"/>
          <w:szCs w:val="22"/>
        </w:rPr>
        <w:t xml:space="preserve">Open Interest (OI) và biến động OI</w:t>
      </w:r>
    </w:p>
    <w:p>
      <w:pPr>
        <w:pStyle w:val="ListParagraph"/>
        <w:numPr>
          <w:ilvl w:val="0"/>
          <w:numId w:val="2"/>
        </w:numPr>
        <w:spacing w:after="80"/>
      </w:pPr>
      <w:r>
        <w:rPr>
          <w:rFonts w:ascii="Calibri" w:cs="Calibri" w:eastAsia="Calibri" w:hAnsi="Calibri"/>
          <w:sz w:val="22"/>
          <w:szCs w:val="22"/>
        </w:rPr>
        <w:t xml:space="preserve">Funding rate (perpetual futures)</w:t>
      </w:r>
    </w:p>
    <w:p>
      <w:pPr>
        <w:pStyle w:val="ListParagraph"/>
        <w:numPr>
          <w:ilvl w:val="0"/>
          <w:numId w:val="2"/>
        </w:numPr>
        <w:spacing w:after="80"/>
      </w:pPr>
      <w:r>
        <w:rPr>
          <w:rFonts w:ascii="Calibri" w:cs="Calibri" w:eastAsia="Calibri" w:hAnsi="Calibri"/>
          <w:sz w:val="22"/>
          <w:szCs w:val="22"/>
        </w:rPr>
        <w:t xml:space="preserve">Liquidation heatmap</w:t>
      </w:r>
    </w:p>
    <w:p>
      <w:pPr>
        <w:pStyle w:val="ListParagraph"/>
        <w:numPr>
          <w:ilvl w:val="0"/>
          <w:numId w:val="2"/>
        </w:numPr>
        <w:spacing w:after="80"/>
      </w:pPr>
      <w:r>
        <w:rPr>
          <w:rFonts w:ascii="Calibri" w:cs="Calibri" w:eastAsia="Calibri" w:hAnsi="Calibri"/>
          <w:sz w:val="22"/>
          <w:szCs w:val="22"/>
        </w:rPr>
        <w:t xml:space="preserve">Long/Short ratio các sàn lớn</w:t>
      </w:r>
    </w:p>
    <w:p>
      <w:pPr>
        <w:pStyle w:val="ListParagraph"/>
        <w:numPr>
          <w:ilvl w:val="0"/>
          <w:numId w:val="2"/>
        </w:numPr>
        <w:spacing w:after="80"/>
      </w:pPr>
      <w:r>
        <w:rPr>
          <w:rFonts w:ascii="Calibri" w:cs="Calibri" w:eastAsia="Calibri" w:hAnsi="Calibri"/>
          <w:sz w:val="22"/>
          <w:szCs w:val="22"/>
        </w:rPr>
        <w:t xml:space="preserve">Whale wallet tracking / on-chain flow (Exchange Netflow, stablecoin supply)</w:t>
      </w:r>
    </w:p>
    <w:p>
      <w:pPr>
        <w:pStyle w:val="ListParagraph"/>
        <w:numPr>
          <w:ilvl w:val="0"/>
          <w:numId w:val="2"/>
        </w:numPr>
        <w:spacing w:after="80"/>
      </w:pPr>
      <w:r>
        <w:rPr>
          <w:rFonts w:ascii="Calibri" w:cs="Calibri" w:eastAsia="Calibri" w:hAnsi="Calibri"/>
          <w:sz w:val="22"/>
          <w:szCs w:val="22"/>
        </w:rPr>
        <w:t xml:space="preserve">Options flow / Gamma Exposure (GEX)</w:t>
      </w:r>
    </w:p>
    <w:p>
      <w:pPr>
        <w:pStyle w:val="Heading2"/>
        <w:spacing w:after="120" w:before="240"/>
      </w:pPr>
      <w:r>
        <w:t xml:space="preserve">2.3 Công cụ vĩ mô</w:t>
      </w:r>
    </w:p>
    <w:p>
      <w:pPr>
        <w:pStyle w:val="ListParagraph"/>
        <w:numPr>
          <w:ilvl w:val="0"/>
          <w:numId w:val="2"/>
        </w:numPr>
        <w:spacing w:after="80"/>
      </w:pPr>
      <w:r>
        <w:rPr>
          <w:rFonts w:ascii="Calibri" w:cs="Calibri" w:eastAsia="Calibri" w:hAnsi="Calibri"/>
          <w:sz w:val="22"/>
          <w:szCs w:val="22"/>
        </w:rPr>
        <w:t xml:space="preserve">DXY (chỉ số USD)</w:t>
      </w:r>
    </w:p>
    <w:p>
      <w:pPr>
        <w:pStyle w:val="ListParagraph"/>
        <w:numPr>
          <w:ilvl w:val="0"/>
          <w:numId w:val="2"/>
        </w:numPr>
        <w:spacing w:after="80"/>
      </w:pPr>
      <w:r>
        <w:rPr>
          <w:rFonts w:ascii="Calibri" w:cs="Calibri" w:eastAsia="Calibri" w:hAnsi="Calibri"/>
          <w:sz w:val="22"/>
          <w:szCs w:val="22"/>
        </w:rPr>
        <w:t xml:space="preserve">Lãi suất &amp; chính sách ngân hàng trung ương (Fed Funds Rate, FOMC)</w:t>
      </w:r>
    </w:p>
    <w:p>
      <w:pPr>
        <w:pStyle w:val="ListParagraph"/>
        <w:numPr>
          <w:ilvl w:val="0"/>
          <w:numId w:val="2"/>
        </w:numPr>
        <w:spacing w:after="80"/>
      </w:pPr>
      <w:r>
        <w:rPr>
          <w:rFonts w:ascii="Calibri" w:cs="Calibri" w:eastAsia="Calibri" w:hAnsi="Calibri"/>
          <w:sz w:val="22"/>
          <w:szCs w:val="22"/>
        </w:rPr>
        <w:t xml:space="preserve">Lạm phát (CPI, PCE)</w:t>
      </w:r>
    </w:p>
    <w:p>
      <w:pPr>
        <w:pStyle w:val="ListParagraph"/>
        <w:numPr>
          <w:ilvl w:val="0"/>
          <w:numId w:val="2"/>
        </w:numPr>
        <w:spacing w:after="80"/>
      </w:pPr>
      <w:r>
        <w:rPr>
          <w:rFonts w:ascii="Calibri" w:cs="Calibri" w:eastAsia="Calibri" w:hAnsi="Calibri"/>
          <w:sz w:val="22"/>
          <w:szCs w:val="22"/>
        </w:rPr>
        <w:t xml:space="preserve">Lợi suất trái phiếu (US 10Y Treasury Yield)</w:t>
      </w:r>
    </w:p>
    <w:p>
      <w:pPr>
        <w:pStyle w:val="ListParagraph"/>
        <w:numPr>
          <w:ilvl w:val="0"/>
          <w:numId w:val="2"/>
        </w:numPr>
        <w:spacing w:after="80"/>
      </w:pPr>
      <w:r>
        <w:rPr>
          <w:rFonts w:ascii="Calibri" w:cs="Calibri" w:eastAsia="Calibri" w:hAnsi="Calibri"/>
          <w:sz w:val="22"/>
          <w:szCs w:val="22"/>
        </w:rPr>
        <w:t xml:space="preserve">Thanh khoản toàn cầu (Global M2, bảng cân đối Fed/ECB/BOJ)</w:t>
      </w:r>
    </w:p>
    <w:p>
      <w:pPr>
        <w:pStyle w:val="ListParagraph"/>
        <w:numPr>
          <w:ilvl w:val="0"/>
          <w:numId w:val="2"/>
        </w:numPr>
        <w:spacing w:after="80"/>
      </w:pPr>
      <w:r>
        <w:rPr>
          <w:rFonts w:ascii="Calibri" w:cs="Calibri" w:eastAsia="Calibri" w:hAnsi="Calibri"/>
          <w:sz w:val="22"/>
          <w:szCs w:val="22"/>
        </w:rPr>
        <w:t xml:space="preserve">Fear &amp; Greed Index</w:t>
      </w:r>
    </w:p>
    <w:p>
      <w:pPr>
        <w:pStyle w:val="ListParagraph"/>
        <w:numPr>
          <w:ilvl w:val="0"/>
          <w:numId w:val="2"/>
        </w:numPr>
        <w:spacing w:after="80"/>
      </w:pPr>
      <w:r>
        <w:rPr>
          <w:rFonts w:ascii="Calibri" w:cs="Calibri" w:eastAsia="Calibri" w:hAnsi="Calibri"/>
          <w:sz w:val="22"/>
          <w:szCs w:val="22"/>
        </w:rPr>
        <w:t xml:space="preserve">Lịch kinh tế (NFP, GDP, PMI)</w:t>
      </w:r>
    </w:p>
    <w:p>
      <w:pPr>
        <w:pStyle w:val="ListParagraph"/>
        <w:numPr>
          <w:ilvl w:val="0"/>
          <w:numId w:val="2"/>
        </w:numPr>
        <w:spacing w:after="80"/>
      </w:pPr>
      <w:r>
        <w:rPr>
          <w:rFonts w:ascii="Calibri" w:cs="Calibri" w:eastAsia="Calibri" w:hAnsi="Calibri"/>
          <w:sz w:val="22"/>
          <w:szCs w:val="22"/>
        </w:rPr>
        <w:t xml:space="preserve">Tương quan liên thị trường (BTC–Nasdaq, vàng–DXY, dầu–lạm phát)</w:t>
      </w:r>
    </w:p>
    <w:p>
      <w:pPr>
        <w:pStyle w:val="ListParagraph"/>
        <w:numPr>
          <w:ilvl w:val="0"/>
          <w:numId w:val="2"/>
        </w:numPr>
        <w:spacing w:after="80"/>
      </w:pPr>
      <w:r>
        <w:rPr>
          <w:rFonts w:ascii="Calibri" w:cs="Calibri" w:eastAsia="Calibri" w:hAnsi="Calibri"/>
          <w:sz w:val="22"/>
          <w:szCs w:val="22"/>
        </w:rPr>
        <w:t xml:space="preserve">Dòng vốn ETF (net inflow/outflow)</w:t>
      </w:r>
    </w:p>
    <w:p>
      <w:pPr>
        <w:pStyle w:val="Heading1"/>
        <w:spacing w:after="150" w:before="300"/>
      </w:pPr>
      <w:r>
        <w:t xml:space="preserve">Phần 3 — Kiến trúc tool AI kết hợp cả 3 tầng</w:t>
      </w:r>
    </w:p>
    <w:p>
      <w:pPr>
        <w:spacing w:after="140"/>
      </w:pPr>
      <w:r>
        <w:rPr>
          <w:rFonts w:ascii="Calibri" w:cs="Calibri" w:eastAsia="Calibri" w:hAnsi="Calibri"/>
          <w:sz w:val="22"/>
          <w:szCs w:val="22"/>
        </w:rPr>
        <w:t xml:space="preserve">Nguyên tắc thiết kế: không dùng một mô hình "hộp đen" duy nhất, mà chia thành nhiều model con theo loại dữ liệu, sau đó dùng một meta-model để tổng hợp — vừa tăng độ chính xác thực tế, vừa giữ khả năng giải thích (explainability).</w:t>
      </w:r>
    </w:p>
    <w:p>
      <w:pPr>
        <w:pStyle w:val="Heading2"/>
        <w:spacing w:after="120" w:before="240"/>
      </w:pPr>
      <w:r>
        <w:t xml:space="preserve">3.1 Sơ đồ luồng dữ liệu</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DATA INGESTION</w:t>
      </w:r>
      <w:r>
        <w:rPr>
          <w:rFonts w:ascii="Consolas" w:cs="Consolas" w:eastAsia="Consolas" w:hAnsi="Consolas"/>
          <w:sz w:val="18"/>
          <w:szCs w:val="18"/>
        </w:rPr>
        <w:br/>
        <w:t xml:space="preserve">  - OHLCV đa khung (CEX API/WS)</w:t>
      </w:r>
      <w:r>
        <w:rPr>
          <w:rFonts w:ascii="Consolas" w:cs="Consolas" w:eastAsia="Consolas" w:hAnsi="Consolas"/>
          <w:sz w:val="18"/>
          <w:szCs w:val="18"/>
        </w:rPr>
        <w:br/>
        <w:t xml:space="preserve">  - Order book depth + trade tape (footprint)</w:t>
      </w:r>
      <w:r>
        <w:rPr>
          <w:rFonts w:ascii="Consolas" w:cs="Consolas" w:eastAsia="Consolas" w:hAnsi="Consolas"/>
          <w:sz w:val="18"/>
          <w:szCs w:val="18"/>
        </w:rPr>
        <w:br/>
        <w:t xml:space="preserve">  - Derivatives: OI, funding, liquidation map</w:t>
      </w:r>
      <w:r>
        <w:rPr>
          <w:rFonts w:ascii="Consolas" w:cs="Consolas" w:eastAsia="Consolas" w:hAnsi="Consolas"/>
          <w:sz w:val="18"/>
          <w:szCs w:val="18"/>
        </w:rPr>
        <w:br/>
        <w:t xml:space="preserve">  - On-chain: exchange netflow, whale moves</w:t>
      </w:r>
      <w:r>
        <w:rPr>
          <w:rFonts w:ascii="Consolas" w:cs="Consolas" w:eastAsia="Consolas" w:hAnsi="Consolas"/>
          <w:sz w:val="18"/>
          <w:szCs w:val="18"/>
        </w:rPr>
        <w:br/>
        <w:t xml:space="preserve">  - Macro: DXY, US10Y, CPI/NFP, Fed</w:t>
      </w:r>
      <w:r>
        <w:rPr>
          <w:rFonts w:ascii="Consolas" w:cs="Consolas" w:eastAsia="Consolas" w:hAnsi="Consolas"/>
          <w:sz w:val="18"/>
          <w:szCs w:val="18"/>
        </w:rPr>
        <w:br/>
        <w:t xml:space="preserve">  - News/Sentiment: headlines, social, F&amp;G index</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FEATURE ENGINEERING</w:t>
      </w:r>
      <w:r>
        <w:rPr>
          <w:rFonts w:ascii="Consolas" w:cs="Consolas" w:eastAsia="Consolas" w:hAnsi="Consolas"/>
          <w:sz w:val="18"/>
          <w:szCs w:val="18"/>
        </w:rPr>
        <w:br/>
        <w:t xml:space="preserve">  Nhom A: Technical   Nhom B: Order flow</w:t>
      </w:r>
      <w:r>
        <w:rPr>
          <w:rFonts w:ascii="Consolas" w:cs="Consolas" w:eastAsia="Consolas" w:hAnsi="Consolas"/>
          <w:sz w:val="18"/>
          <w:szCs w:val="18"/>
        </w:rPr>
        <w:br/>
        <w:t xml:space="preserve">  Nhom C: Macro regime  Nhom D: Sentiment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MODEL A       MODEL B        MODEL C        MODEL D</w:t>
      </w:r>
      <w:r>
        <w:rPr>
          <w:rFonts w:ascii="Consolas" w:cs="Consolas" w:eastAsia="Consolas" w:hAnsi="Consolas"/>
          <w:sz w:val="18"/>
          <w:szCs w:val="18"/>
        </w:rPr>
        <w:br/>
        <w:t xml:space="preserve">Technical     Order-flow     Macro regime   Sentiment</w:t>
      </w:r>
      <w:r>
        <w:rPr>
          <w:rFonts w:ascii="Consolas" w:cs="Consolas" w:eastAsia="Consolas" w:hAnsi="Consolas"/>
          <w:sz w:val="18"/>
          <w:szCs w:val="18"/>
        </w:rPr>
        <w:br/>
        <w:t xml:space="preserve">(XGBoost)     (LSTM/         (Rule + ML)    (NLP/</w:t>
      </w:r>
      <w:r>
        <w:rPr>
          <w:rFonts w:ascii="Consolas" w:cs="Consolas" w:eastAsia="Consolas" w:hAnsi="Consolas"/>
          <w:sz w:val="18"/>
          <w:szCs w:val="18"/>
        </w:rPr>
        <w:br/>
        <w:t xml:space="preserve">              Transformer)                  Transformer)</w:t>
      </w:r>
      <w:r>
        <w:rPr>
          <w:rFonts w:ascii="Consolas" w:cs="Consolas" w:eastAsia="Consolas" w:hAnsi="Consolas"/>
          <w:sz w:val="18"/>
          <w:szCs w:val="18"/>
        </w:rPr>
        <w:br/>
        <w:t xml:space="preserve">        \_______|______________|______________/</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META-MODEL (STACKING)</w:t>
      </w:r>
      <w:r>
        <w:rPr>
          <w:rFonts w:ascii="Consolas" w:cs="Consolas" w:eastAsia="Consolas" w:hAnsi="Consolas"/>
          <w:sz w:val="18"/>
          <w:szCs w:val="18"/>
        </w:rPr>
        <w:br/>
        <w:t xml:space="preserve">   -&gt; P(tang)/P(giam) theo tung khung</w:t>
      </w:r>
      <w:r>
        <w:rPr>
          <w:rFonts w:ascii="Consolas" w:cs="Consolas" w:eastAsia="Consolas" w:hAnsi="Consolas"/>
          <w:sz w:val="18"/>
          <w:szCs w:val="18"/>
        </w:rPr>
        <w:br/>
        <w:t xml:space="preserve">   -&gt; Confidence score (muc dong thuan)</w:t>
      </w:r>
      <w:r>
        <w:rPr>
          <w:rFonts w:ascii="Consolas" w:cs="Consolas" w:eastAsia="Consolas" w:hAnsi="Consolas"/>
          <w:sz w:val="18"/>
          <w:szCs w:val="18"/>
        </w:rPr>
        <w:br/>
        <w:t xml:space="preserve">   -&gt; Feature importance (SHAP)</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RISK &amp; DECISION LAYER</w:t>
      </w:r>
      <w:r>
        <w:rPr>
          <w:rFonts w:ascii="Consolas" w:cs="Consolas" w:eastAsia="Consolas" w:hAnsi="Consolas"/>
          <w:sz w:val="18"/>
          <w:szCs w:val="18"/>
        </w:rPr>
        <w:br/>
        <w:t xml:space="preserve">   -&gt; Nguong vao lenh theo edge</w:t>
      </w:r>
      <w:r>
        <w:rPr>
          <w:rFonts w:ascii="Consolas" w:cs="Consolas" w:eastAsia="Consolas" w:hAnsi="Consolas"/>
          <w:sz w:val="18"/>
          <w:szCs w:val="18"/>
        </w:rPr>
        <w:br/>
        <w:t xml:space="preserve">   -&gt; Position sizing (Kelly gioi han / ATR)</w:t>
      </w:r>
      <w:r>
        <w:rPr>
          <w:rFonts w:ascii="Consolas" w:cs="Consolas" w:eastAsia="Consolas" w:hAnsi="Consolas"/>
          <w:sz w:val="18"/>
          <w:szCs w:val="18"/>
        </w:rPr>
        <w:br/>
        <w:t xml:space="preserve">   -&gt; Stop-loss / Take-profit theo ATR</w:t>
      </w:r>
      <w:r>
        <w:rPr>
          <w:rFonts w:ascii="Consolas" w:cs="Consolas" w:eastAsia="Consolas" w:hAnsi="Consolas"/>
          <w:sz w:val="18"/>
          <w:szCs w:val="18"/>
        </w:rPr>
        <w:br/>
        <w:t xml:space="preserve">   -&gt; Canh bao khi cac tang du lieu mau thuan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DASHBOARD / UI</w:t>
      </w:r>
    </w:p>
    <w:p>
      <w:pPr>
        <w:pStyle w:val="Heading2"/>
        <w:spacing w:after="120" w:before="240"/>
      </w:pPr>
      <w:r>
        <w:t xml:space="preserve">3.2 Chi tiết các model con</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800"/>
        <w:gridCol w:w="2400"/>
      </w:tblGrid>
      <w:tr>
        <w:trPr>
          <w:tblHeader/>
        </w:trPr>
        <w:tc>
          <w:tcPr>
            <w:tcW w:type="dxa" w:w="1900"/>
            <w:shd w:fill="1F4E5F" w:color="auto" w:val="clear"/>
          </w:tcPr>
          <w:p>
            <w:r>
              <w:rPr>
                <w:rFonts w:ascii="Calibri" w:cs="Calibri" w:eastAsia="Calibri" w:hAnsi="Calibri"/>
                <w:b/>
                <w:bCs/>
                <w:color w:val="FFFFFF"/>
                <w:sz w:val="20"/>
                <w:szCs w:val="20"/>
              </w:rPr>
              <w:t xml:space="preserve">Model</w:t>
            </w:r>
          </w:p>
        </w:tc>
        <w:tc>
          <w:tcPr>
            <w:tcW w:type="dxa" w:w="3600"/>
            <w:shd w:fill="1F4E5F" w:color="auto" w:val="clear"/>
          </w:tcPr>
          <w:p>
            <w:r>
              <w:rPr>
                <w:rFonts w:ascii="Calibri" w:cs="Calibri" w:eastAsia="Calibri" w:hAnsi="Calibri"/>
                <w:b/>
                <w:bCs/>
                <w:color w:val="FFFFFF"/>
                <w:sz w:val="20"/>
                <w:szCs w:val="20"/>
              </w:rPr>
              <w:t xml:space="preserve">Input chính</w:t>
            </w:r>
          </w:p>
        </w:tc>
        <w:tc>
          <w:tcPr>
            <w:tcW w:type="dxa" w:w="2800"/>
            <w:shd w:fill="1F4E5F" w:color="auto" w:val="clear"/>
          </w:tcPr>
          <w:p>
            <w:r>
              <w:rPr>
                <w:rFonts w:ascii="Calibri" w:cs="Calibri" w:eastAsia="Calibri" w:hAnsi="Calibri"/>
                <w:b/>
                <w:bCs/>
                <w:color w:val="FFFFFF"/>
                <w:sz w:val="20"/>
                <w:szCs w:val="20"/>
              </w:rPr>
              <w:t xml:space="preserve">Loại mô hình gợi ý</w:t>
            </w:r>
          </w:p>
        </w:tc>
        <w:tc>
          <w:tcPr>
            <w:tcW w:type="dxa" w:w="2400"/>
            <w:shd w:fill="1F4E5F" w:color="auto" w:val="clear"/>
          </w:tcPr>
          <w:p>
            <w:r>
              <w:rPr>
                <w:rFonts w:ascii="Calibri" w:cs="Calibri" w:eastAsia="Calibri" w:hAnsi="Calibri"/>
                <w:b/>
                <w:bCs/>
                <w:color w:val="FFFFFF"/>
                <w:sz w:val="20"/>
                <w:szCs w:val="20"/>
              </w:rPr>
              <w:t xml:space="preserve">Output</w:t>
            </w:r>
          </w:p>
        </w:tc>
      </w:tr>
      <w:tr>
        <w:tc>
          <w:tcPr>
            <w:tcW w:type="dxa" w:w="1900"/>
          </w:tcPr>
          <w:p>
            <w:r>
              <w:rPr>
                <w:rFonts w:ascii="Calibri" w:cs="Calibri" w:eastAsia="Calibri" w:hAnsi="Calibri"/>
                <w:sz w:val="20"/>
                <w:szCs w:val="20"/>
              </w:rPr>
              <w:t xml:space="preserve">A — Technical</w:t>
            </w:r>
          </w:p>
        </w:tc>
        <w:tc>
          <w:tcPr>
            <w:tcW w:type="dxa" w:w="3600"/>
          </w:tcPr>
          <w:p>
            <w:r>
              <w:rPr>
                <w:rFonts w:ascii="Calibri" w:cs="Calibri" w:eastAsia="Calibri" w:hAnsi="Calibri"/>
                <w:sz w:val="20"/>
                <w:szCs w:val="20"/>
              </w:rPr>
              <w:t xml:space="preserve">RSI, MACD, BB, ATR, VWAP, Volume Profile, Ichimoku, Fibonacci đa khung</w:t>
            </w:r>
          </w:p>
        </w:tc>
        <w:tc>
          <w:tcPr>
            <w:tcW w:type="dxa" w:w="2800"/>
          </w:tcPr>
          <w:p>
            <w:r>
              <w:rPr>
                <w:rFonts w:ascii="Calibri" w:cs="Calibri" w:eastAsia="Calibri" w:hAnsi="Calibri"/>
                <w:sz w:val="20"/>
                <w:szCs w:val="20"/>
              </w:rPr>
              <w:t xml:space="preserve">Gradient Boosting (XGBoost/LightGBM)</w:t>
            </w:r>
          </w:p>
        </w:tc>
        <w:tc>
          <w:tcPr>
            <w:tcW w:type="dxa" w:w="2400"/>
          </w:tcPr>
          <w:p>
            <w:r>
              <w:rPr>
                <w:rFonts w:ascii="Calibri" w:cs="Calibri" w:eastAsia="Calibri" w:hAnsi="Calibri"/>
                <w:sz w:val="20"/>
                <w:szCs w:val="20"/>
              </w:rPr>
              <w:t xml:space="preserve">Xác suất tăng/giảm theo khung kỹ thuật</w:t>
            </w:r>
          </w:p>
        </w:tc>
      </w:tr>
      <w:tr>
        <w:tc>
          <w:tcPr>
            <w:tcW w:type="dxa" w:w="1900"/>
          </w:tcPr>
          <w:p>
            <w:r>
              <w:rPr>
                <w:rFonts w:ascii="Calibri" w:cs="Calibri" w:eastAsia="Calibri" w:hAnsi="Calibri"/>
                <w:sz w:val="20"/>
                <w:szCs w:val="20"/>
              </w:rPr>
              <w:t xml:space="preserve">B — Order flow</w:t>
            </w:r>
          </w:p>
        </w:tc>
        <w:tc>
          <w:tcPr>
            <w:tcW w:type="dxa" w:w="3600"/>
          </w:tcPr>
          <w:p>
            <w:r>
              <w:rPr>
                <w:rFonts w:ascii="Calibri" w:cs="Calibri" w:eastAsia="Calibri" w:hAnsi="Calibri"/>
                <w:sz w:val="20"/>
                <w:szCs w:val="20"/>
              </w:rPr>
              <w:t xml:space="preserve">CVD, OI delta, funding rate, liquidation heatmap, long/short ratio, depth imbalance</w:t>
            </w:r>
          </w:p>
        </w:tc>
        <w:tc>
          <w:tcPr>
            <w:tcW w:type="dxa" w:w="2800"/>
          </w:tcPr>
          <w:p>
            <w:r>
              <w:rPr>
                <w:rFonts w:ascii="Calibri" w:cs="Calibri" w:eastAsia="Calibri" w:hAnsi="Calibri"/>
                <w:sz w:val="20"/>
                <w:szCs w:val="20"/>
              </w:rPr>
              <w:t xml:space="preserve">LSTM/Transformer thời gian thực</w:t>
            </w:r>
          </w:p>
        </w:tc>
        <w:tc>
          <w:tcPr>
            <w:tcW w:type="dxa" w:w="2400"/>
          </w:tcPr>
          <w:p>
            <w:r>
              <w:rPr>
                <w:rFonts w:ascii="Calibri" w:cs="Calibri" w:eastAsia="Calibri" w:hAnsi="Calibri"/>
                <w:sz w:val="20"/>
                <w:szCs w:val="20"/>
              </w:rPr>
              <w:t xml:space="preserve">Xác suất theo dòng tiền thật</w:t>
            </w:r>
          </w:p>
        </w:tc>
      </w:tr>
      <w:tr>
        <w:tc>
          <w:tcPr>
            <w:tcW w:type="dxa" w:w="1900"/>
          </w:tcPr>
          <w:p>
            <w:r>
              <w:rPr>
                <w:rFonts w:ascii="Calibri" w:cs="Calibri" w:eastAsia="Calibri" w:hAnsi="Calibri"/>
                <w:sz w:val="20"/>
                <w:szCs w:val="20"/>
              </w:rPr>
              <w:t xml:space="preserve">C — Macro regime</w:t>
            </w:r>
          </w:p>
        </w:tc>
        <w:tc>
          <w:tcPr>
            <w:tcW w:type="dxa" w:w="3600"/>
          </w:tcPr>
          <w:p>
            <w:r>
              <w:rPr>
                <w:rFonts w:ascii="Calibri" w:cs="Calibri" w:eastAsia="Calibri" w:hAnsi="Calibri"/>
                <w:sz w:val="20"/>
                <w:szCs w:val="20"/>
              </w:rPr>
              <w:t xml:space="preserve">DXY, US10Y, kỳ vọng lãi suất, lịch CPI/NFP, Global M2</w:t>
            </w:r>
          </w:p>
        </w:tc>
        <w:tc>
          <w:tcPr>
            <w:tcW w:type="dxa" w:w="2800"/>
          </w:tcPr>
          <w:p>
            <w:r>
              <w:rPr>
                <w:rFonts w:ascii="Calibri" w:cs="Calibri" w:eastAsia="Calibri" w:hAnsi="Calibri"/>
                <w:sz w:val="20"/>
                <w:szCs w:val="20"/>
              </w:rPr>
              <w:t xml:space="preserve">Rule-based + Logistic Regression/Random Forest</w:t>
            </w:r>
          </w:p>
        </w:tc>
        <w:tc>
          <w:tcPr>
            <w:tcW w:type="dxa" w:w="2400"/>
          </w:tcPr>
          <w:p>
            <w:r>
              <w:rPr>
                <w:rFonts w:ascii="Calibri" w:cs="Calibri" w:eastAsia="Calibri" w:hAnsi="Calibri"/>
                <w:sz w:val="20"/>
                <w:szCs w:val="20"/>
              </w:rPr>
              <w:t xml:space="preserve">Regime risk-on/risk-off + độ mạnh</w:t>
            </w:r>
          </w:p>
        </w:tc>
      </w:tr>
      <w:tr>
        <w:tc>
          <w:tcPr>
            <w:tcW w:type="dxa" w:w="1900"/>
          </w:tcPr>
          <w:p>
            <w:r>
              <w:rPr>
                <w:rFonts w:ascii="Calibri" w:cs="Calibri" w:eastAsia="Calibri" w:hAnsi="Calibri"/>
                <w:sz w:val="20"/>
                <w:szCs w:val="20"/>
              </w:rPr>
              <w:t xml:space="preserve">D — Sentiment</w:t>
            </w:r>
          </w:p>
        </w:tc>
        <w:tc>
          <w:tcPr>
            <w:tcW w:type="dxa" w:w="3600"/>
          </w:tcPr>
          <w:p>
            <w:r>
              <w:rPr>
                <w:rFonts w:ascii="Calibri" w:cs="Calibri" w:eastAsia="Calibri" w:hAnsi="Calibri"/>
                <w:sz w:val="20"/>
                <w:szCs w:val="20"/>
              </w:rPr>
              <w:t xml:space="preserve">Tin tức, social, Fear &amp; Greed Index</w:t>
            </w:r>
          </w:p>
        </w:tc>
        <w:tc>
          <w:tcPr>
            <w:tcW w:type="dxa" w:w="2800"/>
          </w:tcPr>
          <w:p>
            <w:r>
              <w:rPr>
                <w:rFonts w:ascii="Calibri" w:cs="Calibri" w:eastAsia="Calibri" w:hAnsi="Calibri"/>
                <w:sz w:val="20"/>
                <w:szCs w:val="20"/>
              </w:rPr>
              <w:t xml:space="preserve">Transformer NLP (fine-tune tài chính)</w:t>
            </w:r>
          </w:p>
        </w:tc>
        <w:tc>
          <w:tcPr>
            <w:tcW w:type="dxa" w:w="2400"/>
          </w:tcPr>
          <w:p>
            <w:r>
              <w:rPr>
                <w:rFonts w:ascii="Calibri" w:cs="Calibri" w:eastAsia="Calibri" w:hAnsi="Calibri"/>
                <w:sz w:val="20"/>
                <w:szCs w:val="20"/>
              </w:rPr>
              <w:t xml:space="preserve">Điểm sentiment (-1 đến +1)</w:t>
            </w:r>
          </w:p>
        </w:tc>
      </w:tr>
    </w:tbl>
    <w:p>
      <w:pPr>
        <w:spacing w:after="200"/>
      </w:pPr>
    </w:p>
    <w:p>
      <w:pPr>
        <w:pStyle w:val="Heading2"/>
        <w:spacing w:after="120" w:before="240"/>
      </w:pPr>
      <w:r>
        <w:t xml:space="preserve">3.3 Meta-model &amp; Confidence score</w:t>
      </w:r>
    </w:p>
    <w:p>
      <w:pPr>
        <w:pStyle w:val="ListParagraph"/>
        <w:numPr>
          <w:ilvl w:val="0"/>
          <w:numId w:val="2"/>
        </w:numPr>
        <w:spacing w:after="80"/>
      </w:pPr>
      <w:r>
        <w:rPr>
          <w:rFonts w:ascii="Calibri" w:cs="Calibri" w:eastAsia="Calibri" w:hAnsi="Calibri"/>
          <w:sz w:val="22"/>
          <w:szCs w:val="22"/>
        </w:rPr>
        <w:t xml:space="preserve">Stacking: dùng output xác suất của 4 model con làm input cho model tổng (Logistic Regression/GBM nhẹ), học trọng số động theo bối cảnh.</w:t>
      </w:r>
    </w:p>
    <w:p>
      <w:pPr>
        <w:pStyle w:val="ListParagraph"/>
        <w:numPr>
          <w:ilvl w:val="0"/>
          <w:numId w:val="2"/>
        </w:numPr>
        <w:spacing w:after="80"/>
      </w:pPr>
      <w:r>
        <w:rPr>
          <w:rFonts w:ascii="Calibri" w:cs="Calibri" w:eastAsia="Calibri" w:hAnsi="Calibri"/>
          <w:sz w:val="22"/>
          <w:szCs w:val="22"/>
        </w:rPr>
        <w:t xml:space="preserve">Confidence score = mức đồng thuận giữa các model con (entropy thấp = đồng thuận cao).</w:t>
      </w:r>
    </w:p>
    <w:p>
      <w:pPr>
        <w:pStyle w:val="ListParagraph"/>
        <w:numPr>
          <w:ilvl w:val="0"/>
          <w:numId w:val="2"/>
        </w:numPr>
        <w:spacing w:after="80"/>
      </w:pPr>
      <w:r>
        <w:rPr>
          <w:rFonts w:ascii="Calibri" w:cs="Calibri" w:eastAsia="Calibri" w:hAnsi="Calibri"/>
          <w:sz w:val="22"/>
          <w:szCs w:val="22"/>
        </w:rPr>
        <w:t xml:space="preserve">Explainability: dùng SHAP values để hiển thị đóng góp của từng tầng dữ liệu vào dự báo cuối.</w:t>
      </w:r>
    </w:p>
    <w:p>
      <w:pPr>
        <w:pStyle w:val="Heading2"/>
        <w:spacing w:after="120" w:before="240"/>
      </w:pPr>
      <w:r>
        <w:t xml:space="preserve">3.4 Validation — bắt buộc, hay bị bỏ qua</w:t>
      </w:r>
    </w:p>
    <w:p>
      <w:pPr>
        <w:pStyle w:val="ListParagraph"/>
        <w:numPr>
          <w:ilvl w:val="0"/>
          <w:numId w:val="2"/>
        </w:numPr>
        <w:spacing w:after="80"/>
      </w:pPr>
      <w:r>
        <w:rPr>
          <w:rFonts w:ascii="Calibri" w:cs="Calibri" w:eastAsia="Calibri" w:hAnsi="Calibri"/>
          <w:sz w:val="22"/>
          <w:szCs w:val="22"/>
        </w:rPr>
        <w:t xml:space="preserve">Walk-forward backtesting — tránh look-ahead bias.</w:t>
      </w:r>
    </w:p>
    <w:p>
      <w:pPr>
        <w:pStyle w:val="ListParagraph"/>
        <w:numPr>
          <w:ilvl w:val="0"/>
          <w:numId w:val="2"/>
        </w:numPr>
        <w:spacing w:after="80"/>
      </w:pPr>
      <w:r>
        <w:rPr>
          <w:rFonts w:ascii="Calibri" w:cs="Calibri" w:eastAsia="Calibri" w:hAnsi="Calibri"/>
          <w:sz w:val="22"/>
          <w:szCs w:val="22"/>
        </w:rPr>
        <w:t xml:space="preserve">Out-of-sample test trên nhiều chế độ thị trường (uptrend, downtrend, sideway, high-vol event).</w:t>
      </w:r>
    </w:p>
    <w:p>
      <w:pPr>
        <w:pStyle w:val="ListParagraph"/>
        <w:numPr>
          <w:ilvl w:val="0"/>
          <w:numId w:val="2"/>
        </w:numPr>
        <w:spacing w:after="80"/>
      </w:pPr>
      <w:r>
        <w:rPr>
          <w:rFonts w:ascii="Calibri" w:cs="Calibri" w:eastAsia="Calibri" w:hAnsi="Calibri"/>
          <w:sz w:val="22"/>
          <w:szCs w:val="22"/>
        </w:rPr>
        <w:t xml:space="preserve">Theo dõi model drift, retrain định kỳ, so sánh hiệu năng live vs backtest.</w:t>
      </w:r>
    </w:p>
    <w:p>
      <w:pPr>
        <w:pStyle w:val="ListParagraph"/>
        <w:numPr>
          <w:ilvl w:val="0"/>
          <w:numId w:val="2"/>
        </w:numPr>
        <w:spacing w:after="80"/>
      </w:pPr>
      <w:r>
        <w:rPr>
          <w:rFonts w:ascii="Calibri" w:cs="Calibri" w:eastAsia="Calibri" w:hAnsi="Calibri"/>
          <w:sz w:val="22"/>
          <w:szCs w:val="22"/>
        </w:rPr>
        <w:t xml:space="preserve">Log mọi dự báo + kết quả thực tế để tính accuracy/Brier score liên tục.</w:t>
      </w:r>
    </w:p>
    <w:p>
      <w:pPr>
        <w:pStyle w:val="Heading2"/>
        <w:spacing w:after="120" w:before="240"/>
      </w:pPr>
      <w:r>
        <w:t xml:space="preserve">3.5 Định dạng output khuyến nghị cho người dùng</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Cap: BTC/USDT | Khung: 4H</w:t>
      </w:r>
      <w:r>
        <w:rPr>
          <w:rFonts w:ascii="Consolas" w:cs="Consolas" w:eastAsia="Consolas" w:hAnsi="Consolas"/>
          <w:sz w:val="18"/>
          <w:szCs w:val="18"/>
        </w:rPr>
        <w:br/>
        <w:t xml:space="preserve">-&gt; P(tang) = 61%   |  Confidence: Trung binh</w:t>
      </w:r>
      <w:r>
        <w:rPr>
          <w:rFonts w:ascii="Consolas" w:cs="Consolas" w:eastAsia="Consolas" w:hAnsi="Consolas"/>
          <w:sz w:val="18"/>
          <w:szCs w:val="18"/>
        </w:rPr>
        <w:br/>
        <w:t xml:space="preserve">Dong thuan:</w:t>
      </w:r>
      <w:r>
        <w:rPr>
          <w:rFonts w:ascii="Consolas" w:cs="Consolas" w:eastAsia="Consolas" w:hAnsi="Consolas"/>
          <w:sz w:val="18"/>
          <w:szCs w:val="18"/>
        </w:rPr>
        <w:br/>
        <w:t xml:space="preserve">  [+] Order flow: bullish (CVD +, OI tang cung gia)</w:t>
      </w:r>
      <w:r>
        <w:rPr>
          <w:rFonts w:ascii="Consolas" w:cs="Consolas" w:eastAsia="Consolas" w:hAnsi="Consolas"/>
          <w:sz w:val="18"/>
          <w:szCs w:val="18"/>
        </w:rPr>
        <w:br/>
        <w:t xml:space="preserve">  [+] Technical: bullish (RSI phan ky duong, gia tren EMA50)</w:t>
      </w:r>
      <w:r>
        <w:rPr>
          <w:rFonts w:ascii="Consolas" w:cs="Consolas" w:eastAsia="Consolas" w:hAnsi="Consolas"/>
          <w:sz w:val="18"/>
          <w:szCs w:val="18"/>
        </w:rPr>
        <w:br/>
        <w:t xml:space="preserve">  [-] Macro: risk-off nhe (DXY dang manh len)</w:t>
      </w:r>
      <w:r>
        <w:rPr>
          <w:rFonts w:ascii="Consolas" w:cs="Consolas" w:eastAsia="Consolas" w:hAnsi="Consolas"/>
          <w:sz w:val="18"/>
          <w:szCs w:val="18"/>
        </w:rPr>
        <w:br/>
        <w:t xml:space="preserve">  [ ] Sentiment: trung lap</w:t>
      </w:r>
      <w:r>
        <w:rPr>
          <w:rFonts w:ascii="Consolas" w:cs="Consolas" w:eastAsia="Consolas" w:hAnsi="Consolas"/>
          <w:sz w:val="18"/>
          <w:szCs w:val="18"/>
        </w:rPr>
        <w:br/>
        <w:t xml:space="preserve">-&gt; Khuyen nghi size: Giam 30% so voi chuan do co tin hieu mau thuan</w:t>
      </w:r>
    </w:p>
    <w:p>
      <w:pPr>
        <w:spacing w:after="140"/>
      </w:pPr>
      <w:r>
        <w:rPr>
          <w:rFonts w:ascii="Calibri" w:cs="Calibri" w:eastAsia="Calibri" w:hAnsi="Calibri"/>
          <w:sz w:val="22"/>
          <w:szCs w:val="22"/>
        </w:rPr>
        <w:t xml:space="preserve">Hiển thị dạng xác suất + mức đồng thuận/mâu thuẫn giữa các tầng trung thực hơn nhiều so với việc đưa ra một tín hiệu "TĂNG/GIẢM" chắc chắn.</w:t>
      </w:r>
    </w:p>
    <w:p>
      <w:pPr>
        <w:pStyle w:val="Heading1"/>
        <w:spacing w:after="150" w:before="300"/>
      </w:pPr>
      <w:r>
        <w:t xml:space="preserve">Phần 4 — Tích hợp Sóng Elliott (Elliott Wave) và Price Action</w:t>
      </w:r>
    </w:p>
    <w:p>
      <w:pPr>
        <w:spacing w:after="140"/>
      </w:pPr>
      <w:r>
        <w:rPr>
          <w:rFonts w:ascii="Calibri" w:cs="Calibri" w:eastAsia="Calibri" w:hAnsi="Calibri"/>
          <w:sz w:val="22"/>
          <w:szCs w:val="22"/>
        </w:rPr>
        <w:t xml:space="preserve">Hai lớp phân tích này mang tính chủ quan cao khi làm thủ công, nên khi đưa vào tool cần mô hình hóa thành quy tắc rõ ràng + xác suất, thay vì một "kết luận chắc chắn duy nhất".</w:t>
      </w:r>
    </w:p>
    <w:p>
      <w:pPr>
        <w:pStyle w:val="Heading2"/>
        <w:spacing w:after="120" w:before="240"/>
      </w:pPr>
      <w:r>
        <w:t xml:space="preserve">4.1 Model E — Elliott Wave Analyzer</w:t>
      </w:r>
    </w:p>
    <w:p>
      <w:pPr>
        <w:spacing w:after="140"/>
      </w:pPr>
      <w:r>
        <w:rPr>
          <w:rFonts w:ascii="Calibri" w:cs="Calibri" w:eastAsia="Calibri" w:hAnsi="Calibri"/>
          <w:sz w:val="22"/>
          <w:szCs w:val="22"/>
        </w:rPr>
        <w:t xml:space="preserve">Input: pivot points (từ ZigZag/swing detection theo % hoặc ATR-based threshold, điều chỉnh theo từng khung), tỷ lệ Fibonacci giữa các sóng.</w:t>
      </w:r>
    </w:p>
    <w:p>
      <w:pPr>
        <w:spacing w:after="140"/>
      </w:pPr>
      <w:r>
        <w:rPr>
          <w:rFonts w:ascii="Calibri" w:cs="Calibri" w:eastAsia="Calibri" w:hAnsi="Calibri"/>
          <w:sz w:val="22"/>
          <w:szCs w:val="22"/>
        </w:rPr>
        <w:t xml:space="preserve">Phương pháp xử lý:</w:t>
      </w:r>
    </w:p>
    <w:p>
      <w:pPr>
        <w:pStyle w:val="ListParagraph"/>
        <w:numPr>
          <w:ilvl w:val="0"/>
          <w:numId w:val="2"/>
        </w:numPr>
        <w:spacing w:after="80"/>
      </w:pPr>
      <w:r>
        <w:rPr>
          <w:rFonts w:ascii="Calibri" w:cs="Calibri" w:eastAsia="Calibri" w:hAnsi="Calibri"/>
          <w:sz w:val="22"/>
          <w:szCs w:val="22"/>
        </w:rPr>
        <w:t xml:space="preserve">Xác định swing points bằng bộ lọc ZigZag, ngưỡng lọc nhiễu điều chỉnh theo khung thời gian (khung càng nhỏ, ngưỡng % càng nhỏ).</w:t>
      </w:r>
    </w:p>
    <w:p>
      <w:pPr>
        <w:pStyle w:val="ListParagraph"/>
        <w:numPr>
          <w:ilvl w:val="0"/>
          <w:numId w:val="2"/>
        </w:numPr>
        <w:spacing w:after="80"/>
      </w:pPr>
      <w:r>
        <w:rPr>
          <w:rFonts w:ascii="Calibri" w:cs="Calibri" w:eastAsia="Calibri" w:hAnsi="Calibri"/>
          <w:sz w:val="22"/>
          <w:szCs w:val="22"/>
        </w:rPr>
        <w:t xml:space="preserve">Gắn nhãn sóng theo quy tắc cứng (hard rules) của Elliott: sóng 2 không retrace quá 100% sóng 1; sóng 3 không phải sóng ngắn nhất trong 3 sóng đẩy (1-3-5); sóng 4 không chồng lấn vùng giá sóng 1 (trừ dạng diagonal).</w:t>
      </w:r>
    </w:p>
    <w:p>
      <w:pPr>
        <w:pStyle w:val="ListParagraph"/>
        <w:numPr>
          <w:ilvl w:val="0"/>
          <w:numId w:val="2"/>
        </w:numPr>
        <w:spacing w:after="80"/>
      </w:pPr>
      <w:r>
        <w:rPr>
          <w:rFonts w:ascii="Calibri" w:cs="Calibri" w:eastAsia="Calibri" w:hAnsi="Calibri"/>
          <w:sz w:val="22"/>
          <w:szCs w:val="22"/>
        </w:rPr>
        <w:t xml:space="preserve">Áp dụng hướng dẫn mềm (soft guideline): alternation giữa sóng 2 và 4, tỷ lệ Fibonacci phổ biến (sóng 3 ≈ 1.618 sóng 1, sóng 4 retrace ≈ 38.2% sóng 3...).</w:t>
      </w:r>
    </w:p>
    <w:p>
      <w:pPr>
        <w:pStyle w:val="ListParagraph"/>
        <w:numPr>
          <w:ilvl w:val="0"/>
          <w:numId w:val="2"/>
        </w:numPr>
        <w:spacing w:after="80"/>
      </w:pPr>
      <w:r>
        <w:rPr>
          <w:rFonts w:ascii="Calibri" w:cs="Calibri" w:eastAsia="Calibri" w:hAnsi="Calibri"/>
          <w:sz w:val="22"/>
          <w:szCs w:val="22"/>
        </w:rPr>
        <w:t xml:space="preserve">Sinh nhiều wave count khả dĩ, xếp hạng theo % tuân thủ rule + guideline — không ép chọn 1 count duy nhất.</w:t>
      </w:r>
    </w:p>
    <w:p>
      <w:pPr>
        <w:pStyle w:val="ListParagraph"/>
        <w:numPr>
          <w:ilvl w:val="0"/>
          <w:numId w:val="2"/>
        </w:numPr>
        <w:spacing w:after="80"/>
      </w:pPr>
      <w:r>
        <w:rPr>
          <w:rFonts w:ascii="Calibri" w:cs="Calibri" w:eastAsia="Calibri" w:hAnsi="Calibri"/>
          <w:sz w:val="22"/>
          <w:szCs w:val="22"/>
        </w:rPr>
        <w:t xml:space="preserve">Output: Primary count + Alternate count, kèm invalidation level (mức giá nếu bị phá vỡ thì loại bỏ count đó).</w:t>
      </w:r>
    </w:p>
    <w:p>
      <w:pPr>
        <w:pBdr>
          <w:left w:val="single" w:color="999999" w:sz="12" w:space="8"/>
        </w:pBdr>
        <w:spacing w:after="160"/>
      </w:pPr>
      <w:r>
        <w:rPr>
          <w:rFonts w:ascii="Calibri" w:cs="Calibri" w:eastAsia="Calibri" w:hAnsi="Calibri"/>
          <w:i/>
          <w:iCs/>
          <w:color w:val="555555"/>
          <w:sz w:val="20"/>
          <w:szCs w:val="20"/>
        </w:rPr>
        <w:t xml:space="preserve">Đếm sóng Elliott vốn có nhiều cách đếm hợp lệ cùng lúc — mô hình hóa giúp giảm thiên kiến chủ quan nhưng không loại bỏ hoàn toàn tính đa nghĩa của phương pháp này.</w:t>
      </w:r>
    </w:p>
    <w:p>
      <w:pPr>
        <w:pStyle w:val="Heading2"/>
        <w:spacing w:after="120" w:before="240"/>
      </w:pPr>
      <w:r>
        <w:t xml:space="preserve">4.2 Model F — Price Action Analyzer</w:t>
      </w:r>
    </w:p>
    <w:p>
      <w:pPr>
        <w:pStyle w:val="ListParagraph"/>
        <w:numPr>
          <w:ilvl w:val="0"/>
          <w:numId w:val="2"/>
        </w:numPr>
        <w:spacing w:after="80"/>
      </w:pPr>
      <w:r>
        <w:rPr>
          <w:rFonts w:ascii="Calibri" w:cs="Calibri" w:eastAsia="Calibri" w:hAnsi="Calibri"/>
          <w:sz w:val="22"/>
          <w:szCs w:val="22"/>
        </w:rPr>
        <w:t xml:space="preserve">Market structure: xác định chuỗi đỉnh/đáy tăng dần (HH/HL) hay giảm dần (LH/LL); phát hiện Break of Structure (BOS) và Change of Character (CHoCH).</w:t>
      </w:r>
    </w:p>
    <w:p>
      <w:pPr>
        <w:pStyle w:val="ListParagraph"/>
        <w:numPr>
          <w:ilvl w:val="0"/>
          <w:numId w:val="2"/>
        </w:numPr>
        <w:spacing w:after="80"/>
      </w:pPr>
      <w:r>
        <w:rPr>
          <w:rFonts w:ascii="Calibri" w:cs="Calibri" w:eastAsia="Calibri" w:hAnsi="Calibri"/>
          <w:sz w:val="22"/>
          <w:szCs w:val="22"/>
        </w:rPr>
        <w:t xml:space="preserve">Candlestick pattern tại vùng giá quan trọng: pin bar, engulfing, inside bar, doji — chỉ tính trọng số cao khi xảy ra tại vùng supply/demand hoặc hợp lưu với Fibonacci/wave count, không tính đơn lẻ.</w:t>
      </w:r>
    </w:p>
    <w:p>
      <w:pPr>
        <w:pStyle w:val="ListParagraph"/>
        <w:numPr>
          <w:ilvl w:val="0"/>
          <w:numId w:val="2"/>
        </w:numPr>
        <w:spacing w:after="80"/>
      </w:pPr>
      <w:r>
        <w:rPr>
          <w:rFonts w:ascii="Calibri" w:cs="Calibri" w:eastAsia="Calibri" w:hAnsi="Calibri"/>
          <w:sz w:val="22"/>
          <w:szCs w:val="22"/>
        </w:rPr>
        <w:t xml:space="preserve">Supply/demand zone: vùng giá từng có phản ứng mạnh trong quá khứ (nến động lượng lớn rời khỏi vùng).</w:t>
      </w:r>
    </w:p>
    <w:p>
      <w:pPr>
        <w:pStyle w:val="ListParagraph"/>
        <w:numPr>
          <w:ilvl w:val="0"/>
          <w:numId w:val="2"/>
        </w:numPr>
        <w:spacing w:after="80"/>
      </w:pPr>
      <w:r>
        <w:rPr>
          <w:rFonts w:ascii="Calibri" w:cs="Calibri" w:eastAsia="Calibri" w:hAnsi="Calibri"/>
          <w:sz w:val="22"/>
          <w:szCs w:val="22"/>
        </w:rPr>
        <w:t xml:space="preserve">Output: điểm price-action bias (bullish/bearish/neutral) kèm vùng entry và mức invalidation cụ thể.</w:t>
      </w:r>
    </w:p>
    <w:p>
      <w:pPr>
        <w:pStyle w:val="Heading2"/>
        <w:spacing w:after="120" w:before="240"/>
      </w:pPr>
      <w:r>
        <w:t xml:space="preserve">4.3 Ánh xạ Elliott Wave + Price Action theo từng khung thời gian</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000"/>
        <w:gridCol w:w="3200"/>
      </w:tblGrid>
      <w:tr>
        <w:trPr>
          <w:tblHeader/>
        </w:trPr>
        <w:tc>
          <w:tcPr>
            <w:tcW w:type="dxa" w:w="1800"/>
            <w:shd w:fill="1F4E5F" w:color="auto" w:val="clear"/>
          </w:tcPr>
          <w:p>
            <w:r>
              <w:rPr>
                <w:rFonts w:ascii="Calibri" w:cs="Calibri" w:eastAsia="Calibri" w:hAnsi="Calibri"/>
                <w:b/>
                <w:bCs/>
                <w:color w:val="FFFFFF"/>
                <w:sz w:val="20"/>
                <w:szCs w:val="20"/>
              </w:rPr>
              <w:t xml:space="preserve">Khung</w:t>
            </w:r>
          </w:p>
        </w:tc>
        <w:tc>
          <w:tcPr>
            <w:tcW w:type="dxa" w:w="2700"/>
            <w:shd w:fill="1F4E5F" w:color="auto" w:val="clear"/>
          </w:tcPr>
          <w:p>
            <w:r>
              <w:rPr>
                <w:rFonts w:ascii="Calibri" w:cs="Calibri" w:eastAsia="Calibri" w:hAnsi="Calibri"/>
                <w:b/>
                <w:bCs/>
                <w:color w:val="FFFFFF"/>
                <w:sz w:val="20"/>
                <w:szCs w:val="20"/>
              </w:rPr>
              <w:t xml:space="preserve">Vai trò trong hệ thống</w:t>
            </w:r>
          </w:p>
        </w:tc>
        <w:tc>
          <w:tcPr>
            <w:tcW w:type="dxa" w:w="3000"/>
            <w:shd w:fill="1F4E5F" w:color="auto" w:val="clear"/>
          </w:tcPr>
          <w:p>
            <w:r>
              <w:rPr>
                <w:rFonts w:ascii="Calibri" w:cs="Calibri" w:eastAsia="Calibri" w:hAnsi="Calibri"/>
                <w:b/>
                <w:bCs/>
                <w:color w:val="FFFFFF"/>
                <w:sz w:val="20"/>
                <w:szCs w:val="20"/>
              </w:rPr>
              <w:t xml:space="preserve">Elliott Wave (degree)</w:t>
            </w:r>
          </w:p>
        </w:tc>
        <w:tc>
          <w:tcPr>
            <w:tcW w:type="dxa" w:w="3200"/>
            <w:shd w:fill="1F4E5F" w:color="auto" w:val="clear"/>
          </w:tcPr>
          <w:p>
            <w:r>
              <w:rPr>
                <w:rFonts w:ascii="Calibri" w:cs="Calibri" w:eastAsia="Calibri" w:hAnsi="Calibri"/>
                <w:b/>
                <w:bCs/>
                <w:color w:val="FFFFFF"/>
                <w:sz w:val="20"/>
                <w:szCs w:val="20"/>
              </w:rPr>
              <w:t xml:space="preserve">Price Action tập trung</w:t>
            </w:r>
          </w:p>
        </w:tc>
      </w:tr>
      <w:tr>
        <w:tc>
          <w:tcPr>
            <w:tcW w:type="dxa" w:w="1800"/>
          </w:tcPr>
          <w:p>
            <w:r>
              <w:rPr>
                <w:rFonts w:ascii="Calibri" w:cs="Calibri" w:eastAsia="Calibri" w:hAnsi="Calibri"/>
                <w:sz w:val="20"/>
                <w:szCs w:val="20"/>
              </w:rPr>
              <w:t xml:space="preserve">Weekly/Monthly</w:t>
            </w:r>
          </w:p>
        </w:tc>
        <w:tc>
          <w:tcPr>
            <w:tcW w:type="dxa" w:w="2700"/>
          </w:tcPr>
          <w:p>
            <w:r>
              <w:rPr>
                <w:rFonts w:ascii="Calibri" w:cs="Calibri" w:eastAsia="Calibri" w:hAnsi="Calibri"/>
                <w:sz w:val="20"/>
                <w:szCs w:val="20"/>
              </w:rPr>
              <w:t xml:space="preserve">Bối cảnh xu hướng lớn</w:t>
            </w:r>
          </w:p>
        </w:tc>
        <w:tc>
          <w:tcPr>
            <w:tcW w:type="dxa" w:w="3000"/>
          </w:tcPr>
          <w:p>
            <w:r>
              <w:rPr>
                <w:rFonts w:ascii="Calibri" w:cs="Calibri" w:eastAsia="Calibri" w:hAnsi="Calibri"/>
                <w:sz w:val="20"/>
                <w:szCs w:val="20"/>
              </w:rPr>
              <w:t xml:space="preserve">Primary / Cycle</w:t>
            </w:r>
          </w:p>
        </w:tc>
        <w:tc>
          <w:tcPr>
            <w:tcW w:type="dxa" w:w="3200"/>
          </w:tcPr>
          <w:p>
            <w:r>
              <w:rPr>
                <w:rFonts w:ascii="Calibri" w:cs="Calibri" w:eastAsia="Calibri" w:hAnsi="Calibri"/>
                <w:sz w:val="20"/>
                <w:szCs w:val="20"/>
              </w:rPr>
              <w:t xml:space="preserve">Cấu trúc HH-HL dài hạn</w:t>
            </w:r>
          </w:p>
        </w:tc>
      </w:tr>
      <w:tr>
        <w:tc>
          <w:tcPr>
            <w:tcW w:type="dxa" w:w="1800"/>
          </w:tcPr>
          <w:p>
            <w:r>
              <w:rPr>
                <w:rFonts w:ascii="Calibri" w:cs="Calibri" w:eastAsia="Calibri" w:hAnsi="Calibri"/>
                <w:sz w:val="20"/>
                <w:szCs w:val="20"/>
              </w:rPr>
              <w:t xml:space="preserve">Daily</w:t>
            </w:r>
          </w:p>
        </w:tc>
        <w:tc>
          <w:tcPr>
            <w:tcW w:type="dxa" w:w="2700"/>
          </w:tcPr>
          <w:p>
            <w:r>
              <w:rPr>
                <w:rFonts w:ascii="Calibri" w:cs="Calibri" w:eastAsia="Calibri" w:hAnsi="Calibri"/>
                <w:sz w:val="20"/>
                <w:szCs w:val="20"/>
              </w:rPr>
              <w:t xml:space="preserve">Xác nhận thiên hướng (bias)</w:t>
            </w:r>
          </w:p>
        </w:tc>
        <w:tc>
          <w:tcPr>
            <w:tcW w:type="dxa" w:w="3000"/>
          </w:tcPr>
          <w:p>
            <w:r>
              <w:rPr>
                <w:rFonts w:ascii="Calibri" w:cs="Calibri" w:eastAsia="Calibri" w:hAnsi="Calibri"/>
                <w:sz w:val="20"/>
                <w:szCs w:val="20"/>
              </w:rPr>
              <w:t xml:space="preserve">Intermediate</w:t>
            </w:r>
          </w:p>
        </w:tc>
        <w:tc>
          <w:tcPr>
            <w:tcW w:type="dxa" w:w="3200"/>
          </w:tcPr>
          <w:p>
            <w:r>
              <w:rPr>
                <w:rFonts w:ascii="Calibri" w:cs="Calibri" w:eastAsia="Calibri" w:hAnsi="Calibri"/>
                <w:sz w:val="20"/>
                <w:szCs w:val="20"/>
              </w:rPr>
              <w:t xml:space="preserve">BOS/CHoCH daily, vùng supply/demand lớn</w:t>
            </w:r>
          </w:p>
        </w:tc>
      </w:tr>
      <w:tr>
        <w:tc>
          <w:tcPr>
            <w:tcW w:type="dxa" w:w="1800"/>
          </w:tcPr>
          <w:p>
            <w:r>
              <w:rPr>
                <w:rFonts w:ascii="Calibri" w:cs="Calibri" w:eastAsia="Calibri" w:hAnsi="Calibri"/>
                <w:sz w:val="20"/>
                <w:szCs w:val="20"/>
              </w:rPr>
              <w:t xml:space="preserve">4H</w:t>
            </w:r>
          </w:p>
        </w:tc>
        <w:tc>
          <w:tcPr>
            <w:tcW w:type="dxa" w:w="2700"/>
          </w:tcPr>
          <w:p>
            <w:r>
              <w:rPr>
                <w:rFonts w:ascii="Calibri" w:cs="Calibri" w:eastAsia="Calibri" w:hAnsi="Calibri"/>
                <w:sz w:val="20"/>
                <w:szCs w:val="20"/>
              </w:rPr>
              <w:t xml:space="preserve">Xác định vùng vào lệnh tiềm năng</w:t>
            </w:r>
          </w:p>
        </w:tc>
        <w:tc>
          <w:tcPr>
            <w:tcW w:type="dxa" w:w="3000"/>
          </w:tcPr>
          <w:p>
            <w:r>
              <w:rPr>
                <w:rFonts w:ascii="Calibri" w:cs="Calibri" w:eastAsia="Calibri" w:hAnsi="Calibri"/>
                <w:sz w:val="20"/>
                <w:szCs w:val="20"/>
              </w:rPr>
              <w:t xml:space="preserve">Minor</w:t>
            </w:r>
          </w:p>
        </w:tc>
        <w:tc>
          <w:tcPr>
            <w:tcW w:type="dxa" w:w="3200"/>
          </w:tcPr>
          <w:p>
            <w:r>
              <w:rPr>
                <w:rFonts w:ascii="Calibri" w:cs="Calibri" w:eastAsia="Calibri" w:hAnsi="Calibri"/>
                <w:sz w:val="20"/>
                <w:szCs w:val="20"/>
              </w:rPr>
              <w:t xml:space="preserve">Cấu trúc nội bộ sóng, pullback</w:t>
            </w:r>
          </w:p>
        </w:tc>
      </w:tr>
      <w:tr>
        <w:tc>
          <w:tcPr>
            <w:tcW w:type="dxa" w:w="1800"/>
          </w:tcPr>
          <w:p>
            <w:r>
              <w:rPr>
                <w:rFonts w:ascii="Calibri" w:cs="Calibri" w:eastAsia="Calibri" w:hAnsi="Calibri"/>
                <w:sz w:val="20"/>
                <w:szCs w:val="20"/>
              </w:rPr>
              <w:t xml:space="preserve">1H</w:t>
            </w:r>
          </w:p>
        </w:tc>
        <w:tc>
          <w:tcPr>
            <w:tcW w:type="dxa" w:w="2700"/>
          </w:tcPr>
          <w:p>
            <w:r>
              <w:rPr>
                <w:rFonts w:ascii="Calibri" w:cs="Calibri" w:eastAsia="Calibri" w:hAnsi="Calibri"/>
                <w:sz w:val="20"/>
                <w:szCs w:val="20"/>
              </w:rPr>
              <w:t xml:space="preserve">Tinh chỉnh entry zone</w:t>
            </w:r>
          </w:p>
        </w:tc>
        <w:tc>
          <w:tcPr>
            <w:tcW w:type="dxa" w:w="3000"/>
          </w:tcPr>
          <w:p>
            <w:r>
              <w:rPr>
                <w:rFonts w:ascii="Calibri" w:cs="Calibri" w:eastAsia="Calibri" w:hAnsi="Calibri"/>
                <w:sz w:val="20"/>
                <w:szCs w:val="20"/>
              </w:rPr>
              <w:t xml:space="preserve">Minute</w:t>
            </w:r>
          </w:p>
        </w:tc>
        <w:tc>
          <w:tcPr>
            <w:tcW w:type="dxa" w:w="3200"/>
          </w:tcPr>
          <w:p>
            <w:r>
              <w:rPr>
                <w:rFonts w:ascii="Calibri" w:cs="Calibri" w:eastAsia="Calibri" w:hAnsi="Calibri"/>
                <w:sz w:val="20"/>
                <w:szCs w:val="20"/>
              </w:rPr>
              <w:t xml:space="preserve">Pin bar/engulfing tại vùng hợp lưu</w:t>
            </w:r>
          </w:p>
        </w:tc>
      </w:tr>
      <w:tr>
        <w:tc>
          <w:tcPr>
            <w:tcW w:type="dxa" w:w="1800"/>
          </w:tcPr>
          <w:p>
            <w:r>
              <w:rPr>
                <w:rFonts w:ascii="Calibri" w:cs="Calibri" w:eastAsia="Calibri" w:hAnsi="Calibri"/>
                <w:sz w:val="20"/>
                <w:szCs w:val="20"/>
              </w:rPr>
              <w:t xml:space="preserve">15m</w:t>
            </w:r>
          </w:p>
        </w:tc>
        <w:tc>
          <w:tcPr>
            <w:tcW w:type="dxa" w:w="2700"/>
          </w:tcPr>
          <w:p>
            <w:r>
              <w:rPr>
                <w:rFonts w:ascii="Calibri" w:cs="Calibri" w:eastAsia="Calibri" w:hAnsi="Calibri"/>
                <w:sz w:val="20"/>
                <w:szCs w:val="20"/>
              </w:rPr>
              <w:t xml:space="preserve">Timing entry cụ thể</w:t>
            </w:r>
          </w:p>
        </w:tc>
        <w:tc>
          <w:tcPr>
            <w:tcW w:type="dxa" w:w="3000"/>
          </w:tcPr>
          <w:p>
            <w:r>
              <w:rPr>
                <w:rFonts w:ascii="Calibri" w:cs="Calibri" w:eastAsia="Calibri" w:hAnsi="Calibri"/>
                <w:sz w:val="20"/>
                <w:szCs w:val="20"/>
              </w:rPr>
              <w:t xml:space="preserve">Minuette (nếu rõ, nếu không thì bỏ qua)</w:t>
            </w:r>
          </w:p>
        </w:tc>
        <w:tc>
          <w:tcPr>
            <w:tcW w:type="dxa" w:w="3200"/>
          </w:tcPr>
          <w:p>
            <w:r>
              <w:rPr>
                <w:rFonts w:ascii="Calibri" w:cs="Calibri" w:eastAsia="Calibri" w:hAnsi="Calibri"/>
                <w:sz w:val="20"/>
                <w:szCs w:val="20"/>
              </w:rPr>
              <w:t xml:space="preserve">Candlestick trigger đúng vùng</w:t>
            </w:r>
          </w:p>
        </w:tc>
      </w:tr>
      <w:tr>
        <w:tc>
          <w:tcPr>
            <w:tcW w:type="dxa" w:w="1800"/>
          </w:tcPr>
          <w:p>
            <w:r>
              <w:rPr>
                <w:rFonts w:ascii="Calibri" w:cs="Calibri" w:eastAsia="Calibri" w:hAnsi="Calibri"/>
                <w:sz w:val="20"/>
                <w:szCs w:val="20"/>
              </w:rPr>
              <w:t xml:space="preserve">5m và nhỏ hơn</w:t>
            </w:r>
          </w:p>
        </w:tc>
        <w:tc>
          <w:tcPr>
            <w:tcW w:type="dxa" w:w="2700"/>
          </w:tcPr>
          <w:p>
            <w:r>
              <w:rPr>
                <w:rFonts w:ascii="Calibri" w:cs="Calibri" w:eastAsia="Calibri" w:hAnsi="Calibri"/>
                <w:sz w:val="20"/>
                <w:szCs w:val="20"/>
              </w:rPr>
              <w:t xml:space="preserve">Thực thi lệnh</w:t>
            </w:r>
          </w:p>
        </w:tc>
        <w:tc>
          <w:tcPr>
            <w:tcW w:type="dxa" w:w="3000"/>
          </w:tcPr>
          <w:p>
            <w:r>
              <w:rPr>
                <w:rFonts w:ascii="Calibri" w:cs="Calibri" w:eastAsia="Calibri" w:hAnsi="Calibri"/>
                <w:sz w:val="20"/>
                <w:szCs w:val="20"/>
              </w:rPr>
              <w:t xml:space="preserve">Không đếm sóng (nhiễu quá cao)</w:t>
            </w:r>
          </w:p>
        </w:tc>
        <w:tc>
          <w:tcPr>
            <w:tcW w:type="dxa" w:w="3200"/>
          </w:tcPr>
          <w:p>
            <w:r>
              <w:rPr>
                <w:rFonts w:ascii="Calibri" w:cs="Calibri" w:eastAsia="Calibri" w:hAnsi="Calibri"/>
                <w:sz w:val="20"/>
                <w:szCs w:val="20"/>
              </w:rPr>
              <w:t xml:space="preserve">BOS nhỏ xác nhận momentum tức thời</w:t>
            </w:r>
          </w:p>
        </w:tc>
      </w:tr>
    </w:tbl>
    <w:p>
      <w:pPr>
        <w:spacing w:after="100"/>
      </w:pPr>
    </w:p>
    <w:p>
      <w:pPr>
        <w:pBdr>
          <w:left w:val="single" w:color="999999" w:sz="12" w:space="8"/>
        </w:pBdr>
        <w:spacing w:after="160"/>
      </w:pPr>
      <w:r>
        <w:rPr>
          <w:rFonts w:ascii="Calibri" w:cs="Calibri" w:eastAsia="Calibri" w:hAnsi="Calibri"/>
          <w:i/>
          <w:iCs/>
          <w:color w:val="555555"/>
          <w:sz w:val="20"/>
          <w:szCs w:val="20"/>
        </w:rPr>
        <w:t xml:space="preserve">Ở khung 5 phút trở xuống, đếm sóng Elliott thường không đáng tin do nhiễu quá lớn — khuyến nghị KHÔNG áp Elliott ở khung này, chỉ dùng price action + order flow (Model B) để timing.</w:t>
      </w:r>
    </w:p>
    <w:p>
      <w:pPr>
        <w:pStyle w:val="Heading1"/>
        <w:spacing w:after="150" w:before="300"/>
      </w:pPr>
      <w:r>
        <w:t xml:space="preserve">Phần 5 — Quy trình phân tích kiểu "nhóm phân tích thị trường" (Lead / Phản biện / Kết luận)</w:t>
      </w:r>
    </w:p>
    <w:p>
      <w:pPr>
        <w:spacing w:after="140"/>
      </w:pPr>
      <w:r>
        <w:rPr>
          <w:rFonts w:ascii="Calibri" w:cs="Calibri" w:eastAsia="Calibri" w:hAnsi="Calibri"/>
          <w:sz w:val="22"/>
          <w:szCs w:val="22"/>
        </w:rPr>
        <w:t xml:space="preserve">Mô phỏng quy trình investment committee của các bàn phân tích chuyên nghiệp: tách 3 vai trò AI riêng biệt (không dùng chung 1 model) để tránh thiên kiến xác nhận (confirmation bias) khi tổng hợp tín hiệu.</w:t>
      </w:r>
    </w:p>
    <w:p>
      <w:pPr>
        <w:pStyle w:val="Heading2"/>
        <w:spacing w:after="120" w:before="240"/>
      </w:pPr>
      <w:r>
        <w:t xml:space="preserve">5.1 Vai trò 1 — Lead Analyst (Nhận định chính)</w:t>
      </w:r>
    </w:p>
    <w:p>
      <w:pPr>
        <w:pStyle w:val="ListParagraph"/>
        <w:numPr>
          <w:ilvl w:val="0"/>
          <w:numId w:val="2"/>
        </w:numPr>
        <w:spacing w:after="80"/>
      </w:pPr>
      <w:r>
        <w:rPr>
          <w:rFonts w:ascii="Calibri" w:cs="Calibri" w:eastAsia="Calibri" w:hAnsi="Calibri"/>
          <w:sz w:val="22"/>
          <w:szCs w:val="22"/>
        </w:rPr>
        <w:t xml:space="preserve">Tổng hợp toàn bộ output từ Model A–F (technical, order flow, macro, sentiment, Elliott, price action) theo từng khung thời gian.</w:t>
      </w:r>
    </w:p>
    <w:p>
      <w:pPr>
        <w:pStyle w:val="ListParagraph"/>
        <w:numPr>
          <w:ilvl w:val="0"/>
          <w:numId w:val="2"/>
        </w:numPr>
        <w:spacing w:after="80"/>
      </w:pPr>
      <w:r>
        <w:rPr>
          <w:rFonts w:ascii="Calibri" w:cs="Calibri" w:eastAsia="Calibri" w:hAnsi="Calibri"/>
          <w:sz w:val="22"/>
          <w:szCs w:val="22"/>
        </w:rPr>
        <w:t xml:space="preserve">Đưa ra nhận định chính: xu hướng, wave count ưu tiên, vùng entry, target, mức dừng lỗ.</w:t>
      </w:r>
    </w:p>
    <w:p>
      <w:pPr>
        <w:pStyle w:val="Heading2"/>
        <w:spacing w:after="120" w:before="240"/>
      </w:pPr>
      <w:r>
        <w:t xml:space="preserve">5.2 Vai trò 2 — Phản biện (Red Team / Devil's Advocate)</w:t>
      </w:r>
    </w:p>
    <w:p>
      <w:pPr>
        <w:spacing w:after="140"/>
      </w:pPr>
      <w:r>
        <w:rPr>
          <w:rFonts w:ascii="Calibri" w:cs="Calibri" w:eastAsia="Calibri" w:hAnsi="Calibri"/>
          <w:sz w:val="22"/>
          <w:szCs w:val="22"/>
        </w:rPr>
        <w:t xml:space="preserve">Một agent được thiết kế riêng với nhiệm vụ chủ động tìm lý do bác bỏ thesis của Lead Analyst, không phải xác nhận lại:</w:t>
      </w:r>
    </w:p>
    <w:p>
      <w:pPr>
        <w:pStyle w:val="ListParagraph"/>
        <w:numPr>
          <w:ilvl w:val="0"/>
          <w:numId w:val="2"/>
        </w:numPr>
        <w:spacing w:after="80"/>
      </w:pPr>
      <w:r>
        <w:rPr>
          <w:rFonts w:ascii="Calibri" w:cs="Calibri" w:eastAsia="Calibri" w:hAnsi="Calibri"/>
          <w:sz w:val="22"/>
          <w:szCs w:val="22"/>
        </w:rPr>
        <w:t xml:space="preserve">Đưa ra wave count thay thế hợp lý không kém (alternate count).</w:t>
      </w:r>
    </w:p>
    <w:p>
      <w:pPr>
        <w:pStyle w:val="ListParagraph"/>
        <w:numPr>
          <w:ilvl w:val="0"/>
          <w:numId w:val="2"/>
        </w:numPr>
        <w:spacing w:after="80"/>
      </w:pPr>
      <w:r>
        <w:rPr>
          <w:rFonts w:ascii="Calibri" w:cs="Calibri" w:eastAsia="Calibri" w:hAnsi="Calibri"/>
          <w:sz w:val="22"/>
          <w:szCs w:val="22"/>
        </w:rPr>
        <w:t xml:space="preserve">Chỉ ra tầng dữ liệu nào đang mâu thuẫn với thesis chính (VD: macro risk-off trong khi technical đang bullish).</w:t>
      </w:r>
    </w:p>
    <w:p>
      <w:pPr>
        <w:pStyle w:val="ListParagraph"/>
        <w:numPr>
          <w:ilvl w:val="0"/>
          <w:numId w:val="2"/>
        </w:numPr>
        <w:spacing w:after="80"/>
      </w:pPr>
      <w:r>
        <w:rPr>
          <w:rFonts w:ascii="Calibri" w:cs="Calibri" w:eastAsia="Calibri" w:hAnsi="Calibri"/>
          <w:sz w:val="22"/>
          <w:szCs w:val="22"/>
        </w:rPr>
        <w:t xml:space="preserve">Kiểm tra mức invalidation đã đặt hợp lý chưa (quá gần dễ bị quét, quá xa thì rủi ro/lợi nhuận không hợp lý).</w:t>
      </w:r>
    </w:p>
    <w:p>
      <w:pPr>
        <w:pStyle w:val="ListParagraph"/>
        <w:numPr>
          <w:ilvl w:val="0"/>
          <w:numId w:val="2"/>
        </w:numPr>
        <w:spacing w:after="80"/>
      </w:pPr>
      <w:r>
        <w:rPr>
          <w:rFonts w:ascii="Calibri" w:cs="Calibri" w:eastAsia="Calibri" w:hAnsi="Calibri"/>
          <w:sz w:val="22"/>
          <w:szCs w:val="22"/>
        </w:rPr>
        <w:t xml:space="preserve">Trả lời câu hỏi: "Nếu thesis chính sai, dấu hiệu sớm nhất sẽ là gì?"</w:t>
      </w:r>
    </w:p>
    <w:p>
      <w:pPr>
        <w:pStyle w:val="ListParagraph"/>
        <w:numPr>
          <w:ilvl w:val="0"/>
          <w:numId w:val="2"/>
        </w:numPr>
        <w:spacing w:after="80"/>
      </w:pPr>
      <w:r>
        <w:rPr>
          <w:rFonts w:ascii="Calibri" w:cs="Calibri" w:eastAsia="Calibri" w:hAnsi="Calibri"/>
          <w:sz w:val="22"/>
          <w:szCs w:val="22"/>
        </w:rPr>
        <w:t xml:space="preserve">Output: danh sách rủi ro cụ thể + kịch bản thay thế kèm xác suất ước tính.</w:t>
      </w:r>
    </w:p>
    <w:p>
      <w:pPr>
        <w:pStyle w:val="Heading2"/>
        <w:spacing w:after="120" w:before="240"/>
      </w:pPr>
      <w:r>
        <w:t xml:space="preserve">5.3 Vai trò 3 — Tổng hợp &amp; Kết luận (Chair/Consensus)</w:t>
      </w:r>
    </w:p>
    <w:p>
      <w:pPr>
        <w:spacing w:after="140"/>
      </w:pPr>
      <w:r>
        <w:rPr>
          <w:rFonts w:ascii="Calibri" w:cs="Calibri" w:eastAsia="Calibri" w:hAnsi="Calibri"/>
          <w:sz w:val="22"/>
          <w:szCs w:val="22"/>
        </w:rPr>
        <w:t xml:space="preserve">So sánh nhận định chính và phản biện một cách trung lập, ra kết luận có cấu trúc:</w:t>
      </w:r>
    </w:p>
    <w:p>
      <w:pPr>
        <w:pStyle w:val="ListParagraph"/>
        <w:numPr>
          <w:ilvl w:val="0"/>
          <w:numId w:val="2"/>
        </w:numPr>
        <w:spacing w:after="80"/>
      </w:pPr>
      <w:r>
        <w:rPr>
          <w:rFonts w:ascii="Calibri" w:cs="Calibri" w:eastAsia="Calibri" w:hAnsi="Calibri"/>
          <w:sz w:val="22"/>
          <w:szCs w:val="22"/>
        </w:rPr>
        <w:t xml:space="preserve">Kịch bản chính (Base case) — kèm xác suất ước tính.</w:t>
      </w:r>
    </w:p>
    <w:p>
      <w:pPr>
        <w:pStyle w:val="ListParagraph"/>
        <w:numPr>
          <w:ilvl w:val="0"/>
          <w:numId w:val="2"/>
        </w:numPr>
        <w:spacing w:after="80"/>
      </w:pPr>
      <w:r>
        <w:rPr>
          <w:rFonts w:ascii="Calibri" w:cs="Calibri" w:eastAsia="Calibri" w:hAnsi="Calibri"/>
          <w:sz w:val="22"/>
          <w:szCs w:val="22"/>
        </w:rPr>
        <w:t xml:space="preserve">Kịch bản thay thế (Alternate case) — kèm xác suất ước tính.</w:t>
      </w:r>
    </w:p>
    <w:p>
      <w:pPr>
        <w:pStyle w:val="ListParagraph"/>
        <w:numPr>
          <w:ilvl w:val="0"/>
          <w:numId w:val="2"/>
        </w:numPr>
        <w:spacing w:after="80"/>
      </w:pPr>
      <w:r>
        <w:rPr>
          <w:rFonts w:ascii="Calibri" w:cs="Calibri" w:eastAsia="Calibri" w:hAnsi="Calibri"/>
          <w:sz w:val="22"/>
          <w:szCs w:val="22"/>
        </w:rPr>
        <w:t xml:space="preserve">Điều kiện vô hiệu hóa (Invalidation) — mức giá/level cụ thể.</w:t>
      </w:r>
    </w:p>
    <w:p>
      <w:pPr>
        <w:pStyle w:val="ListParagraph"/>
        <w:numPr>
          <w:ilvl w:val="0"/>
          <w:numId w:val="2"/>
        </w:numPr>
        <w:spacing w:after="80"/>
      </w:pPr>
      <w:r>
        <w:rPr>
          <w:rFonts w:ascii="Calibri" w:cs="Calibri" w:eastAsia="Calibri" w:hAnsi="Calibri"/>
          <w:sz w:val="22"/>
          <w:szCs w:val="22"/>
        </w:rPr>
        <w:t xml:space="preserve">Khuyến nghị size vị thế theo mức đồng thuận giữa Lead Analyst và Red Team: đồng thuận cao → size chuẩn; mâu thuẫn nhiều → giảm size hoặc đứng ngoài quan sát.</w:t>
      </w:r>
    </w:p>
    <w:p>
      <w:pPr>
        <w:pStyle w:val="Heading2"/>
        <w:spacing w:after="120" w:before="240"/>
      </w:pPr>
      <w:r>
        <w:t xml:space="preserve">5.4 Mẫu báo cáo kết luận cuối cùng</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Cap: BTC/USDT</w:t>
      </w:r>
      <w:r>
        <w:rPr>
          <w:rFonts w:ascii="Consolas" w:cs="Consolas" w:eastAsia="Consolas" w:hAnsi="Consolas"/>
          <w:sz w:val="18"/>
          <w:szCs w:val="18"/>
        </w:rPr>
        <w:br/>
        <w:t xml:space="preserve"/>
      </w:r>
      <w:r>
        <w:rPr>
          <w:rFonts w:ascii="Consolas" w:cs="Consolas" w:eastAsia="Consolas" w:hAnsi="Consolas"/>
          <w:sz w:val="18"/>
          <w:szCs w:val="18"/>
        </w:rPr>
        <w:br/>
        <w:t xml:space="preserve">[LEAD ANALYST]</w:t>
      </w:r>
      <w:r>
        <w:rPr>
          <w:rFonts w:ascii="Consolas" w:cs="Consolas" w:eastAsia="Consolas" w:hAnsi="Consolas"/>
          <w:sz w:val="18"/>
          <w:szCs w:val="18"/>
        </w:rPr>
        <w:br/>
        <w:t xml:space="preserve">Xu huong Daily: Tang (Intermediate wave 3 dang hinh thanh)</w:t>
      </w:r>
      <w:r>
        <w:rPr>
          <w:rFonts w:ascii="Consolas" w:cs="Consolas" w:eastAsia="Consolas" w:hAnsi="Consolas"/>
          <w:sz w:val="18"/>
          <w:szCs w:val="18"/>
        </w:rPr>
        <w:br/>
        <w:t xml:space="preserve">Xu huong 4H: Dieu chinh sang wave 4, ky vong hoi ve 38.2% Fib</w:t>
      </w:r>
      <w:r>
        <w:rPr>
          <w:rFonts w:ascii="Consolas" w:cs="Consolas" w:eastAsia="Consolas" w:hAnsi="Consolas"/>
          <w:sz w:val="18"/>
          <w:szCs w:val="18"/>
        </w:rPr>
        <w:br/>
        <w:t xml:space="preserve">Price action 1H: Bullish engulfing tai vung demand hop luu Fib</w:t>
      </w:r>
      <w:r>
        <w:rPr>
          <w:rFonts w:ascii="Consolas" w:cs="Consolas" w:eastAsia="Consolas" w:hAnsi="Consolas"/>
          <w:sz w:val="18"/>
          <w:szCs w:val="18"/>
        </w:rPr>
        <w:br/>
        <w:t xml:space="preserve">-&gt; Thesis: Long tai vung 61,200-61,500, target 64,800, SL 60,400</w:t>
      </w:r>
      <w:r>
        <w:rPr>
          <w:rFonts w:ascii="Consolas" w:cs="Consolas" w:eastAsia="Consolas" w:hAnsi="Consolas"/>
          <w:sz w:val="18"/>
          <w:szCs w:val="18"/>
        </w:rPr>
        <w:br/>
        <w:t xml:space="preserve"/>
      </w:r>
      <w:r>
        <w:rPr>
          <w:rFonts w:ascii="Consolas" w:cs="Consolas" w:eastAsia="Consolas" w:hAnsi="Consolas"/>
          <w:sz w:val="18"/>
          <w:szCs w:val="18"/>
        </w:rPr>
        <w:br/>
        <w:t xml:space="preserve">[RED TEAM - PHAN BIEN]</w:t>
      </w:r>
      <w:r>
        <w:rPr>
          <w:rFonts w:ascii="Consolas" w:cs="Consolas" w:eastAsia="Consolas" w:hAnsi="Consolas"/>
          <w:sz w:val="18"/>
          <w:szCs w:val="18"/>
        </w:rPr>
        <w:br/>
        <w:t xml:space="preserve">- Macro dang risk-off nhe (DXY manh len 3 ngay lien tiep)</w:t>
      </w:r>
      <w:r>
        <w:rPr>
          <w:rFonts w:ascii="Consolas" w:cs="Consolas" w:eastAsia="Consolas" w:hAnsi="Consolas"/>
          <w:sz w:val="18"/>
          <w:szCs w:val="18"/>
        </w:rPr>
        <w:br/>
        <w:t xml:space="preserve">- Wave count thay the: co the dang o wave (C) dieu chinh lon hon,</w:t>
      </w:r>
      <w:r>
        <w:rPr>
          <w:rFonts w:ascii="Consolas" w:cs="Consolas" w:eastAsia="Consolas" w:hAnsi="Consolas"/>
          <w:sz w:val="18"/>
          <w:szCs w:val="18"/>
        </w:rPr>
        <w:br/>
        <w:t xml:space="preserve">  khong phai wave 4 cua wave 3 dang tiep dien</w:t>
      </w:r>
      <w:r>
        <w:rPr>
          <w:rFonts w:ascii="Consolas" w:cs="Consolas" w:eastAsia="Consolas" w:hAnsi="Consolas"/>
          <w:sz w:val="18"/>
          <w:szCs w:val="18"/>
        </w:rPr>
        <w:br/>
        <w:t xml:space="preserve">- Invalidation 60,400 kha gan bien dong ATR hien tai -&gt; de bi quet</w:t>
      </w:r>
      <w:r>
        <w:rPr>
          <w:rFonts w:ascii="Consolas" w:cs="Consolas" w:eastAsia="Consolas" w:hAnsi="Consolas"/>
          <w:sz w:val="18"/>
          <w:szCs w:val="18"/>
        </w:rPr>
        <w:br/>
        <w:t xml:space="preserve">- Dau hieu som neu sai: gia dong cua duoi 60,400 kem CVD am manh</w:t>
      </w:r>
      <w:r>
        <w:rPr>
          <w:rFonts w:ascii="Consolas" w:cs="Consolas" w:eastAsia="Consolas" w:hAnsi="Consolas"/>
          <w:sz w:val="18"/>
          <w:szCs w:val="18"/>
        </w:rPr>
        <w:br/>
        <w:t xml:space="preserve"/>
      </w:r>
      <w:r>
        <w:rPr>
          <w:rFonts w:ascii="Consolas" w:cs="Consolas" w:eastAsia="Consolas" w:hAnsi="Consolas"/>
          <w:sz w:val="18"/>
          <w:szCs w:val="18"/>
        </w:rPr>
        <w:br/>
        <w:t xml:space="preserve">[KET LUAN]</w:t>
      </w:r>
      <w:r>
        <w:rPr>
          <w:rFonts w:ascii="Consolas" w:cs="Consolas" w:eastAsia="Consolas" w:hAnsi="Consolas"/>
          <w:sz w:val="18"/>
          <w:szCs w:val="18"/>
        </w:rPr>
        <w:br/>
        <w:t xml:space="preserve">Base case (55%): Tiep tuc tang sau dieu chinh wave 4, target 64,800</w:t>
      </w:r>
      <w:r>
        <w:rPr>
          <w:rFonts w:ascii="Consolas" w:cs="Consolas" w:eastAsia="Consolas" w:hAnsi="Consolas"/>
          <w:sz w:val="18"/>
          <w:szCs w:val="18"/>
        </w:rPr>
        <w:br/>
        <w:t xml:space="preserve">Alternate case (30%): Dieu chinh sau hon ve vung 59,000-59,500</w:t>
      </w:r>
      <w:r>
        <w:rPr>
          <w:rFonts w:ascii="Consolas" w:cs="Consolas" w:eastAsia="Consolas" w:hAnsi="Consolas"/>
          <w:sz w:val="18"/>
          <w:szCs w:val="18"/>
        </w:rPr>
        <w:br/>
        <w:t xml:space="preserve">Khong xac dinh (15%): Di ngang cho tin macro (CPI sap cong bo)</w:t>
      </w:r>
      <w:r>
        <w:rPr>
          <w:rFonts w:ascii="Consolas" w:cs="Consolas" w:eastAsia="Consolas" w:hAnsi="Consolas"/>
          <w:sz w:val="18"/>
          <w:szCs w:val="18"/>
        </w:rPr>
        <w:br/>
        <w:t xml:space="preserve">Invalidation: dong nen 4H duoi 60,000</w:t>
      </w:r>
      <w:r>
        <w:rPr>
          <w:rFonts w:ascii="Consolas" w:cs="Consolas" w:eastAsia="Consolas" w:hAnsi="Consolas"/>
          <w:sz w:val="18"/>
          <w:szCs w:val="18"/>
        </w:rPr>
        <w:br/>
        <w:t xml:space="preserve">Size khuyen nghi: 60% chuan (do co mau thuan macro vs technical)</w:t>
      </w:r>
    </w:p>
    <w:p>
      <w:pPr>
        <w:pStyle w:val="Heading1"/>
        <w:spacing w:after="150" w:before="300"/>
      </w:pPr>
      <w:r>
        <w:t xml:space="preserve">Phần 6 — Cập nhật kiến trúc: thêm Elliott/Price Action và lớp Phản biện</w:t>
      </w:r>
    </w:p>
    <w:p>
      <w:pPr>
        <w:spacing w:after="140"/>
      </w:pPr>
      <w:r>
        <w:rPr>
          <w:rFonts w:ascii="Calibri" w:cs="Calibri" w:eastAsia="Calibri" w:hAnsi="Calibri"/>
          <w:sz w:val="22"/>
          <w:szCs w:val="22"/>
        </w:rPr>
        <w:t xml:space="preserve">Kiến trúc tổng thể ở Phần 3 được mở rộng thêm 2 model con (E, F) và một lớp Phản biện (Red-team) chen giữa Meta-model và Risk &amp; Decision Layer:</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8"/>
          <w:szCs w:val="18"/>
        </w:rPr>
        <w:t xml:space="preserve">MODEL A..D (nhu Phan 3)  +  MODEL E: Elliott Wave  +  MODEL F: Price Action</w:t>
      </w:r>
      <w:r>
        <w:rPr>
          <w:rFonts w:ascii="Consolas" w:cs="Consolas" w:eastAsia="Consolas" w:hAnsi="Consolas"/>
          <w:sz w:val="18"/>
          <w:szCs w:val="18"/>
        </w:rPr>
        <w:br/>
        <w:t xml:space="preserve">        \_________________________|_________________________/</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META-MODEL (STACKING) -&gt; Lead Analyst thesis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RED-TEAM LAYER (phan bien doc lap)</w:t>
      </w:r>
      <w:r>
        <w:rPr>
          <w:rFonts w:ascii="Consolas" w:cs="Consolas" w:eastAsia="Consolas" w:hAnsi="Consolas"/>
          <w:sz w:val="18"/>
          <w:szCs w:val="18"/>
        </w:rPr>
        <w:br/>
        <w:t xml:space="preserve">            -&gt; tim alternate count, rui ro, invalidation hop ly</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CONSENSUS/CHAIR -&gt; Ket luan co cau truc</w:t>
      </w:r>
      <w:r>
        <w:rPr>
          <w:rFonts w:ascii="Consolas" w:cs="Consolas" w:eastAsia="Consolas" w:hAnsi="Consolas"/>
          <w:sz w:val="18"/>
          <w:szCs w:val="18"/>
        </w:rPr>
        <w:br/>
        <w:t xml:space="preserve">            (base case % / alternate case % / invalidation)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RISK &amp; DECISION LAYER (nhu Phan 3)</w:t>
      </w:r>
    </w:p>
    <w:p>
      <w:pPr>
        <w:pStyle w:val="Heading1"/>
        <w:spacing w:after="150" w:before="300"/>
      </w:pPr>
      <w:r>
        <w:t xml:space="preserve">Phần 7 — Giới hạn cần lưu ý</w:t>
      </w:r>
    </w:p>
    <w:p>
      <w:pPr>
        <w:pStyle w:val="ListParagraph"/>
        <w:numPr>
          <w:ilvl w:val="0"/>
          <w:numId w:val="2"/>
        </w:numPr>
        <w:spacing w:after="80"/>
      </w:pPr>
      <w:r>
        <w:rPr>
          <w:rFonts w:ascii="Calibri" w:cs="Calibri" w:eastAsia="Calibri" w:hAnsi="Calibri"/>
          <w:sz w:val="22"/>
          <w:szCs w:val="22"/>
        </w:rPr>
        <w:t xml:space="preserve">Ở khung thời gian rất ngắn (5m–1h), nhiễu thị trường rất lớn; ngay cả hệ thống tốt cũng chỉ đạt độ chính xác nhỉnh hơn 50–55% một chút — edge nhỏ nhưng ổn định mới tạo lợi nhuận dài hạn, không phải "luôn đoán đúng".</w:t>
      </w:r>
    </w:p>
    <w:p>
      <w:pPr>
        <w:pStyle w:val="ListParagraph"/>
        <w:numPr>
          <w:ilvl w:val="0"/>
          <w:numId w:val="2"/>
        </w:numPr>
        <w:spacing w:after="80"/>
      </w:pPr>
      <w:r>
        <w:rPr>
          <w:rFonts w:ascii="Calibri" w:cs="Calibri" w:eastAsia="Calibri" w:hAnsi="Calibri"/>
          <w:sz w:val="22"/>
          <w:szCs w:val="22"/>
        </w:rPr>
        <w:t xml:space="preserve">Sự kiện bất ngờ (tin tức đột xuất, thanh khoản mỏng, thao túng giá) có thể khiến mọi mô hình sai đồng loạt — cần cơ chế circuit breaker khi biến động vượt ngưỡng bất thường.</w:t>
      </w:r>
    </w:p>
    <w:p>
      <w:pPr>
        <w:pStyle w:val="ListParagraph"/>
        <w:numPr>
          <w:ilvl w:val="0"/>
          <w:numId w:val="2"/>
        </w:numPr>
        <w:spacing w:after="80"/>
      </w:pPr>
      <w:r>
        <w:rPr>
          <w:rFonts w:ascii="Calibri" w:cs="Calibri" w:eastAsia="Calibri" w:hAnsi="Calibri"/>
          <w:sz w:val="22"/>
          <w:szCs w:val="22"/>
        </w:rPr>
        <w:t xml:space="preserve">Luôn cần quản trị rủi ro cứng (max drawdown, stop-loss) độc lập với độ tự tin của model.</w:t>
      </w:r>
    </w:p>
    <w:p>
      <w:pPr>
        <w:pStyle w:val="ListParagraph"/>
        <w:numPr>
          <w:ilvl w:val="0"/>
          <w:numId w:val="2"/>
        </w:numPr>
        <w:spacing w:after="80"/>
      </w:pPr>
      <w:r>
        <w:rPr>
          <w:rFonts w:ascii="Calibri" w:cs="Calibri" w:eastAsia="Calibri" w:hAnsi="Calibri"/>
          <w:sz w:val="22"/>
          <w:szCs w:val="22"/>
        </w:rPr>
        <w:t xml:space="preserve">Đếm sóng Elliott mang tính chủ quan cao ngay cả khi mô hình hóa — luôn tồn tại nhiều wave count hợp lệ song song; tool chỉ giúp xếp hạng xác suất, không loại bỏ được sự đa nghĩa vốn có của phương pháp.</w:t>
      </w:r>
    </w:p>
    <w:p>
      <w:pPr>
        <w:pStyle w:val="ListParagraph"/>
        <w:numPr>
          <w:ilvl w:val="0"/>
          <w:numId w:val="2"/>
        </w:numPr>
        <w:spacing w:after="80"/>
      </w:pPr>
      <w:r>
        <w:rPr>
          <w:rFonts w:ascii="Calibri" w:cs="Calibri" w:eastAsia="Calibri" w:hAnsi="Calibri"/>
          <w:sz w:val="22"/>
          <w:szCs w:val="22"/>
        </w:rPr>
        <w:t xml:space="preserve">Lớp Phản biện (Red Team) chỉ có giá trị nếu được thiết kế thực sự độc lập với Lead Analyst (dữ liệu/prompt khác góc nhìn) — nếu dùng chung 1 model, phản biện dễ chỉ lặp lại thesis chính (confirmation bias giả).</w:t>
      </w:r>
    </w:p>
    <w:p>
      <w:pPr>
        <w:pStyle w:val="ListParagraph"/>
        <w:numPr>
          <w:ilvl w:val="0"/>
          <w:numId w:val="2"/>
        </w:numPr>
        <w:spacing w:after="80"/>
      </w:pPr>
      <w:r>
        <w:rPr>
          <w:rFonts w:ascii="Calibri" w:cs="Calibri" w:eastAsia="Calibri" w:hAnsi="Calibri"/>
          <w:sz w:val="22"/>
          <w:szCs w:val="22"/>
        </w:rPr>
        <w:t xml:space="preserve">Tài liệu này không phải lời khuyên đầu tư và không đảm bảo hiệu năng thực tế của bất kỳ hệ thống nào xây theo spec này.</w:t>
      </w:r>
    </w:p>
    <w:p>
      <w:pPr>
        <w:pStyle w:val="Heading1"/>
        <w:spacing w:after="150" w:before="300"/>
      </w:pPr>
      <w:r>
        <w:t xml:space="preserve">Phần 8 — Đề xuất cải thiện hiệu suất phân tích</w:t>
      </w:r>
    </w:p>
    <w:p>
      <w:pPr>
        <w:spacing w:after="140"/>
      </w:pPr>
      <w:r>
        <w:rPr>
          <w:rFonts w:ascii="Calibri" w:cs="Calibri" w:eastAsia="Calibri" w:hAnsi="Calibri"/>
          <w:sz w:val="22"/>
          <w:szCs w:val="22"/>
        </w:rPr>
        <w:t xml:space="preserve">Hiệu suất phân tích không chỉ nằm ở accuracy của 1 model, mà là chất lượng toàn bộ pipeline từ dữ liệu đến ra quyết định. Dưới đây là các hướng cải thiện theo từng lớp.</w:t>
      </w:r>
    </w:p>
    <w:p>
      <w:pPr>
        <w:pStyle w:val="Heading2"/>
        <w:spacing w:after="120" w:before="240"/>
      </w:pPr>
      <w:r>
        <w:t xml:space="preserve">8.1 Chất lượng &amp; độ phủ dữ liệu</w:t>
      </w:r>
    </w:p>
    <w:p>
      <w:pPr>
        <w:pStyle w:val="ListParagraph"/>
        <w:numPr>
          <w:ilvl w:val="0"/>
          <w:numId w:val="2"/>
        </w:numPr>
        <w:spacing w:after="80"/>
      </w:pPr>
      <w:r>
        <w:rPr>
          <w:rFonts w:ascii="Calibri" w:cs="Calibri" w:eastAsia="Calibri" w:hAnsi="Calibri"/>
          <w:sz w:val="22"/>
          <w:szCs w:val="22"/>
        </w:rPr>
        <w:t xml:space="preserve">Đồng bộ timestamp chặt giữa các nguồn (CEX spot, Polymarket/derivatives, on-chain, tin tức) — lệch vài trăm ms cũng đủ làm feature order-flow sai lệch.</w:t>
      </w:r>
    </w:p>
    <w:p>
      <w:pPr>
        <w:pStyle w:val="ListParagraph"/>
        <w:numPr>
          <w:ilvl w:val="0"/>
          <w:numId w:val="2"/>
        </w:numPr>
        <w:spacing w:after="80"/>
      </w:pPr>
      <w:r>
        <w:rPr>
          <w:rFonts w:ascii="Calibri" w:cs="Calibri" w:eastAsia="Calibri" w:hAnsi="Calibri"/>
          <w:sz w:val="22"/>
          <w:szCs w:val="22"/>
        </w:rPr>
        <w:t xml:space="preserve">Xử lý dữ liệu thiếu/gián đoạn bằng cơ chế fallback + đánh dấu "confidence thấp" cho khoảng thời gian đó, không nội suy mù.</w:t>
      </w:r>
    </w:p>
    <w:p>
      <w:pPr>
        <w:pStyle w:val="ListParagraph"/>
        <w:numPr>
          <w:ilvl w:val="0"/>
          <w:numId w:val="2"/>
        </w:numPr>
        <w:spacing w:after="80"/>
      </w:pPr>
      <w:r>
        <w:rPr>
          <w:rFonts w:ascii="Calibri" w:cs="Calibri" w:eastAsia="Calibri" w:hAnsi="Calibri"/>
          <w:sz w:val="22"/>
          <w:szCs w:val="22"/>
        </w:rPr>
        <w:t xml:space="preserve">Mở rộng nguồn on-chain/derivatives sang nhiều sàn — chênh lệch funding rate/OI giữa các sàn lớn (Binance, Bybit, OKX) tự nó là một tín hiệu.</w:t>
      </w:r>
    </w:p>
    <w:p>
      <w:pPr>
        <w:pStyle w:val="ListParagraph"/>
        <w:numPr>
          <w:ilvl w:val="0"/>
          <w:numId w:val="2"/>
        </w:numPr>
        <w:spacing w:after="80"/>
      </w:pPr>
      <w:r>
        <w:rPr>
          <w:rFonts w:ascii="Calibri" w:cs="Calibri" w:eastAsia="Calibri" w:hAnsi="Calibri"/>
          <w:sz w:val="22"/>
          <w:szCs w:val="22"/>
        </w:rPr>
        <w:t xml:space="preserve">Chuẩn hóa dữ liệu tin tức/sentiment theo độ tin cậy nguồn — tin từ hãng tin lớn nên có trọng số khác tin từ mạng xã hội.</w:t>
      </w:r>
    </w:p>
    <w:p>
      <w:pPr>
        <w:pStyle w:val="Heading2"/>
        <w:spacing w:after="120" w:before="240"/>
      </w:pPr>
      <w:r>
        <w:t xml:space="preserve">8.2 Cải thiện tầng model</w:t>
      </w:r>
    </w:p>
    <w:p>
      <w:pPr>
        <w:pStyle w:val="ListParagraph"/>
        <w:numPr>
          <w:ilvl w:val="0"/>
          <w:numId w:val="2"/>
        </w:numPr>
        <w:spacing w:after="80"/>
      </w:pPr>
      <w:r>
        <w:rPr>
          <w:rFonts w:ascii="Calibri" w:cs="Calibri" w:eastAsia="Calibri" w:hAnsi="Calibri"/>
          <w:sz w:val="22"/>
          <w:szCs w:val="22"/>
        </w:rPr>
        <w:t xml:space="preserve">Calibration thay vì chỉ tối ưu accuracy (Platt scaling/isotonic regression) — đảm bảo P(tăng)=70% thực sự đúng ~70% số lần trong lịch sử, tránh model tự tin sai.</w:t>
      </w:r>
    </w:p>
    <w:p>
      <w:pPr>
        <w:pStyle w:val="ListParagraph"/>
        <w:numPr>
          <w:ilvl w:val="0"/>
          <w:numId w:val="2"/>
        </w:numPr>
        <w:spacing w:after="80"/>
      </w:pPr>
      <w:r>
        <w:rPr>
          <w:rFonts w:ascii="Calibri" w:cs="Calibri" w:eastAsia="Calibri" w:hAnsi="Calibri"/>
          <w:sz w:val="22"/>
          <w:szCs w:val="22"/>
        </w:rPr>
        <w:t xml:space="preserve">Trọng số động cho meta-model theo regime thị trường (VD: gần tin macro lớn, tăng trọng số Model C, giảm trọng số Model E vì sóng dễ bị phá vỡ bởi tin bất ngờ).</w:t>
      </w:r>
    </w:p>
    <w:p>
      <w:pPr>
        <w:pStyle w:val="ListParagraph"/>
        <w:numPr>
          <w:ilvl w:val="0"/>
          <w:numId w:val="2"/>
        </w:numPr>
        <w:spacing w:after="80"/>
      </w:pPr>
      <w:r>
        <w:rPr>
          <w:rFonts w:ascii="Calibri" w:cs="Calibri" w:eastAsia="Calibri" w:hAnsi="Calibri"/>
          <w:sz w:val="22"/>
          <w:szCs w:val="22"/>
        </w:rPr>
        <w:t xml:space="preserve">Cơ chế tự động cảnh báo model drift: nếu Brier score gần nhất tệ hơn đáng kể so với backtest, tự hạ confidence hoặc tạm dừng model đó.</w:t>
      </w:r>
    </w:p>
    <w:p>
      <w:pPr>
        <w:pStyle w:val="ListParagraph"/>
        <w:numPr>
          <w:ilvl w:val="0"/>
          <w:numId w:val="2"/>
        </w:numPr>
        <w:spacing w:after="80"/>
      </w:pPr>
      <w:r>
        <w:rPr>
          <w:rFonts w:ascii="Calibri" w:cs="Calibri" w:eastAsia="Calibri" w:hAnsi="Calibri"/>
          <w:sz w:val="22"/>
          <w:szCs w:val="22"/>
        </w:rPr>
        <w:t xml:space="preserve">Feature selection định kỳ (permutation importance) để loại bỏ feature không còn mang thông tin khi thị trường đổi cấu trúc.</w:t>
      </w:r>
    </w:p>
    <w:p>
      <w:pPr>
        <w:pStyle w:val="Heading2"/>
        <w:spacing w:after="120" w:before="240"/>
      </w:pPr>
      <w:r>
        <w:t xml:space="preserve">8.3 Cải thiện riêng Elliott Wave &amp; Price Action</w:t>
      </w:r>
    </w:p>
    <w:p>
      <w:pPr>
        <w:pStyle w:val="ListParagraph"/>
        <w:numPr>
          <w:ilvl w:val="0"/>
          <w:numId w:val="2"/>
        </w:numPr>
        <w:spacing w:after="80"/>
      </w:pPr>
      <w:r>
        <w:rPr>
          <w:rFonts w:ascii="Calibri" w:cs="Calibri" w:eastAsia="Calibri" w:hAnsi="Calibri"/>
          <w:sz w:val="22"/>
          <w:szCs w:val="22"/>
        </w:rPr>
        <w:t xml:space="preserve">Giới hạn số wave count hiển thị (top 2-3 theo confidence) thay vì liệt kê hết, tránh loãng quyết định.</w:t>
      </w:r>
    </w:p>
    <w:p>
      <w:pPr>
        <w:pStyle w:val="ListParagraph"/>
        <w:numPr>
          <w:ilvl w:val="0"/>
          <w:numId w:val="2"/>
        </w:numPr>
        <w:spacing w:after="80"/>
      </w:pPr>
      <w:r>
        <w:rPr>
          <w:rFonts w:ascii="Calibri" w:cs="Calibri" w:eastAsia="Calibri" w:hAnsi="Calibri"/>
          <w:sz w:val="22"/>
          <w:szCs w:val="22"/>
        </w:rPr>
        <w:t xml:space="preserve">Backtest riêng độ chính xác của wave-count engine: đo tần suất giá thực tế chạm invalidation level dự đoán, để đánh giá khách quan thay vì chỉ tin vào lý thuyết.</w:t>
      </w:r>
    </w:p>
    <w:p>
      <w:pPr>
        <w:pStyle w:val="ListParagraph"/>
        <w:numPr>
          <w:ilvl w:val="0"/>
          <w:numId w:val="2"/>
        </w:numPr>
        <w:spacing w:after="80"/>
      </w:pPr>
      <w:r>
        <w:rPr>
          <w:rFonts w:ascii="Calibri" w:cs="Calibri" w:eastAsia="Calibri" w:hAnsi="Calibri"/>
          <w:sz w:val="22"/>
          <w:szCs w:val="22"/>
        </w:rPr>
        <w:t xml:space="preserve">Price action chỉ tính điểm khi có hợp lưu (confluence) — một pin bar đơn lẻ không nên có trọng số bằng pin bar tại đúng vùng Fibonacci + demand zone.</w:t>
      </w:r>
    </w:p>
    <w:p>
      <w:pPr>
        <w:pStyle w:val="Heading2"/>
        <w:spacing w:after="120" w:before="240"/>
      </w:pPr>
      <w:r>
        <w:t xml:space="preserve">8.4 Đảm bảo lớp Phản biện (Red Team) thực sự hiệu quả</w:t>
      </w:r>
    </w:p>
    <w:p>
      <w:pPr>
        <w:pStyle w:val="ListParagraph"/>
        <w:numPr>
          <w:ilvl w:val="0"/>
          <w:numId w:val="2"/>
        </w:numPr>
        <w:spacing w:after="80"/>
      </w:pPr>
      <w:r>
        <w:rPr>
          <w:rFonts w:ascii="Calibri" w:cs="Calibri" w:eastAsia="Calibri" w:hAnsi="Calibri"/>
          <w:sz w:val="22"/>
          <w:szCs w:val="22"/>
        </w:rPr>
        <w:t xml:space="preserve">Tách dữ liệu/prompt giữa Lead Analyst và Red Team — nếu dùng chung cách nhìn, phản biện dễ chỉ là "đồng ý có điều kiện", không phải phản biện thật.</w:t>
      </w:r>
    </w:p>
    <w:p>
      <w:pPr>
        <w:pStyle w:val="ListParagraph"/>
        <w:numPr>
          <w:ilvl w:val="0"/>
          <w:numId w:val="2"/>
        </w:numPr>
        <w:spacing w:after="80"/>
      </w:pPr>
      <w:r>
        <w:rPr>
          <w:rFonts w:ascii="Calibri" w:cs="Calibri" w:eastAsia="Calibri" w:hAnsi="Calibri"/>
          <w:sz w:val="22"/>
          <w:szCs w:val="22"/>
        </w:rPr>
        <w:t xml:space="preserve">Đo lường hiệu suất Red Team riêng: theo dõi tỷ lệ % cảnh báo sau này đúng (thesis chính thất bại) — tỷ lệ quá thấp nghĩa là Red Team đang phản biện hình thức, cần điều chỉnh.</w:t>
      </w:r>
    </w:p>
    <w:p>
      <w:pPr>
        <w:pStyle w:val="ListParagraph"/>
        <w:numPr>
          <w:ilvl w:val="0"/>
          <w:numId w:val="2"/>
        </w:numPr>
        <w:spacing w:after="80"/>
      </w:pPr>
      <w:r>
        <w:rPr>
          <w:rFonts w:ascii="Calibri" w:cs="Calibri" w:eastAsia="Calibri" w:hAnsi="Calibri"/>
          <w:sz w:val="22"/>
          <w:szCs w:val="22"/>
        </w:rPr>
        <w:t xml:space="preserve">Cho Red Team quyền veto có điều kiện: nếu mâu thuẫn giữa các tầng dữ liệu vượt ngưỡng, tự động đưa size về 0 (đứng ngoài) thay vì chỉ giảm một phần.</w:t>
      </w:r>
    </w:p>
    <w:p>
      <w:pPr>
        <w:pStyle w:val="Heading2"/>
        <w:spacing w:after="120" w:before="240"/>
      </w:pPr>
      <w:r>
        <w:t xml:space="preserve">8.5 Vòng lặp phản hồi &amp; đo lường đúng chỉ số</w:t>
      </w:r>
    </w:p>
    <w:p>
      <w:pPr>
        <w:pStyle w:val="ListParagraph"/>
        <w:numPr>
          <w:ilvl w:val="0"/>
          <w:numId w:val="2"/>
        </w:numPr>
        <w:spacing w:after="80"/>
      </w:pPr>
      <w:r>
        <w:rPr>
          <w:rFonts w:ascii="Calibri" w:cs="Calibri" w:eastAsia="Calibri" w:hAnsi="Calibri"/>
          <w:sz w:val="22"/>
          <w:szCs w:val="22"/>
        </w:rPr>
        <w:t xml:space="preserve">Theo dõi không chỉ win rate mà cả Brier score, Sharpe/Sortino ratio, max drawdown — win rate cao nhưng R:R kém vẫn có thể lỗ.</w:t>
      </w:r>
    </w:p>
    <w:p>
      <w:pPr>
        <w:pStyle w:val="ListParagraph"/>
        <w:numPr>
          <w:ilvl w:val="0"/>
          <w:numId w:val="2"/>
        </w:numPr>
        <w:spacing w:after="80"/>
      </w:pPr>
      <w:r>
        <w:rPr>
          <w:rFonts w:ascii="Calibri" w:cs="Calibri" w:eastAsia="Calibri" w:hAnsi="Calibri"/>
          <w:sz w:val="22"/>
          <w:szCs w:val="22"/>
        </w:rPr>
        <w:t xml:space="preserve">Nhật ký quyết định (decision log) đầy đủ: lưu toàn bộ input tại thời điểm ra quyết định để truy vết được model sai ở tầng nào, không chỉ biết là sai.</w:t>
      </w:r>
    </w:p>
    <w:p>
      <w:pPr>
        <w:pStyle w:val="ListParagraph"/>
        <w:numPr>
          <w:ilvl w:val="0"/>
          <w:numId w:val="2"/>
        </w:numPr>
        <w:spacing w:after="80"/>
      </w:pPr>
      <w:r>
        <w:rPr>
          <w:rFonts w:ascii="Calibri" w:cs="Calibri" w:eastAsia="Calibri" w:hAnsi="Calibri"/>
          <w:sz w:val="22"/>
          <w:szCs w:val="22"/>
        </w:rPr>
        <w:t xml:space="preserve">A/B test có kiểm soát khi thay đổi model: chạy song song version cũ/mới trên paper trading trước khi thay hẳn.</w:t>
      </w:r>
    </w:p>
    <w:p>
      <w:pPr>
        <w:pStyle w:val="Heading2"/>
        <w:spacing w:after="120" w:before="240"/>
      </w:pPr>
      <w:r>
        <w:t xml:space="preserve">8.6 Hạ tầng &amp; độ trễ</w:t>
      </w:r>
    </w:p>
    <w:p>
      <w:pPr>
        <w:pStyle w:val="ListParagraph"/>
        <w:numPr>
          <w:ilvl w:val="0"/>
          <w:numId w:val="2"/>
        </w:numPr>
        <w:spacing w:after="80"/>
      </w:pPr>
      <w:r>
        <w:rPr>
          <w:rFonts w:ascii="Calibri" w:cs="Calibri" w:eastAsia="Calibri" w:hAnsi="Calibri"/>
          <w:sz w:val="22"/>
          <w:szCs w:val="22"/>
        </w:rPr>
        <w:t xml:space="preserve">Ở khung ngắn (5m-1h), độ trễ giữa các nguồn dữ liệu (đặc biệt CEX spot vs Polymarket) ảnh hưởng trực tiếp đến edge — cần đo và tối ưu latency pipeline.</w:t>
      </w:r>
    </w:p>
    <w:p>
      <w:pPr>
        <w:pStyle w:val="ListParagraph"/>
        <w:numPr>
          <w:ilvl w:val="0"/>
          <w:numId w:val="2"/>
        </w:numPr>
        <w:spacing w:after="80"/>
      </w:pPr>
      <w:r>
        <w:rPr>
          <w:rFonts w:ascii="Calibri" w:cs="Calibri" w:eastAsia="Calibri" w:hAnsi="Calibri"/>
          <w:sz w:val="22"/>
          <w:szCs w:val="22"/>
        </w:rPr>
        <w:t xml:space="preserve">Circuit breaker tự động khi volatility hoặc latency vượt ngưỡng bất thường — tạm dừng ra quyết định thay vì cố phân tích trên dữ liệu nhiễu.</w:t>
      </w:r>
    </w:p>
    <w:p>
      <w:pPr>
        <w:pStyle w:val="Heading2"/>
        <w:spacing w:after="120" w:before="240"/>
      </w:pPr>
      <w:r>
        <w:t xml:space="preserve">8.7 Con người trong vòng lặp (human-in-the-loop)</w:t>
      </w:r>
    </w:p>
    <w:p>
      <w:pPr>
        <w:pStyle w:val="ListParagraph"/>
        <w:numPr>
          <w:ilvl w:val="0"/>
          <w:numId w:val="2"/>
        </w:numPr>
        <w:spacing w:after="80"/>
      </w:pPr>
      <w:r>
        <w:rPr>
          <w:rFonts w:ascii="Calibri" w:cs="Calibri" w:eastAsia="Calibri" w:hAnsi="Calibri"/>
          <w:sz w:val="22"/>
          <w:szCs w:val="22"/>
        </w:rPr>
        <w:t xml:space="preserve">Review định kỳ bằng con người trên các lần model tự tin cao nhưng sai, để phát hiện lỗi hệ thống mà backtest không thấy được (VD: model học nhầm pattern chỉ đúng trong giai đoạn thị trường cụ thể).</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2026-08-22T14:33:47.356Z</dcterms:created>
  <dcterms:modified xsi:type="dcterms:W3CDTF">2026-08-22T14:33:47.368Z</dcterms:modified>
</cp:coreProperties>
</file>

<file path=docProps/custom.xml><?xml version="1.0" encoding="utf-8"?>
<Properties xmlns="http://schemas.openxmlformats.org/officeDocument/2006/custom-properties" xmlns:vt="http://schemas.openxmlformats.org/officeDocument/2006/docPropsVTypes"/>
</file>