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6651BE">
      <w:r w:rsidRPr="006651BE">
        <w:t>The Cluster Channel object</w:t>
      </w:r>
    </w:p>
    <w:p w:rsidR="006651BE" w:rsidRDefault="006651BE">
      <w:r>
        <w:t xml:space="preserve">- Cluster channel là thành phần chính trong small framework ta đặt tên là </w:t>
      </w:r>
      <w:r w:rsidRPr="006651BE">
        <w:t>Apache Tribes.</w:t>
      </w:r>
    </w:p>
    <w:p w:rsidR="006651BE" w:rsidRDefault="006651BE">
      <w:r>
        <w:t>- Channel manager là tập các sub component và cùng vời nhau chúng tạo nên group communication framework.</w:t>
      </w:r>
    </w:p>
    <w:p w:rsidR="006651BE" w:rsidRDefault="006651BE">
      <w:r>
        <w:t>- Framework này được sử dụng nội bộ bởi thành phần cần gửi message giữa các thực thi Tomcat khác nhau.</w:t>
      </w:r>
    </w:p>
    <w:p w:rsidR="006651BE" w:rsidRDefault="006651BE">
      <w:r>
        <w:t>- ví dụ về thành phần là “</w:t>
      </w:r>
      <w:r w:rsidRPr="006651BE">
        <w:t>SimpleTcpCluster</w:t>
      </w:r>
      <w:r>
        <w:t xml:space="preserve">” thực hiện các messaging cho DeltaManager, hoặc BackupManager sử dụng </w:t>
      </w:r>
      <w:r w:rsidR="00A97DC6">
        <w:t>các replication stragy khác nhau. “</w:t>
      </w:r>
      <w:r w:rsidR="00A97DC6" w:rsidRPr="00A97DC6">
        <w:t>ReplicatedContext object</w:t>
      </w:r>
      <w:r w:rsidR="00A97DC6">
        <w:t>” cũng sử dụng channel object để kết nối context attribute changers.</w:t>
      </w:r>
    </w:p>
    <w:p w:rsidR="00A97DC6" w:rsidRDefault="00A97DC6"/>
    <w:p w:rsidR="00A97DC6" w:rsidRPr="00A97DC6" w:rsidRDefault="00A97DC6" w:rsidP="00A97DC6">
      <w:r w:rsidRPr="00A97DC6">
        <w:t>Nested Components</w:t>
      </w:r>
    </w:p>
    <w:p w:rsidR="00A97DC6" w:rsidRDefault="00A97DC6">
      <w:r w:rsidRPr="00A97DC6">
        <w:t>Channel/Membership:</w:t>
      </w:r>
    </w:p>
    <w:p w:rsidR="00A97DC6" w:rsidRDefault="00A97DC6">
      <w:r>
        <w:t>- Membership component chịu trách nhiệm tự động tìm kiểm new node trong cluster và cùng như cung cấp các thông báo bất kỳ node không đáp trả với “</w:t>
      </w:r>
      <w:r w:rsidRPr="00A97DC6">
        <w:t>heartbeat</w:t>
      </w:r>
      <w:r>
        <w:t>”. Mặc định thực thi sử dụng multicast. Trong thành phầ</w:t>
      </w:r>
      <w:r w:rsidR="00A725E4">
        <w:t>n membership, ta cấu hình các node, member sẽ tìm kiếm và phân chia chúng.</w:t>
      </w:r>
    </w:p>
    <w:p w:rsidR="00A725E4" w:rsidRDefault="00A725E4"/>
    <w:p w:rsidR="00A725E4" w:rsidRDefault="00A725E4">
      <w:r w:rsidRPr="00A725E4">
        <w:t>Channel/Sender:</w:t>
      </w:r>
    </w:p>
    <w:p w:rsidR="00213AF3" w:rsidRDefault="00A725E4">
      <w:r>
        <w:t xml:space="preserve">- Thành phần Sender quản lý tất cả kết nối ra ngoài và data message được gửi thông qua mạng từ 1 node tới 1 node khác. Thành phần </w:t>
      </w:r>
      <w:r w:rsidR="00213AF3">
        <w:t>cho phép message được gửi song song. Mặc định thực thi sử dụng TCP client socket, socket tuning cho các message gửi đi sẽ được cấu hình tại đây.</w:t>
      </w:r>
    </w:p>
    <w:p w:rsidR="00213AF3" w:rsidRDefault="00213AF3"/>
    <w:p w:rsidR="00213AF3" w:rsidRDefault="00213AF3">
      <w:r w:rsidRPr="00213AF3">
        <w:t xml:space="preserve">Channel/Sender/Transport: </w:t>
      </w:r>
    </w:p>
    <w:p w:rsidR="00A725E4" w:rsidRDefault="00213AF3">
      <w:r>
        <w:t>- Thành phần Transport ở lớp IO dưới cùng của thành phần gửi. Mặc đinh thực thi sử dụng non-blocking TCP client sockets.</w:t>
      </w:r>
    </w:p>
    <w:p w:rsidR="00213AF3" w:rsidRDefault="00213AF3"/>
    <w:p w:rsidR="00213AF3" w:rsidRDefault="00213AF3">
      <w:r w:rsidRPr="00213AF3">
        <w:t>Channel/Receiver:</w:t>
      </w:r>
    </w:p>
    <w:p w:rsidR="00213AF3" w:rsidRDefault="00213AF3">
      <w:r>
        <w:t>- Thành phần Receiver lăng nghe các messger tới từ node khác. Ở đây ta cấu hình cluster thread pool. Nó sẽ gửi tin nhắn tới đến 1 thread nhanh hơn. Mặc định thực thi sử dụng non-blocking TCP server socket.</w:t>
      </w:r>
    </w:p>
    <w:p w:rsidR="00213AF3" w:rsidRDefault="00213AF3"/>
    <w:p w:rsidR="00213AF3" w:rsidRDefault="00213AF3">
      <w:r w:rsidRPr="00213AF3">
        <w:t>Channel/Interceptor:</w:t>
      </w:r>
    </w:p>
    <w:p w:rsidR="00213AF3" w:rsidRDefault="00213AF3">
      <w:r>
        <w:t xml:space="preserve">- Chanel sẽ gửi messages thông qua interceptor stack. </w:t>
      </w:r>
      <w:r w:rsidR="00260B54">
        <w:t>Vì thế, bạn có khả năng customize lại cách message được gửi và nhận và thậm chí cách xử lý membership.</w:t>
      </w:r>
    </w:p>
    <w:p w:rsidR="00260B54" w:rsidRDefault="00260B54"/>
    <w:p w:rsidR="00260B54" w:rsidRDefault="00260B54">
      <w:r w:rsidRPr="00260B54">
        <w:lastRenderedPageBreak/>
        <w:t>Attributes</w:t>
      </w:r>
    </w:p>
    <w:p w:rsidR="00260B54" w:rsidRDefault="00260B54" w:rsidP="00260B54"/>
    <w:p w:rsidR="00260B54" w:rsidRPr="00260B54" w:rsidRDefault="00260B54" w:rsidP="00260B54">
      <w:r w:rsidRPr="00260B54">
        <w:t>Common 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8007"/>
      </w:tblGrid>
      <w:tr w:rsidR="00260B54" w:rsidRPr="00260B54" w:rsidTr="00260B54">
        <w:tc>
          <w:tcPr>
            <w:tcW w:w="2028" w:type="dxa"/>
            <w:shd w:val="clear" w:color="auto" w:fill="8888BB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b/>
                <w:bCs/>
                <w:lang w:val="vi-VN"/>
              </w:rPr>
            </w:pPr>
            <w:r w:rsidRPr="00260B54">
              <w:rPr>
                <w:b/>
                <w:bCs/>
                <w:lang w:val="vi-VN"/>
              </w:rPr>
              <w:t>Attribute</w:t>
            </w:r>
          </w:p>
        </w:tc>
        <w:tc>
          <w:tcPr>
            <w:tcW w:w="12648" w:type="dxa"/>
            <w:shd w:val="clear" w:color="auto" w:fill="8888BB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b/>
                <w:bCs/>
                <w:lang w:val="vi-VN"/>
              </w:rPr>
            </w:pPr>
            <w:r w:rsidRPr="00260B54">
              <w:rPr>
                <w:b/>
                <w:bCs/>
                <w:lang w:val="vi-VN"/>
              </w:rPr>
              <w:t>Description</w:t>
            </w:r>
          </w:p>
        </w:tc>
      </w:tr>
      <w:tr w:rsidR="00260B54" w:rsidRPr="00260B54" w:rsidTr="00260B54"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b/>
                <w:bCs/>
                <w:lang w:val="vi-VN"/>
              </w:rPr>
              <w:t>className</w:t>
            </w:r>
          </w:p>
        </w:tc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The default value here is org.apache.catalina.tribes.group.GroupChannel and is currently the only implementation available.</w:t>
            </w:r>
          </w:p>
        </w:tc>
      </w:tr>
    </w:tbl>
    <w:p w:rsidR="00260B54" w:rsidRDefault="00260B54"/>
    <w:p w:rsidR="00260B54" w:rsidRPr="00260B54" w:rsidRDefault="00260B54" w:rsidP="00260B54">
      <w:r w:rsidRPr="00260B54">
        <w:t>org.apache.catalina.tribes.group.GroupChannel Attributes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3"/>
        <w:gridCol w:w="7367"/>
      </w:tblGrid>
      <w:tr w:rsidR="00260B54" w:rsidRPr="00260B54" w:rsidTr="00260B54">
        <w:tc>
          <w:tcPr>
            <w:tcW w:w="2088" w:type="dxa"/>
            <w:tcBorders>
              <w:top w:val="single" w:sz="4" w:space="0" w:color="auto"/>
              <w:left w:val="single" w:sz="4" w:space="0" w:color="auto"/>
            </w:tcBorders>
            <w:shd w:val="clear" w:color="auto" w:fill="8888BB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b/>
                <w:bCs/>
                <w:lang w:val="vi-VN"/>
              </w:rPr>
            </w:pPr>
            <w:bookmarkStart w:id="0" w:name="_GoBack" w:colFirst="0" w:colLast="2"/>
            <w:r w:rsidRPr="00260B54">
              <w:rPr>
                <w:b/>
                <w:bCs/>
                <w:lang w:val="vi-VN"/>
              </w:rPr>
              <w:t>Attribute</w:t>
            </w:r>
          </w:p>
        </w:tc>
        <w:tc>
          <w:tcPr>
            <w:tcW w:w="12612" w:type="dxa"/>
            <w:tcBorders>
              <w:top w:val="single" w:sz="4" w:space="0" w:color="auto"/>
              <w:right w:val="single" w:sz="4" w:space="0" w:color="auto"/>
            </w:tcBorders>
            <w:shd w:val="clear" w:color="auto" w:fill="8888BB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b/>
                <w:bCs/>
                <w:lang w:val="vi-VN"/>
              </w:rPr>
            </w:pPr>
            <w:r w:rsidRPr="00260B54">
              <w:rPr>
                <w:b/>
                <w:bCs/>
                <w:lang w:val="vi-VN"/>
              </w:rPr>
              <w:t>Description</w:t>
            </w:r>
          </w:p>
        </w:tc>
      </w:tr>
      <w:tr w:rsidR="00260B54" w:rsidRPr="00260B54" w:rsidTr="00260B54">
        <w:tc>
          <w:tcPr>
            <w:tcW w:w="0" w:type="auto"/>
            <w:tcBorders>
              <w:left w:val="single" w:sz="4" w:space="0" w:color="auto"/>
            </w:tcBorders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heartbeat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Flag whether the channel manages its own heartbeat. If set to true, the channel start a local thread for the heart beat. If set this flag to false, you must set SimpleTcpCluster#heartbeatBackgroundEnabled to true. default value is true.</w:t>
            </w:r>
          </w:p>
        </w:tc>
      </w:tr>
      <w:tr w:rsidR="00260B54" w:rsidRPr="00260B54" w:rsidTr="00260B54">
        <w:tc>
          <w:tcPr>
            <w:tcW w:w="0" w:type="auto"/>
            <w:tcBorders>
              <w:left w:val="single" w:sz="4" w:space="0" w:color="auto"/>
            </w:tcBorders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heartbeatSleeptime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If heartbeat == true, specifies the interval of heartbeat thread in milliseconds. The default is 5000 (5 seconds).</w:t>
            </w:r>
          </w:p>
        </w:tc>
      </w:tr>
      <w:tr w:rsidR="00260B54" w:rsidRPr="00260B54" w:rsidTr="00260B54">
        <w:tc>
          <w:tcPr>
            <w:tcW w:w="0" w:type="auto"/>
            <w:tcBorders>
              <w:left w:val="single" w:sz="4" w:space="0" w:color="auto"/>
            </w:tcBorders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optionCheck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If set to true, the GroupChannel will check the option flags that each interceptor is using. Reports an error if two interceptor share the same flag. The default is false.</w:t>
            </w:r>
          </w:p>
        </w:tc>
      </w:tr>
      <w:tr w:rsidR="00260B54" w:rsidRPr="00260B54" w:rsidTr="00260B54">
        <w:tc>
          <w:tcPr>
            <w:tcW w:w="0" w:type="auto"/>
            <w:tcBorders>
              <w:left w:val="single" w:sz="4" w:space="0" w:color="auto"/>
            </w:tcBorders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jmxEnabled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Flag whether the channel components register with JMX or not. The default value is true.</w:t>
            </w:r>
          </w:p>
        </w:tc>
      </w:tr>
      <w:tr w:rsidR="00260B54" w:rsidRPr="00260B54" w:rsidTr="00260B54">
        <w:tc>
          <w:tcPr>
            <w:tcW w:w="0" w:type="auto"/>
            <w:tcBorders>
              <w:left w:val="single" w:sz="4" w:space="0" w:color="auto"/>
            </w:tcBorders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jmxDomain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if jmxEnabled set to true, specifies the jmx domain which this channel should be registered. The ClusterChannel is used as the default value.</w:t>
            </w:r>
          </w:p>
        </w:tc>
      </w:tr>
      <w:tr w:rsidR="00260B54" w:rsidRPr="00260B54" w:rsidTr="00260B54"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jmxPrefix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260B54" w:rsidRPr="00260B54" w:rsidRDefault="00260B54" w:rsidP="00260B54">
            <w:pPr>
              <w:rPr>
                <w:lang w:val="vi-VN"/>
              </w:rPr>
            </w:pPr>
            <w:r w:rsidRPr="00260B54">
              <w:rPr>
                <w:lang w:val="vi-VN"/>
              </w:rPr>
              <w:t>if jmxEnabled set to true, specifies the jmx prefix which will be used with channel ObjectName.</w:t>
            </w:r>
          </w:p>
        </w:tc>
      </w:tr>
      <w:bookmarkEnd w:id="0"/>
    </w:tbl>
    <w:p w:rsidR="00260B54" w:rsidRDefault="00260B54"/>
    <w:sectPr w:rsidR="00260B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1BE"/>
    <w:rsid w:val="00213AF3"/>
    <w:rsid w:val="00260B54"/>
    <w:rsid w:val="003C4BF4"/>
    <w:rsid w:val="006651BE"/>
    <w:rsid w:val="00873588"/>
    <w:rsid w:val="00940F34"/>
    <w:rsid w:val="00A725E4"/>
    <w:rsid w:val="00A97DC6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A7A38"/>
  <w15:chartTrackingRefBased/>
  <w15:docId w15:val="{E8F05E30-F6CC-4419-968A-DE80486A6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51BE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7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2017-09-23T03:52:00Z</dcterms:created>
  <dcterms:modified xsi:type="dcterms:W3CDTF">2017-09-23T04:23:00Z</dcterms:modified>
</cp:coreProperties>
</file>