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4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Калашникова</w:t>
      </w:r>
      <w:r>
        <w:t xml:space="preserve"> </w:t>
      </w:r>
      <w:r>
        <w:t xml:space="preserve">Ольга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Перед началом выполнения лабораторной работы, скачиваем необходимый дистрибутив, воспользовавшись сайтом (рис. 1).</w:t>
      </w:r>
    </w:p>
    <w:p>
      <w:pPr>
        <w:pStyle w:val="CaptionedFigure"/>
      </w:pPr>
      <w:r>
        <w:drawing>
          <wp:inline>
            <wp:extent cx="3733800" cy="2215521"/>
            <wp:effectExtent b="0" l="0" r="0" t="0"/>
            <wp:docPr descr="Скачивание дистрибутив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дистрибутива</w:t>
      </w:r>
    </w:p>
    <w:p>
      <w:pPr>
        <w:pStyle w:val="BodyText"/>
      </w:pPr>
      <w:r>
        <w:t xml:space="preserve">Открываем VirtualBox и создаём новую виртуальную машину. Указываем имя виртуальной машины, определяем тип операционной системы и указываем путь к iso-образу (рис. 2).</w:t>
      </w:r>
    </w:p>
    <w:p>
      <w:pPr>
        <w:pStyle w:val="CaptionedFigure"/>
      </w:pPr>
      <w:r>
        <w:drawing>
          <wp:inline>
            <wp:extent cx="3733800" cy="2051755"/>
            <wp:effectExtent b="0" l="0" r="0" t="0"/>
            <wp:docPr descr="Имя и тип ОС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и тип ОС</w:t>
      </w:r>
    </w:p>
    <w:p>
      <w:pPr>
        <w:pStyle w:val="BodyText"/>
      </w:pPr>
      <w:r>
        <w:t xml:space="preserve">Указываем объем объём основной памяти - 2048МБ, и количество процессоров - 3 (рис. 3).</w:t>
      </w:r>
    </w:p>
    <w:p>
      <w:pPr>
        <w:pStyle w:val="CaptionedFigure"/>
      </w:pPr>
      <w:r>
        <w:drawing>
          <wp:inline>
            <wp:extent cx="3733800" cy="1364436"/>
            <wp:effectExtent b="0" l="0" r="0" t="0"/>
            <wp:docPr descr="Оборудование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Оборудование</w:t>
      </w:r>
    </w:p>
    <w:p>
      <w:pPr>
        <w:pStyle w:val="BodyText"/>
      </w:pPr>
      <w:r>
        <w:t xml:space="preserve">В размере виртуального жёсткого диска указываем 40 Гб (рис. 4).</w:t>
      </w:r>
    </w:p>
    <w:p>
      <w:pPr>
        <w:pStyle w:val="CaptionedFigure"/>
      </w:pPr>
      <w:r>
        <w:drawing>
          <wp:inline>
            <wp:extent cx="3733800" cy="2607733"/>
            <wp:effectExtent b="0" l="0" r="0" t="0"/>
            <wp:docPr descr="Жесткий диск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Жесткий диск</w:t>
      </w:r>
    </w:p>
    <w:p>
      <w:pPr>
        <w:pStyle w:val="BodyText"/>
      </w:pPr>
      <w:r>
        <w:t xml:space="preserve">Запускаем виртуальную машину и выбираем установку Rocky Linux (рис. 6).</w:t>
      </w:r>
    </w:p>
    <w:p>
      <w:pPr>
        <w:pStyle w:val="CaptionedFigure"/>
      </w:pPr>
      <w:r>
        <w:drawing>
          <wp:inline>
            <wp:extent cx="3733800" cy="2821468"/>
            <wp:effectExtent b="0" l="0" r="0" t="0"/>
            <wp:docPr descr="Установка Rocky Linux 9.5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Rocky Linux 9.5</w:t>
      </w:r>
    </w:p>
    <w:p>
      <w:pPr>
        <w:pStyle w:val="BodyText"/>
      </w:pPr>
      <w:r>
        <w:t xml:space="preserve">Переходим к настройкам установки операционной системы и выбираем английский язык для интерфейса (рис. 6).</w:t>
      </w:r>
    </w:p>
    <w:p>
      <w:pPr>
        <w:pStyle w:val="CaptionedFigure"/>
      </w:pPr>
      <w:r>
        <w:drawing>
          <wp:inline>
            <wp:extent cx="3733800" cy="2392587"/>
            <wp:effectExtent b="0" l="0" r="0" t="0"/>
            <wp:docPr descr="Выбор языка интерфейс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Выбор языка интерфейса</w:t>
      </w:r>
    </w:p>
    <w:p>
      <w:pPr>
        <w:pStyle w:val="BodyText"/>
      </w:pPr>
      <w:r>
        <w:t xml:space="preserve">Добавляем русскую раскладку клавиатуры, меняем клавишу смены языка и проверяем работоспособность (рис. 7).</w:t>
      </w:r>
    </w:p>
    <w:p>
      <w:pPr>
        <w:pStyle w:val="CaptionedFigure"/>
      </w:pPr>
      <w:r>
        <w:drawing>
          <wp:inline>
            <wp:extent cx="3733800" cy="2385165"/>
            <wp:effectExtent b="0" l="0" r="0" t="0"/>
            <wp:docPr descr="Добавление язык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языка</w:t>
      </w:r>
    </w:p>
    <w:p>
      <w:pPr>
        <w:pStyle w:val="BodyText"/>
      </w:pPr>
      <w:r>
        <w:t xml:space="preserve">Проверяем что дата и время выбраны правильно (рис. 8).</w:t>
      </w:r>
    </w:p>
    <w:p>
      <w:pPr>
        <w:pStyle w:val="CaptionedFigure"/>
      </w:pPr>
      <w:r>
        <w:drawing>
          <wp:inline>
            <wp:extent cx="3733800" cy="2364358"/>
            <wp:effectExtent b="0" l="0" r="0" t="0"/>
            <wp:docPr descr="Дата и время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4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Дата и время</w:t>
      </w:r>
    </w:p>
    <w:p>
      <w:pPr>
        <w:pStyle w:val="BodyText"/>
      </w:pPr>
      <w:r>
        <w:t xml:space="preserve">В разделе выбора программ указываем в качестве базового окружения Server with GUI, а в качестве дополнения — Development Tools (рис. 9).</w:t>
      </w:r>
    </w:p>
    <w:p>
      <w:pPr>
        <w:pStyle w:val="CaptionedFigure"/>
      </w:pPr>
      <w:r>
        <w:drawing>
          <wp:inline>
            <wp:extent cx="3733800" cy="1995342"/>
            <wp:effectExtent b="0" l="0" r="0" t="0"/>
            <wp:docPr descr="Выбор программ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Выбор программ</w:t>
      </w:r>
    </w:p>
    <w:p>
      <w:pPr>
        <w:pStyle w:val="BodyText"/>
      </w:pPr>
      <w:r>
        <w:t xml:space="preserve">При выборе места установки оставляем те параметры, которые были выставлены автоматически (рис. 10).</w:t>
      </w:r>
    </w:p>
    <w:p>
      <w:pPr>
        <w:pStyle w:val="CaptionedFigure"/>
      </w:pPr>
      <w:r>
        <w:drawing>
          <wp:inline>
            <wp:extent cx="3733800" cy="1710834"/>
            <wp:effectExtent b="0" l="0" r="0" t="0"/>
            <wp:docPr descr="Место установки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Место установки</w:t>
      </w:r>
    </w:p>
    <w:p>
      <w:pPr>
        <w:pStyle w:val="BodyText"/>
      </w:pPr>
      <w:r>
        <w:t xml:space="preserve">После этого отключаем KDUMP (рис. 11).</w:t>
      </w:r>
    </w:p>
    <w:p>
      <w:pPr>
        <w:pStyle w:val="CaptionedFigure"/>
      </w:pPr>
      <w:r>
        <w:drawing>
          <wp:inline>
            <wp:extent cx="3733800" cy="247936"/>
            <wp:effectExtent b="0" l="0" r="0" t="0"/>
            <wp:docPr descr="Отключение KDUMP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Отключение KDUMP</w:t>
      </w:r>
    </w:p>
    <w:p>
      <w:pPr>
        <w:pStyle w:val="BodyText"/>
      </w:pPr>
      <w:r>
        <w:t xml:space="preserve">Подключаем сетевое соединение и в качестве имени узла указываем oskalashnikova.localdomaim (рис. 12).</w:t>
      </w:r>
    </w:p>
    <w:p>
      <w:pPr>
        <w:pStyle w:val="CaptionedFigure"/>
      </w:pPr>
      <w:r>
        <w:drawing>
          <wp:inline>
            <wp:extent cx="3733800" cy="2254594"/>
            <wp:effectExtent b="0" l="0" r="0" t="0"/>
            <wp:docPr descr="Cеть и имя узл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Cеть и имя узла</w:t>
      </w:r>
    </w:p>
    <w:p>
      <w:pPr>
        <w:pStyle w:val="BodyText"/>
      </w:pPr>
      <w:r>
        <w:t xml:space="preserve">Устанавливаем пароль для root (рис. 13).</w:t>
      </w:r>
    </w:p>
    <w:p>
      <w:pPr>
        <w:pStyle w:val="CaptionedFigure"/>
      </w:pPr>
      <w:r>
        <w:drawing>
          <wp:inline>
            <wp:extent cx="3733800" cy="1288193"/>
            <wp:effectExtent b="0" l="0" r="0" t="0"/>
            <wp:docPr descr="Установка пароля для root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8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пароля для root</w:t>
      </w:r>
    </w:p>
    <w:p>
      <w:pPr>
        <w:pStyle w:val="BodyText"/>
      </w:pPr>
      <w:r>
        <w:t xml:space="preserve">Устанавливаем пароль для пользователя с правами администратора (рис. 14).</w:t>
      </w:r>
    </w:p>
    <w:p>
      <w:pPr>
        <w:pStyle w:val="CaptionedFigure"/>
      </w:pPr>
      <w:r>
        <w:drawing>
          <wp:inline>
            <wp:extent cx="3733800" cy="1955527"/>
            <wp:effectExtent b="0" l="0" r="0" t="0"/>
            <wp:docPr descr="Установка пароля для пользователя с правами администратор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пароля для пользователя с правами администратора</w:t>
      </w:r>
    </w:p>
    <w:p>
      <w:pPr>
        <w:pStyle w:val="BodyText"/>
      </w:pPr>
      <w:r>
        <w:t xml:space="preserve">Проверяем всё ли выполнено и нажимаем начать установку(рис. 15).</w:t>
      </w:r>
    </w:p>
    <w:p>
      <w:pPr>
        <w:pStyle w:val="CaptionedFigure"/>
      </w:pPr>
      <w:r>
        <w:drawing>
          <wp:inline>
            <wp:extent cx="3733800" cy="2383153"/>
            <wp:effectExtent b="0" l="0" r="0" t="0"/>
            <wp:docPr descr="Проверка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p>
      <w:pPr>
        <w:pStyle w:val="BodyText"/>
      </w:pPr>
      <w:r>
        <w:t xml:space="preserve">Устанавливаем ОС (рис. 16).</w:t>
      </w:r>
    </w:p>
    <w:p>
      <w:pPr>
        <w:pStyle w:val="CaptionedFigure"/>
      </w:pPr>
      <w:r>
        <w:drawing>
          <wp:inline>
            <wp:extent cx="3733800" cy="2443421"/>
            <wp:effectExtent b="0" l="0" r="0" t="0"/>
            <wp:docPr descr="Установка ОС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ОС</w:t>
      </w:r>
    </w:p>
    <w:p>
      <w:pPr>
        <w:pStyle w:val="BodyText"/>
      </w:pPr>
      <w:r>
        <w:t xml:space="preserve">После успешной установки перезагружаем систему. Вход происходит по паролю который мы задали (рис. 17).</w:t>
      </w:r>
    </w:p>
    <w:p>
      <w:pPr>
        <w:pStyle w:val="CaptionedFigure"/>
      </w:pPr>
      <w:r>
        <w:drawing>
          <wp:inline>
            <wp:extent cx="3733800" cy="2662689"/>
            <wp:effectExtent b="0" l="0" r="0" t="0"/>
            <wp:docPr descr="Вход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Вход</w:t>
      </w:r>
    </w:p>
    <w:p>
      <w:pPr>
        <w:pStyle w:val="BodyText"/>
      </w:pPr>
      <w:r>
        <w:t xml:space="preserve">Проверяем вход в root, всё работает (рис. 18).</w:t>
      </w:r>
    </w:p>
    <w:p>
      <w:pPr>
        <w:pStyle w:val="CaptionedFigure"/>
      </w:pPr>
      <w:r>
        <w:drawing>
          <wp:inline>
            <wp:extent cx="3733800" cy="2662689"/>
            <wp:effectExtent b="0" l="0" r="0" t="0"/>
            <wp:docPr descr="Вход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Вход</w:t>
      </w:r>
    </w:p>
    <w:p>
      <w:pPr>
        <w:pStyle w:val="BodyText"/>
      </w:pPr>
      <w:r>
        <w:t xml:space="preserve">Подключаем образ диска Дополнительной гостевой ОС (рис. 19)</w:t>
      </w:r>
    </w:p>
    <w:p>
      <w:pPr>
        <w:pStyle w:val="CaptionedFigure"/>
      </w:pPr>
      <w:r>
        <w:drawing>
          <wp:inline>
            <wp:extent cx="3733800" cy="2945984"/>
            <wp:effectExtent b="0" l="0" r="0" t="0"/>
            <wp:docPr descr="Подключение образа диска Дополнительной гостевой ОС" title="" id="75" name="Picture"/>
            <a:graphic>
              <a:graphicData uri="http://schemas.openxmlformats.org/drawingml/2006/picture">
                <pic:pic>
                  <pic:nvPicPr>
                    <pic:cNvPr descr="image/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Подключение образа диска Дополнительной гостевой ОС</w:t>
      </w:r>
    </w:p>
    <w:bookmarkEnd w:id="77"/>
    <w:bookmarkStart w:id="108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 (рис. 20)</w:t>
      </w:r>
    </w:p>
    <w:p>
      <w:pPr>
        <w:pStyle w:val="CaptionedFigure"/>
      </w:pPr>
      <w:r>
        <w:drawing>
          <wp:inline>
            <wp:extent cx="3733800" cy="1631667"/>
            <wp:effectExtent b="0" l="0" r="0" t="0"/>
            <wp:docPr descr="dmesg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dmesg</w:t>
      </w:r>
    </w:p>
    <w:p>
      <w:pPr>
        <w:pStyle w:val="BodyText"/>
      </w:pPr>
      <w:r>
        <w:t xml:space="preserve">Далее посмотрим вывод этой команды с помошью dmesg | less (рис. 21), (рис. 22)</w:t>
      </w:r>
    </w:p>
    <w:p>
      <w:pPr>
        <w:pStyle w:val="CaptionedFigure"/>
      </w:pPr>
      <w:r>
        <w:drawing>
          <wp:inline>
            <wp:extent cx="3733800" cy="345515"/>
            <wp:effectExtent b="0" l="0" r="0" t="0"/>
            <wp:docPr descr="dmesg | less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dmesg | less</w:t>
      </w:r>
    </w:p>
    <w:p>
      <w:pPr>
        <w:pStyle w:val="CaptionedFigure"/>
      </w:pPr>
      <w:r>
        <w:drawing>
          <wp:inline>
            <wp:extent cx="3733800" cy="1964006"/>
            <wp:effectExtent b="0" l="0" r="0" t="0"/>
            <wp:docPr descr="dmesg | less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dmesg | less</w:t>
      </w:r>
    </w:p>
    <w:p>
      <w:pPr>
        <w:pStyle w:val="BodyText"/>
      </w:pPr>
      <w:r>
        <w:t xml:space="preserve">Далее получаем следующую информацию:</w:t>
      </w:r>
    </w:p>
    <w:p>
      <w:pPr>
        <w:numPr>
          <w:ilvl w:val="0"/>
          <w:numId w:val="1001"/>
        </w:numPr>
      </w:pPr>
      <w:r>
        <w:t xml:space="preserve">Версия ядра Linux (Linux version) (рис. 23)</w:t>
      </w:r>
    </w:p>
    <w:p>
      <w:pPr>
        <w:numPr>
          <w:ilvl w:val="0"/>
          <w:numId w:val="1001"/>
        </w:numPr>
      </w:pPr>
      <w:r>
        <w:t xml:space="preserve">Частота процессора (Detected Mhz processor) (рис. 24)</w:t>
      </w:r>
    </w:p>
    <w:p>
      <w:pPr>
        <w:numPr>
          <w:ilvl w:val="0"/>
          <w:numId w:val="1001"/>
        </w:numPr>
      </w:pPr>
      <w:r>
        <w:t xml:space="preserve">Модель процессора (CPU0) (рис. 25)</w:t>
      </w:r>
    </w:p>
    <w:p>
      <w:pPr>
        <w:numPr>
          <w:ilvl w:val="0"/>
          <w:numId w:val="1001"/>
        </w:numPr>
      </w:pPr>
      <w:r>
        <w:t xml:space="preserve">Объем доступной оперативной памяти (Memory available) (рис. 26)</w:t>
      </w:r>
    </w:p>
    <w:p>
      <w:pPr>
        <w:numPr>
          <w:ilvl w:val="0"/>
          <w:numId w:val="1001"/>
        </w:numPr>
      </w:pPr>
      <w:r>
        <w:t xml:space="preserve">Тип обнаруженного гипервизора (Hypervisor detected) (рис. 27)</w:t>
      </w:r>
    </w:p>
    <w:p>
      <w:pPr>
        <w:numPr>
          <w:ilvl w:val="0"/>
          <w:numId w:val="1001"/>
        </w:numPr>
      </w:pPr>
      <w:r>
        <w:t xml:space="preserve">Тип файловой системы корневого раздела (рис. 28)</w:t>
      </w:r>
    </w:p>
    <w:p>
      <w:pPr>
        <w:numPr>
          <w:ilvl w:val="0"/>
          <w:numId w:val="1001"/>
        </w:numPr>
      </w:pPr>
      <w:r>
        <w:t xml:space="preserve">Последовательность монтирования файловых систем (рис. 29)</w:t>
      </w:r>
    </w:p>
    <w:p>
      <w:pPr>
        <w:pStyle w:val="CaptionedFigure"/>
      </w:pPr>
      <w:r>
        <w:drawing>
          <wp:inline>
            <wp:extent cx="3733800" cy="422797"/>
            <wp:effectExtent b="0" l="0" r="0" t="0"/>
            <wp:docPr descr="Linux version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Linux version</w:t>
      </w:r>
    </w:p>
    <w:p>
      <w:pPr>
        <w:pStyle w:val="CaptionedFigure"/>
      </w:pPr>
      <w:r>
        <w:drawing>
          <wp:inline>
            <wp:extent cx="3733800" cy="424928"/>
            <wp:effectExtent b="0" l="0" r="0" t="0"/>
            <wp:docPr descr="Detected Mhz processor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Detected Mhz processor</w:t>
      </w:r>
    </w:p>
    <w:p>
      <w:pPr>
        <w:pStyle w:val="CaptionedFigure"/>
      </w:pPr>
      <w:r>
        <w:drawing>
          <wp:inline>
            <wp:extent cx="3733800" cy="343180"/>
            <wp:effectExtent b="0" l="0" r="0" t="0"/>
            <wp:docPr descr="CPU0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CPU0</w:t>
      </w:r>
    </w:p>
    <w:p>
      <w:pPr>
        <w:pStyle w:val="CaptionedFigure"/>
      </w:pPr>
      <w:r>
        <w:drawing>
          <wp:inline>
            <wp:extent cx="3733800" cy="525569"/>
            <wp:effectExtent b="0" l="0" r="0" t="0"/>
            <wp:docPr descr="Memory available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Memory available</w:t>
      </w:r>
    </w:p>
    <w:p>
      <w:pPr>
        <w:pStyle w:val="CaptionedFigure"/>
      </w:pPr>
      <w:r>
        <w:drawing>
          <wp:inline>
            <wp:extent cx="3733800" cy="348781"/>
            <wp:effectExtent b="0" l="0" r="0" t="0"/>
            <wp:docPr descr="Hypervisor detected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Hypervisor detected</w:t>
      </w:r>
    </w:p>
    <w:p>
      <w:pPr>
        <w:pStyle w:val="CaptionedFigure"/>
      </w:pPr>
      <w:r>
        <w:drawing>
          <wp:inline>
            <wp:extent cx="3733800" cy="376132"/>
            <wp:effectExtent b="0" l="0" r="0" t="0"/>
            <wp:docPr descr="Тип файловой системы корневого раздел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Тип файловой системы корневого раздела</w:t>
      </w:r>
    </w:p>
    <w:p>
      <w:pPr>
        <w:pStyle w:val="CaptionedFigure"/>
      </w:pPr>
      <w:r>
        <w:drawing>
          <wp:inline>
            <wp:extent cx="3733800" cy="1327389"/>
            <wp:effectExtent b="0" l="0" r="0" t="0"/>
            <wp:docPr descr="Последовательность монтирования файловых систем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Последовательность монтирования файловых систем</w:t>
      </w:r>
    </w:p>
    <w:bookmarkEnd w:id="108"/>
    <w:bookmarkStart w:id="109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Какую информацию содержит учётная запись пользователя?</w:t>
      </w:r>
    </w:p>
    <w:p>
      <w:pPr>
        <w:numPr>
          <w:ilvl w:val="0"/>
          <w:numId w:val="1003"/>
        </w:numPr>
        <w:pStyle w:val="Compact"/>
      </w:pPr>
      <w:r>
        <w:t xml:space="preserve">Имя пользователя (логин)</w:t>
      </w:r>
    </w:p>
    <w:p>
      <w:pPr>
        <w:numPr>
          <w:ilvl w:val="0"/>
          <w:numId w:val="1003"/>
        </w:numPr>
        <w:pStyle w:val="Compact"/>
      </w:pPr>
      <w:r>
        <w:t xml:space="preserve">UID (идентификатор пользователя)</w:t>
      </w:r>
    </w:p>
    <w:p>
      <w:pPr>
        <w:numPr>
          <w:ilvl w:val="0"/>
          <w:numId w:val="1003"/>
        </w:numPr>
        <w:pStyle w:val="Compact"/>
      </w:pPr>
      <w:r>
        <w:t xml:space="preserve">GID (идентификатор группы, к которой принадлежит пользователь)</w:t>
      </w:r>
    </w:p>
    <w:p>
      <w:pPr>
        <w:numPr>
          <w:ilvl w:val="0"/>
          <w:numId w:val="1003"/>
        </w:numPr>
        <w:pStyle w:val="Compact"/>
      </w:pPr>
      <w:r>
        <w:t xml:space="preserve">Полное имя (или комментарий)</w:t>
      </w:r>
    </w:p>
    <w:p>
      <w:pPr>
        <w:numPr>
          <w:ilvl w:val="0"/>
          <w:numId w:val="1003"/>
        </w:numPr>
        <w:pStyle w:val="Compact"/>
      </w:pPr>
      <w:r>
        <w:t xml:space="preserve">Пароль (обычно хранится в зашифрованном виде)</w:t>
      </w:r>
    </w:p>
    <w:p>
      <w:pPr>
        <w:numPr>
          <w:ilvl w:val="0"/>
          <w:numId w:val="1003"/>
        </w:numPr>
        <w:pStyle w:val="Compact"/>
      </w:pPr>
      <w:r>
        <w:t xml:space="preserve">Дата последнего входа</w:t>
      </w:r>
    </w:p>
    <w:p>
      <w:pPr>
        <w:numPr>
          <w:ilvl w:val="0"/>
          <w:numId w:val="1003"/>
        </w:numPr>
        <w:pStyle w:val="Compact"/>
      </w:pPr>
      <w:r>
        <w:t xml:space="preserve">Домашний каталог</w:t>
      </w:r>
    </w:p>
    <w:p>
      <w:pPr>
        <w:numPr>
          <w:ilvl w:val="0"/>
          <w:numId w:val="1003"/>
        </w:numPr>
        <w:pStyle w:val="Compact"/>
      </w:pPr>
      <w:r>
        <w:t xml:space="preserve">Команда по умолчанию для оболочки (например, /bin/bash)</w:t>
      </w:r>
    </w:p>
    <w:p>
      <w:pPr>
        <w:numPr>
          <w:ilvl w:val="0"/>
          <w:numId w:val="1004"/>
        </w:numPr>
        <w:pStyle w:val="Compact"/>
      </w:pPr>
      <w:r>
        <w:t xml:space="preserve">Укажите команды терминала и приведите примеры</w:t>
      </w:r>
    </w:p>
    <w:p>
      <w:pPr>
        <w:numPr>
          <w:ilvl w:val="0"/>
          <w:numId w:val="1005"/>
        </w:numPr>
      </w:pPr>
      <w:r>
        <w:t xml:space="preserve">Для получения справки по команде: man команда. Пример: man ls (открывает справку по команде ls).</w:t>
      </w:r>
    </w:p>
    <w:p>
      <w:pPr>
        <w:numPr>
          <w:ilvl w:val="0"/>
          <w:numId w:val="1005"/>
        </w:numPr>
      </w:pPr>
      <w:r>
        <w:t xml:space="preserve">Для перемещения по файловой системе: cd путь. Пример: cd /home/user (перемещает в каталог пользователя).</w:t>
      </w:r>
    </w:p>
    <w:p>
      <w:pPr>
        <w:numPr>
          <w:ilvl w:val="0"/>
          <w:numId w:val="1005"/>
        </w:numPr>
      </w:pPr>
      <w:r>
        <w:t xml:space="preserve">Для просмотра содержимого каталога: ls. Пример: ls -l (показывает содержимое с подробной информацией).</w:t>
      </w:r>
    </w:p>
    <w:p>
      <w:pPr>
        <w:numPr>
          <w:ilvl w:val="0"/>
          <w:numId w:val="1005"/>
        </w:numPr>
      </w:pPr>
      <w:r>
        <w:t xml:space="preserve">Для задания определённых прав на файл / каталог: chmod права файл/каталог. Пример: chmod 755 script.sh (устанавливает права на выполнение для владельца и чтение для группы и других).</w:t>
      </w:r>
    </w:p>
    <w:p>
      <w:pPr>
        <w:numPr>
          <w:ilvl w:val="0"/>
          <w:numId w:val="1006"/>
        </w:numPr>
        <w:pStyle w:val="Compact"/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(англ. file system) — порядок, определяющий способ организации, хранения и именования данных во внешней памяти, и обеспечивающий пользователю удобный интерфейс при работе с такими данными. Простыми словами файловая система - это система хранения файлов и организации каталогов. От файловой системы зависит, как файлы будут кодироваться, храниться на диске и читаться компьютером.</w:t>
      </w:r>
    </w:p>
    <w:p>
      <w:pPr>
        <w:pStyle w:val="BodyText"/>
      </w:pPr>
      <w:r>
        <w:t xml:space="preserve">Примеры:</w:t>
      </w:r>
    </w:p>
    <w:p>
      <w:pPr>
        <w:numPr>
          <w:ilvl w:val="0"/>
          <w:numId w:val="1007"/>
        </w:numPr>
      </w:pPr>
      <w:r>
        <w:t xml:space="preserve">FAT (англ. File Allocation Table «таблица размещения файлов») — классическая архитектура файловой системы, которая из-за своей простоты всё ещё широко применяется для флеш-накопителей. Используется в дискетах, картах памяти и некоторых других носителях информации. Ранее находила применение и на жёстких дисках.</w:t>
      </w:r>
    </w:p>
    <w:p>
      <w:pPr>
        <w:numPr>
          <w:ilvl w:val="0"/>
          <w:numId w:val="1007"/>
        </w:numPr>
      </w:pPr>
      <w:r>
        <w:t xml:space="preserve">NTFS (англ. new technology file system — «файловая система новой технологии») — стандартная файловая система для семейства операционных систем Windows NT фирмы Microsoft.</w:t>
      </w:r>
    </w:p>
    <w:p>
      <w:pPr>
        <w:numPr>
          <w:ilvl w:val="0"/>
          <w:numId w:val="1007"/>
        </w:numPr>
      </w:pPr>
      <w:r>
        <w:t xml:space="preserve">Ext4 (англ. fourth extended file system, ext4fs) — журналируемая файловая система, используемая преимущественно в операционных системах с ядром Linux, созданная на базе ext3 в 2006 году.</w:t>
      </w:r>
    </w:p>
    <w:p>
      <w:pPr>
        <w:numPr>
          <w:ilvl w:val="0"/>
          <w:numId w:val="1008"/>
        </w:numPr>
        <w:pStyle w:val="Compact"/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df</w:t>
      </w:r>
    </w:p>
    <w:p>
      <w:pPr>
        <w:numPr>
          <w:ilvl w:val="0"/>
          <w:numId w:val="1009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kill с идентификатором (PID) процесса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мной были приобретены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10"/>
    <w:bookmarkStart w:id="11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</w:pPr>
      <w:r>
        <w:t xml:space="preserve">Лаборатораня работа №1 [Электронный ресурс] URL: https://esystem.rudn.ru/pluginfile.php/2580975/mod_folder/content/0/001-lab_virtualbox.pdf</w:t>
      </w:r>
    </w:p>
    <w:p>
      <w:pPr>
        <w:numPr>
          <w:ilvl w:val="0"/>
          <w:numId w:val="1010"/>
        </w:numPr>
      </w:pPr>
      <w:r>
        <w:t xml:space="preserve">VirtualBox [Электронный ресурс] URL: https://www.virtualbox.org/wiki/Linux_Downloads</w:t>
      </w:r>
    </w:p>
    <w:p>
      <w:pPr>
        <w:numPr>
          <w:ilvl w:val="0"/>
          <w:numId w:val="1010"/>
        </w:numPr>
      </w:pPr>
      <w:r>
        <w:t xml:space="preserve">Rocky Linux [Электронный ресурс] URL: https://rockylinux.org/ru-RU/download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Калашникова Ольга Сергеевна</dc:creator>
  <dc:language>ru-RU</dc:language>
  <cp:keywords/>
  <dcterms:created xsi:type="dcterms:W3CDTF">2025-02-22T14:53:00Z</dcterms:created>
  <dcterms:modified xsi:type="dcterms:W3CDTF">2025-02-22T14:53:00Z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