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Oceanside Housing Pipeline Collapse</w:t>
        <w:br/>
        <w:t>January–June 2026</w:t>
      </w:r>
    </w:p>
    <w:p>
      <w:pPr>
        <w:jc w:val="center"/>
      </w:pPr>
      <w:r>
        <w:rPr>
          <w:i/>
          <w:color w:val="666666"/>
          <w:sz w:val="24"/>
        </w:rPr>
        <w:t>Data Briefing — June 2026</w:t>
      </w:r>
    </w:p>
    <w:p/>
    <w:p>
      <w:pPr>
        <w:pStyle w:val="Heading2"/>
      </w:pPr>
      <w:r>
        <w:t>One Housing Application in Six Months</w:t>
      </w:r>
    </w:p>
    <w:p>
      <w:r>
        <w:rPr>
          <w:b/>
        </w:rPr>
        <w:t>Between January 1 and June 19, 2026, the City of Oceanside received one discretionary housing application.</w:t>
      </w:r>
    </w:p>
    <w:p>
      <w:r>
        <w:t>That application — DB26-00001, a 142-unit multifamily project at 1640 Oceanside Boulevard — was filed under AB 2011 (the Affordable Housing and High Road Jobs Act), a state law that converts the approval to a ministerial process. The developer used state law to bypass city discretionary review entirely. Without AB 2011, the count would be zero.</w:t>
      </w:r>
    </w:p>
    <w:p>
      <w:r>
        <w:t>This is a city of 183,000 people with a 6th cycle RHNA obligation of approximately 7,100 units by 2029.</w:t>
      </w:r>
    </w:p>
    <w:p>
      <w:pPr>
        <w:pStyle w:val="Heading2"/>
      </w:pPr>
      <w:r>
        <w:t>Historical Comparison: Discretionary Housing Filings</w:t>
      </w:r>
    </w:p>
    <w:p>
      <w:r>
        <w:t>The following table shows all discretionary development applications (D-, DB-, and RD-prefix projects in the city's eTRAKiT permit system) filed per year, alongside total housing units reported to HCD via the Annual Progress Report.</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Year</w:t>
            </w:r>
          </w:p>
        </w:tc>
        <w:tc>
          <w:tcPr>
            <w:tcW w:type="dxa" w:w="2160"/>
          </w:tcPr>
          <w:p>
            <w:r>
              <w:rPr>
                <w:b/>
                <w:sz w:val="18"/>
              </w:rPr>
              <w:t>Discretionary Apps</w:t>
              <w:br/>
              <w:t>(D/DB/RD)</w:t>
            </w:r>
          </w:p>
        </w:tc>
        <w:tc>
          <w:tcPr>
            <w:tcW w:type="dxa" w:w="2160"/>
          </w:tcPr>
          <w:p>
            <w:r>
              <w:rPr>
                <w:b/>
                <w:sz w:val="18"/>
              </w:rPr>
              <w:t>Total Units Filed</w:t>
              <w:br/>
              <w:t>(HCD APR)</w:t>
            </w:r>
          </w:p>
        </w:tc>
        <w:tc>
          <w:tcPr>
            <w:tcW w:type="dxa" w:w="2160"/>
          </w:tcPr>
          <w:p>
            <w:r>
              <w:rPr>
                <w:b/>
                <w:sz w:val="18"/>
              </w:rPr>
              <w:t>Large Projects</w:t>
              <w:br/>
              <w:t>(50+ units)</w:t>
            </w:r>
          </w:p>
        </w:tc>
      </w:tr>
      <w:tr>
        <w:tc>
          <w:tcPr>
            <w:tcW w:type="dxa" w:w="2160"/>
          </w:tcPr>
          <w:p>
            <w:r>
              <w:t>2018</w:t>
            </w:r>
          </w:p>
        </w:tc>
        <w:tc>
          <w:tcPr>
            <w:tcW w:type="dxa" w:w="2160"/>
          </w:tcPr>
          <w:p>
            <w:r>
              <w:t>22</w:t>
            </w:r>
          </w:p>
        </w:tc>
        <w:tc>
          <w:tcPr>
            <w:tcW w:type="dxa" w:w="2160"/>
          </w:tcPr>
          <w:p>
            <w:r>
              <w:t>576</w:t>
            </w:r>
          </w:p>
        </w:tc>
        <w:tc>
          <w:tcPr>
            <w:tcW w:type="dxa" w:w="2160"/>
          </w:tcPr>
          <w:p>
            <w:r>
              <w:t>1</w:t>
            </w:r>
          </w:p>
        </w:tc>
      </w:tr>
      <w:tr>
        <w:tc>
          <w:tcPr>
            <w:tcW w:type="dxa" w:w="2160"/>
          </w:tcPr>
          <w:p>
            <w:r>
              <w:t>2019</w:t>
            </w:r>
          </w:p>
        </w:tc>
        <w:tc>
          <w:tcPr>
            <w:tcW w:type="dxa" w:w="2160"/>
          </w:tcPr>
          <w:p>
            <w:r>
              <w:t>24</w:t>
            </w:r>
          </w:p>
        </w:tc>
        <w:tc>
          <w:tcPr>
            <w:tcW w:type="dxa" w:w="2160"/>
          </w:tcPr>
          <w:p>
            <w:r>
              <w:t>1,090</w:t>
            </w:r>
          </w:p>
        </w:tc>
        <w:tc>
          <w:tcPr>
            <w:tcW w:type="dxa" w:w="2160"/>
          </w:tcPr>
          <w:p>
            <w:r>
              <w:t>3</w:t>
            </w:r>
          </w:p>
        </w:tc>
      </w:tr>
      <w:tr>
        <w:tc>
          <w:tcPr>
            <w:tcW w:type="dxa" w:w="2160"/>
          </w:tcPr>
          <w:p>
            <w:r>
              <w:t>2020</w:t>
            </w:r>
          </w:p>
        </w:tc>
        <w:tc>
          <w:tcPr>
            <w:tcW w:type="dxa" w:w="2160"/>
          </w:tcPr>
          <w:p>
            <w:r>
              <w:t>23</w:t>
            </w:r>
          </w:p>
        </w:tc>
        <w:tc>
          <w:tcPr>
            <w:tcW w:type="dxa" w:w="2160"/>
          </w:tcPr>
          <w:p>
            <w:r>
              <w:t>399</w:t>
            </w:r>
          </w:p>
        </w:tc>
        <w:tc>
          <w:tcPr>
            <w:tcW w:type="dxa" w:w="2160"/>
          </w:tcPr>
          <w:p>
            <w:r>
              <w:t>1</w:t>
            </w:r>
          </w:p>
        </w:tc>
      </w:tr>
      <w:tr>
        <w:tc>
          <w:tcPr>
            <w:tcW w:type="dxa" w:w="2160"/>
          </w:tcPr>
          <w:p>
            <w:r>
              <w:t>2021</w:t>
            </w:r>
          </w:p>
        </w:tc>
        <w:tc>
          <w:tcPr>
            <w:tcW w:type="dxa" w:w="2160"/>
          </w:tcPr>
          <w:p>
            <w:r>
              <w:t>24</w:t>
            </w:r>
          </w:p>
        </w:tc>
        <w:tc>
          <w:tcPr>
            <w:tcW w:type="dxa" w:w="2160"/>
          </w:tcPr>
          <w:p>
            <w:r>
              <w:t>1,698</w:t>
            </w:r>
          </w:p>
        </w:tc>
        <w:tc>
          <w:tcPr>
            <w:tcW w:type="dxa" w:w="2160"/>
          </w:tcPr>
          <w:p>
            <w:r>
              <w:t>8</w:t>
            </w:r>
          </w:p>
        </w:tc>
      </w:tr>
      <w:tr>
        <w:tc>
          <w:tcPr>
            <w:tcW w:type="dxa" w:w="2160"/>
          </w:tcPr>
          <w:p>
            <w:r>
              <w:t>2022</w:t>
            </w:r>
          </w:p>
        </w:tc>
        <w:tc>
          <w:tcPr>
            <w:tcW w:type="dxa" w:w="2160"/>
          </w:tcPr>
          <w:p>
            <w:r>
              <w:t>36</w:t>
            </w:r>
          </w:p>
        </w:tc>
        <w:tc>
          <w:tcPr>
            <w:tcW w:type="dxa" w:w="2160"/>
          </w:tcPr>
          <w:p>
            <w:r>
              <w:t>3,211</w:t>
            </w:r>
          </w:p>
        </w:tc>
        <w:tc>
          <w:tcPr>
            <w:tcW w:type="dxa" w:w="2160"/>
          </w:tcPr>
          <w:p>
            <w:r>
              <w:t>13</w:t>
            </w:r>
          </w:p>
        </w:tc>
      </w:tr>
      <w:tr>
        <w:tc>
          <w:tcPr>
            <w:tcW w:type="dxa" w:w="2160"/>
          </w:tcPr>
          <w:p>
            <w:r>
              <w:t>2023</w:t>
            </w:r>
          </w:p>
        </w:tc>
        <w:tc>
          <w:tcPr>
            <w:tcW w:type="dxa" w:w="2160"/>
          </w:tcPr>
          <w:p>
            <w:r>
              <w:t>35</w:t>
            </w:r>
          </w:p>
        </w:tc>
        <w:tc>
          <w:tcPr>
            <w:tcW w:type="dxa" w:w="2160"/>
          </w:tcPr>
          <w:p>
            <w:r>
              <w:t>1,977</w:t>
            </w:r>
          </w:p>
        </w:tc>
        <w:tc>
          <w:tcPr>
            <w:tcW w:type="dxa" w:w="2160"/>
          </w:tcPr>
          <w:p>
            <w:r>
              <w:t>7</w:t>
            </w:r>
          </w:p>
        </w:tc>
      </w:tr>
      <w:tr>
        <w:tc>
          <w:tcPr>
            <w:tcW w:type="dxa" w:w="2160"/>
          </w:tcPr>
          <w:p>
            <w:r>
              <w:t>2024</w:t>
            </w:r>
          </w:p>
        </w:tc>
        <w:tc>
          <w:tcPr>
            <w:tcW w:type="dxa" w:w="2160"/>
          </w:tcPr>
          <w:p>
            <w:r>
              <w:t>34</w:t>
            </w:r>
          </w:p>
        </w:tc>
        <w:tc>
          <w:tcPr>
            <w:tcW w:type="dxa" w:w="2160"/>
          </w:tcPr>
          <w:p>
            <w:r>
              <w:t>2,023</w:t>
            </w:r>
          </w:p>
        </w:tc>
        <w:tc>
          <w:tcPr>
            <w:tcW w:type="dxa" w:w="2160"/>
          </w:tcPr>
          <w:p>
            <w:r>
              <w:t>10</w:t>
            </w:r>
          </w:p>
        </w:tc>
      </w:tr>
      <w:tr>
        <w:tc>
          <w:tcPr>
            <w:tcW w:type="dxa" w:w="2160"/>
          </w:tcPr>
          <w:p>
            <w:r>
              <w:t>2025</w:t>
            </w:r>
          </w:p>
        </w:tc>
        <w:tc>
          <w:tcPr>
            <w:tcW w:type="dxa" w:w="2160"/>
          </w:tcPr>
          <w:p>
            <w:r>
              <w:t>25 (18 housing)</w:t>
            </w:r>
          </w:p>
        </w:tc>
        <w:tc>
          <w:tcPr>
            <w:tcW w:type="dxa" w:w="2160"/>
          </w:tcPr>
          <w:p>
            <w:r>
              <w:t>1,954</w:t>
            </w:r>
          </w:p>
        </w:tc>
        <w:tc>
          <w:tcPr>
            <w:tcW w:type="dxa" w:w="2160"/>
          </w:tcPr>
          <w:p>
            <w:r>
              <w:t>7</w:t>
            </w:r>
          </w:p>
        </w:tc>
      </w:tr>
      <w:tr>
        <w:tc>
          <w:tcPr>
            <w:tcW w:type="dxa" w:w="2160"/>
          </w:tcPr>
          <w:p>
            <w:r>
              <w:rPr>
                <w:b/>
                <w:color w:val="8B0000"/>
              </w:rPr>
              <w:t>2026 (Jan–Jun)</w:t>
            </w:r>
          </w:p>
        </w:tc>
        <w:tc>
          <w:tcPr>
            <w:tcW w:type="dxa" w:w="2160"/>
          </w:tcPr>
          <w:p>
            <w:r>
              <w:rPr>
                <w:b/>
                <w:color w:val="8B0000"/>
              </w:rPr>
              <w:t>5 (1 housing)</w:t>
            </w:r>
          </w:p>
        </w:tc>
        <w:tc>
          <w:tcPr>
            <w:tcW w:type="dxa" w:w="2160"/>
          </w:tcPr>
          <w:p>
            <w:r>
              <w:rPr>
                <w:b/>
                <w:color w:val="8B0000"/>
              </w:rPr>
              <w:t>—</w:t>
            </w:r>
          </w:p>
        </w:tc>
        <w:tc>
          <w:tcPr>
            <w:tcW w:type="dxa" w:w="2160"/>
          </w:tcPr>
          <w:p>
            <w:r>
              <w:rPr>
                <w:b/>
                <w:color w:val="8B0000"/>
              </w:rPr>
              <w:t>0</w:t>
            </w:r>
          </w:p>
        </w:tc>
      </w:tr>
    </w:tbl>
    <w:p/>
    <w:p>
      <w:r>
        <w:t>In 2025, the city received 18 discretionary housing applications. In the first half of 2026, it received one. The remaining 4 discretionary applications in 2026 were a police training facility, a medical office, and two Walmart expansions.</w:t>
      </w:r>
    </w:p>
    <w:p>
      <w:pPr>
        <w:pStyle w:val="Heading2"/>
      </w:pPr>
      <w:r>
        <w:t>2025 vs. 2026: Discretionary and Ministerial</w:t>
      </w:r>
    </w:p>
    <w:p>
      <w:r>
        <w:t>The city's eTRAKiT system has two search portals: a project search for discretionary applications and a permit search for ministerial building permits. The following table combines both to show total housing activity.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2025</w:t>
              <w:br/>
              <w:t>(full year)</w:t>
            </w:r>
          </w:p>
        </w:tc>
        <w:tc>
          <w:tcPr>
            <w:tcW w:type="dxa" w:w="2880"/>
          </w:tcPr>
          <w:p>
            <w:r>
              <w:rPr>
                <w:b/>
              </w:rPr>
              <w:t>2026</w:t>
              <w:br/>
              <w:t>(Jan–Jun)</w:t>
            </w:r>
          </w:p>
        </w:tc>
      </w:tr>
      <w:tr>
        <w:tc>
          <w:tcPr>
            <w:tcW w:type="dxa" w:w="2880"/>
          </w:tcPr>
          <w:p>
            <w:r>
              <w:rPr>
                <w:b/>
                <w:sz w:val="20"/>
              </w:rPr>
              <w:t>DISCRETIONARY (project search)</w:t>
            </w:r>
          </w:p>
        </w:tc>
        <w:tc>
          <w:tcPr>
            <w:tcW w:type="dxa" w:w="2880"/>
          </w:tcPr>
          <w:p>
            <w:r>
              <w:rPr>
                <w:b/>
                <w:sz w:val="20"/>
              </w:rPr>
            </w:r>
          </w:p>
        </w:tc>
        <w:tc>
          <w:tcPr>
            <w:tcW w:type="dxa" w:w="2880"/>
          </w:tcPr>
          <w:p>
            <w:r>
              <w:rPr>
                <w:b/>
                <w:sz w:val="20"/>
              </w:rPr>
            </w:r>
          </w:p>
        </w:tc>
      </w:tr>
      <w:tr>
        <w:tc>
          <w:tcPr>
            <w:tcW w:type="dxa" w:w="2880"/>
          </w:tcPr>
          <w:p>
            <w:r>
              <w:t xml:space="preserve">  Housing applications</w:t>
            </w:r>
          </w:p>
        </w:tc>
        <w:tc>
          <w:tcPr>
            <w:tcW w:type="dxa" w:w="2880"/>
          </w:tcPr>
          <w:p>
            <w:r>
              <w:t>18</w:t>
            </w:r>
          </w:p>
        </w:tc>
        <w:tc>
          <w:tcPr>
            <w:tcW w:type="dxa" w:w="2880"/>
          </w:tcPr>
          <w:p>
            <w:r>
              <w:t>1</w:t>
            </w:r>
          </w:p>
        </w:tc>
      </w:tr>
      <w:tr>
        <w:tc>
          <w:tcPr>
            <w:tcW w:type="dxa" w:w="2880"/>
          </w:tcPr>
          <w:p>
            <w:r/>
          </w:p>
        </w:tc>
        <w:tc>
          <w:tcPr>
            <w:tcW w:type="dxa" w:w="2880"/>
          </w:tcPr>
          <w:p>
            <w:r/>
          </w:p>
        </w:tc>
        <w:tc>
          <w:tcPr>
            <w:tcW w:type="dxa" w:w="2880"/>
          </w:tcPr>
          <w:p>
            <w:r/>
          </w:p>
        </w:tc>
      </w:tr>
      <w:tr>
        <w:tc>
          <w:tcPr>
            <w:tcW w:type="dxa" w:w="2880"/>
          </w:tcPr>
          <w:p>
            <w:r>
              <w:rPr>
                <w:b/>
                <w:sz w:val="20"/>
              </w:rPr>
              <w:t>MINISTERIAL (building permits)</w:t>
            </w:r>
          </w:p>
        </w:tc>
        <w:tc>
          <w:tcPr>
            <w:tcW w:type="dxa" w:w="2880"/>
          </w:tcPr>
          <w:p>
            <w:r>
              <w:rPr>
                <w:b/>
                <w:sz w:val="20"/>
              </w:rPr>
            </w:r>
          </w:p>
        </w:tc>
        <w:tc>
          <w:tcPr>
            <w:tcW w:type="dxa" w:w="2880"/>
          </w:tcPr>
          <w:p>
            <w:r>
              <w:rPr>
                <w:b/>
                <w:sz w:val="20"/>
              </w:rPr>
            </w:r>
          </w:p>
        </w:tc>
      </w:tr>
      <w:tr>
        <w:tc>
          <w:tcPr>
            <w:tcW w:type="dxa" w:w="2880"/>
          </w:tcPr>
          <w:p>
            <w:r>
              <w:t xml:space="preserve">  ADUs</w:t>
            </w:r>
          </w:p>
        </w:tc>
        <w:tc>
          <w:tcPr>
            <w:tcW w:type="dxa" w:w="2880"/>
          </w:tcPr>
          <w:p>
            <w:r>
              <w:t>156 units</w:t>
            </w:r>
          </w:p>
        </w:tc>
        <w:tc>
          <w:tcPr>
            <w:tcW w:type="dxa" w:w="2880"/>
          </w:tcPr>
          <w:p>
            <w:r>
              <w:t>66 units</w:t>
            </w:r>
          </w:p>
        </w:tc>
      </w:tr>
      <w:tr>
        <w:tc>
          <w:tcPr>
            <w:tcW w:type="dxa" w:w="2880"/>
          </w:tcPr>
          <w:p>
            <w:r>
              <w:t xml:space="preserve">  Single Family</w:t>
            </w:r>
          </w:p>
        </w:tc>
        <w:tc>
          <w:tcPr>
            <w:tcW w:type="dxa" w:w="2880"/>
          </w:tcPr>
          <w:p>
            <w:r>
              <w:t>285 units</w:t>
            </w:r>
          </w:p>
        </w:tc>
        <w:tc>
          <w:tcPr>
            <w:tcW w:type="dxa" w:w="2880"/>
          </w:tcPr>
          <w:p>
            <w:r>
              <w:t>60 units</w:t>
            </w:r>
          </w:p>
        </w:tc>
      </w:tr>
      <w:tr>
        <w:tc>
          <w:tcPr>
            <w:tcW w:type="dxa" w:w="2880"/>
          </w:tcPr>
          <w:p>
            <w:r>
              <w:t xml:space="preserve">  Duplex</w:t>
            </w:r>
          </w:p>
        </w:tc>
        <w:tc>
          <w:tcPr>
            <w:tcW w:type="dxa" w:w="2880"/>
          </w:tcPr>
          <w:p>
            <w:r>
              <w:t>46 units</w:t>
            </w:r>
          </w:p>
        </w:tc>
        <w:tc>
          <w:tcPr>
            <w:tcW w:type="dxa" w:w="2880"/>
          </w:tcPr>
          <w:p>
            <w:r>
              <w:t>2 units</w:t>
            </w:r>
          </w:p>
        </w:tc>
      </w:tr>
      <w:tr>
        <w:tc>
          <w:tcPr>
            <w:tcW w:type="dxa" w:w="2880"/>
          </w:tcPr>
          <w:p>
            <w:r>
              <w:t xml:space="preserve">  Multi Family + Mid/High Rise</w:t>
            </w:r>
          </w:p>
        </w:tc>
        <w:tc>
          <w:tcPr>
            <w:tcW w:type="dxa" w:w="2880"/>
          </w:tcPr>
          <w:p>
            <w:r>
              <w:t>243 units (est.)</w:t>
            </w:r>
          </w:p>
        </w:tc>
        <w:tc>
          <w:tcPr>
            <w:tcW w:type="dxa" w:w="2880"/>
          </w:tcPr>
          <w:p>
            <w:r>
              <w:t>205 units (est.)</w:t>
            </w:r>
          </w:p>
        </w:tc>
      </w:tr>
    </w:tbl>
    <w:p/>
    <w:p>
      <w:r>
        <w:t>Notes on the 2026 ministerial numbers:</w:t>
      </w:r>
    </w:p>
    <w:p>
      <w:pPr>
        <w:pStyle w:val="ListBullet"/>
      </w:pPr>
      <w:r>
        <w:t>57 of 60 single-family permits are North River Farms tract lots — a pre-entitled subdivision, not new development capacity.</w:t>
      </w:r>
    </w:p>
    <w:p>
      <w:pPr>
        <w:pStyle w:val="ListBullet"/>
      </w:pPr>
      <w:r>
        <w:t>199 of 205 multi-family/mid-rise units are Olive Park Affordable Apartments (DB24-00001, approved 2024) — a single 100% affordable project pulling construction permits from a prior-year approval.</w:t>
      </w:r>
    </w:p>
    <w:p>
      <w:pPr>
        <w:pStyle w:val="ListBullet"/>
      </w:pPr>
      <w:r>
        <w:t>Of the 66 ADUs, only 1 has been issued. 26 were returned for correction and 23 are still in "received" status.</w:t>
      </w:r>
    </w:p>
    <w:p>
      <w:pPr>
        <w:pStyle w:val="Heading2"/>
      </w:pPr>
      <w:r>
        <w:t>Total Housing Production: The Collapse in Context</w:t>
      </w:r>
    </w:p>
    <w:p>
      <w:r>
        <w:t>Excluding pre-entitled projects (North River Farms tract lots and Olive Park pulling from a 2024 approval), the city's organic 2026 housing production is:</w:t>
      </w:r>
    </w:p>
    <w:p>
      <w:r>
        <w:rPr>
          <w:b/>
          <w:sz w:val="24"/>
        </w:rPr>
        <w:t>66 ADUs + 3 SFDs + 1 duplex + 6 multi-family units = 78 units in 5.5 months</w:t>
      </w:r>
    </w:p>
    <w:p/>
    <w:p>
      <w:r>
        <w:t>Annualized, that is approximately 170 units per year — in a city that averaged 2,290 units per year from 2022 to 2025.</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2025</w:t>
            </w:r>
          </w:p>
        </w:tc>
        <w:tc>
          <w:tcPr>
            <w:tcW w:type="dxa" w:w="2880"/>
          </w:tcPr>
          <w:p>
            <w:r>
              <w:rPr>
                <w:b/>
              </w:rPr>
              <w:t>2026 (annualized)</w:t>
            </w:r>
          </w:p>
        </w:tc>
      </w:tr>
      <w:tr>
        <w:tc>
          <w:tcPr>
            <w:tcW w:type="dxa" w:w="2880"/>
          </w:tcPr>
          <w:p>
            <w:r>
              <w:t>Discretionary housing apps</w:t>
            </w:r>
          </w:p>
        </w:tc>
        <w:tc>
          <w:tcPr>
            <w:tcW w:type="dxa" w:w="2880"/>
          </w:tcPr>
          <w:p>
            <w:r>
              <w:t>18</w:t>
            </w:r>
          </w:p>
        </w:tc>
        <w:tc>
          <w:tcPr>
            <w:tcW w:type="dxa" w:w="2880"/>
          </w:tcPr>
          <w:p>
            <w:r>
              <w:t>~2</w:t>
            </w:r>
          </w:p>
        </w:tc>
      </w:tr>
      <w:tr>
        <w:tc>
          <w:tcPr>
            <w:tcW w:type="dxa" w:w="2880"/>
          </w:tcPr>
          <w:p>
            <w:r>
              <w:t>Ministerial housing units</w:t>
            </w:r>
          </w:p>
        </w:tc>
        <w:tc>
          <w:tcPr>
            <w:tcW w:type="dxa" w:w="2880"/>
          </w:tcPr>
          <w:p>
            <w:r>
              <w:t>~730</w:t>
            </w:r>
          </w:p>
        </w:tc>
        <w:tc>
          <w:tcPr>
            <w:tcW w:type="dxa" w:w="2880"/>
          </w:tcPr>
          <w:p>
            <w:r>
              <w:t>~170 (organic)</w:t>
            </w:r>
          </w:p>
        </w:tc>
      </w:tr>
      <w:tr>
        <w:tc>
          <w:tcPr>
            <w:tcW w:type="dxa" w:w="2880"/>
          </w:tcPr>
          <w:p>
            <w:r>
              <w:rPr>
                <w:b/>
              </w:rPr>
              <w:t>Total</w:t>
            </w:r>
          </w:p>
        </w:tc>
        <w:tc>
          <w:tcPr>
            <w:tcW w:type="dxa" w:w="2880"/>
          </w:tcPr>
          <w:p>
            <w:r>
              <w:rPr>
                <w:b/>
              </w:rPr>
              <w:t>~1,700 (incl. APR)</w:t>
            </w:r>
          </w:p>
        </w:tc>
        <w:tc>
          <w:tcPr>
            <w:tcW w:type="dxa" w:w="2880"/>
          </w:tcPr>
          <w:p>
            <w:r>
              <w:rPr>
                <w:b/>
              </w:rPr>
              <w:t>~370 (est.)</w:t>
            </w:r>
          </w:p>
        </w:tc>
      </w:tr>
    </w:tbl>
    <w:p/>
    <w:p>
      <w:r>
        <w:rPr>
          <w:b/>
        </w:rPr>
        <w:t>The RHNA target requires roughly 890 units per year. At the current organic pace, Oceanside will produce less than 20% of its annual obligation.</w:t>
      </w:r>
    </w:p>
    <w:p>
      <w:pPr>
        <w:pStyle w:val="Heading2"/>
      </w:pPr>
      <w:r>
        <w:t>The Lag Effect: Building Permits Will Get Worse</w:t>
      </w:r>
    </w:p>
    <w:p>
      <w:r>
        <w:t>Building permits lag discretionary approvals by 1–2 years. The multi-family and mid/high-rise building permits issued in 2025 came from projects approved in 2022–2024:</w:t>
      </w:r>
    </w:p>
    <w:p>
      <w:pPr>
        <w:pStyle w:val="ListBullet"/>
      </w:pPr>
      <w:r>
        <w:t>Modera Neptune (BLD HIGH RISE, BLDG25-0374): 360 units, approved 2022 as RD22-00005.</w:t>
      </w:r>
    </w:p>
    <w:p>
      <w:pPr>
        <w:pStyle w:val="ListBullet"/>
      </w:pPr>
      <w:r>
        <w:t>Coast Villas (BLD MID RISE, BLDG25-1204): 56 units, approved 2024 as DB25-00002.</w:t>
      </w:r>
    </w:p>
    <w:p>
      <w:pPr>
        <w:pStyle w:val="ListBullet"/>
      </w:pPr>
      <w:r>
        <w:t>Pacifica townhomes (30 BLD MULTI FAMILY permits): 164 units across 12 phases, approved 2022 as D22-00013.</w:t>
      </w:r>
    </w:p>
    <w:p/>
    <w:p>
      <w:r>
        <w:t>With only one discretionary housing application in 2026, there will be few or no multi-family building permits to pull in 2027–2028. The 2025 building permit numbers represent the last wave of construction from the pre-collapse pipeline. When those projects finish, the building permit pipeline will mirror the discretionary freeze.</w:t>
      </w:r>
    </w:p>
    <w:p>
      <w:pPr>
        <w:pStyle w:val="Heading2"/>
      </w:pPr>
      <w:r>
        <w:t>What Caused the Collapse</w:t>
      </w:r>
    </w:p>
    <w:p>
      <w:r>
        <w:t>Three policy actions converged to freeze the discretionary pipeline:</w:t>
      </w:r>
    </w:p>
    <w:p>
      <w:r>
        <w:rPr>
          <w:b/>
        </w:rPr>
        <w:t xml:space="preserve">D-District Density Cap (CCC Certified February 5, 2026). </w:t>
      </w:r>
      <w:r>
        <w:t>The downtown density cap of 86 du/acre, adopted by the City Council in October 2023 and certified by the Coastal Commission on February 5, 2026, eliminated the city's most productive housing area. Downtown D-District filings went from 1,946 units in 2022 to zero in 2026. No new D-District housing project has been filed since certification.</w:t>
      </w:r>
    </w:p>
    <w:p>
      <w:r>
        <w:rPr>
          <w:b/>
        </w:rPr>
        <w:t xml:space="preserve">SB 79 Exemption Ordinance (Adopted June 3, 2026). </w:t>
      </w:r>
      <w:r>
        <w:t>The city adopted an ordinance deferring SB 79 transit-oriented housing compliance to 2032, using fabricated "walking path" findings to reclassify parcels near transit as non-qualifying. This froze development potential on remaining non-downtown parcels that could have absorbed displaced demand.</w:t>
      </w:r>
    </w:p>
    <w:p>
      <w:r>
        <w:rPr>
          <w:b/>
        </w:rPr>
        <w:t xml:space="preserve">SSCSP Not Yet Adopted. </w:t>
      </w:r>
      <w:r>
        <w:t>The Smart &amp; Sustainable Corridors Specific Plan, which would rezone 1,172 acres of corridor land to allow 8,300 new housing units, has not yet been adopted. The hearing is scheduled for June 24, 2026. Until adoption, corridor parcels remain zoned for low-density residential and light industrial uses (3.9–7.25 du/acre), making multifamily development physically impossible under existing zoning.</w:t>
      </w:r>
    </w:p>
    <w:p>
      <w:pPr>
        <w:pStyle w:val="Heading2"/>
      </w:pPr>
      <w:r>
        <w:t>The Only Housing Filing Bypassed City Process</w:t>
      </w:r>
    </w:p>
    <w:p>
      <w:r>
        <w:t>DB26-00001 (142 units at 1640 Oceanside Boulevard) was filed on June 16, 2026 — eight days before the SSCSP adoption hearing. The project is located on a parcel currently zoned RE-B (Residential Estate Bonus, 3.9 du/acre maximum). At 142 units on approximately 1.4 acres, the project proposes roughly 102 du/acre — 26 times the current zoning allows.</w:t>
      </w:r>
    </w:p>
    <w:p>
      <w:r>
        <w:t>This is possible because the developer filed under AB 2011, which provides a ministerial (by-right) approval pathway for housing projects on commercially zoned land that meet affordability and labor requirements. The project does not require City Council approval, Planning Commission review, or CEQA analysis.</w:t>
      </w:r>
    </w:p>
    <w:p>
      <w:r>
        <w:rPr>
          <w:b/>
        </w:rPr>
        <w:t>The fact that the only housing project filed in Oceanside in 2026 had to use state law to avoid local review is itself evidence that the local regulatory environment has become hostile to housing production.</w:t>
      </w:r>
    </w:p>
    <w:p>
      <w:pPr>
        <w:pStyle w:val="Heading2"/>
      </w:pPr>
      <w:r>
        <w:t>Data Verification</w:t>
      </w:r>
    </w:p>
    <w:p>
      <w:r>
        <w:t>The data in this briefing was cross-verified across multiple sources:</w:t>
      </w:r>
    </w:p>
    <w:p>
      <w:pPr>
        <w:pStyle w:val="ListBullet"/>
      </w:pPr>
      <w:r>
        <w:t>Discretionary projects: City of Oceanside eTRAKiT permit portal, project search (D-, DB-, RD-prefix applications). All projects for 2018–2026 were individually verified by direct URL query.</w:t>
      </w:r>
    </w:p>
    <w:p>
      <w:pPr>
        <w:pStyle w:val="ListBullet"/>
      </w:pPr>
      <w:r>
        <w:t>Building permits: City of Oceanside eTRAKiT permit portal, permit search (BLDG-prefix permits). All 2,577 permits for 2025 and all 998 permits for 2026 were individually scraped and categorized by permit type.</w:t>
      </w:r>
    </w:p>
    <w:p>
      <w:pPr>
        <w:pStyle w:val="ListBullet"/>
      </w:pPr>
      <w:r>
        <w:t>HCD Annual Progress Report: Table A data from data.ca.gov, filtered to JURIS_NAME=OCEANSIDE, covering 2018–2025. 2026 APR data will not be available until mid-2027.</w:t>
      </w:r>
    </w:p>
    <w:p>
      <w:pPr>
        <w:pStyle w:val="ListBullet"/>
      </w:pPr>
      <w:r>
        <w:t>Cross-reference: 45 of 50 large APR projects (50+ units, 2018–2025) were matched to eTRAKiT discretionary applications by Assessor Parcel Number (APN), confirming both data sources track the same projects.</w:t>
      </w:r>
    </w:p>
    <w:p>
      <w:pPr>
        <w:pStyle w:val="ListBullet"/>
      </w:pPr>
      <w:r>
        <w:t>The 5 unmatched projects were traced to APN discrepancies between APR and eTRAKiT (different parcel numbers for the same site), not missing projects.</w:t>
      </w:r>
    </w:p>
    <w:p>
      <w:pPr>
        <w:pStyle w:val="Heading2"/>
      </w:pPr>
      <w:r>
        <w:t>Implications</w:t>
      </w:r>
    </w:p>
    <w:p>
      <w:pPr>
        <w:pStyle w:val="ListBullet"/>
      </w:pPr>
      <w:r>
        <w:t>RHNA compliance: At the current organic production rate (~170 units/year), Oceanside will produce less than 20% of its annual RHNA obligation, accumulating a deficit that makes the 2029 deadline unreachable.</w:t>
      </w:r>
    </w:p>
    <w:p>
      <w:pPr>
        <w:pStyle w:val="ListBullet"/>
      </w:pPr>
      <w:r>
        <w:t>Builder's Remedy exposure: If the city fails to maintain adequate housing element progress, it risks losing its certified housing element status, triggering Builder's Remedy (Government Code 65589.5(d)), which allows developers to bypass local zoning entirely.</w:t>
      </w:r>
    </w:p>
    <w:p>
      <w:pPr>
        <w:pStyle w:val="ListBullet"/>
      </w:pPr>
      <w:r>
        <w:t>SSCSP urgency: The corridor plan is now the only mechanism that could restore discretionary housing capacity. Delaying adoption or imposing additional cost mandates (such as a 20% inclusionary rate) would extend the production freeze.</w:t>
      </w:r>
    </w:p>
    <w:p>
      <w:pPr>
        <w:pStyle w:val="ListBullet"/>
      </w:pPr>
      <w:r>
        <w:t>The lag effect: Even if the SSCSP is adopted on June 24 and developers begin filing immediately, those projects will not pull building permits until 2027–2028. The construction gap is already locked in for at least 18 months.</w:t>
      </w:r>
    </w:p>
    <w:p>
      <w:pPr>
        <w:pStyle w:val="ListBullet"/>
      </w:pPr>
      <w:r>
        <w:t>State enforcement: HCD has authority to revoke housing element certification for jurisdictions that adopt policies inconsistent with their housing element. The combination of the D-District cap, SB 79 deferment, and pipeline collapse may constitute grounds for decertification.</w:t>
      </w:r>
    </w:p>
    <w:p/>
    <w:p>
      <w:pPr>
        <w:pStyle w:val="Heading2"/>
      </w:pPr>
      <w:r>
        <w:t>Sources</w:t>
      </w:r>
    </w:p>
    <w:p>
      <w:pPr>
        <w:pStyle w:val="ListBullet"/>
      </w:pPr>
      <w:r>
        <w:t>City of Oceanside eTRAKiT permit portal — project search and permit search, individually verified through June 19, 2026</w:t>
      </w:r>
    </w:p>
    <w:p>
      <w:pPr>
        <w:pStyle w:val="ListBullet"/>
      </w:pPr>
      <w:r>
        <w:t>HCD Annual Progress Report Table A (data.ca.gov) — 2018–2025 filing data</w:t>
      </w:r>
    </w:p>
    <w:p>
      <w:pPr>
        <w:pStyle w:val="ListBullet"/>
      </w:pPr>
      <w:r>
        <w:t>LCPA22-00002 (Downtown density cap ordinance) — adopted October 2023, CCC certified February 5, 2026</w:t>
      </w:r>
    </w:p>
    <w:p>
      <w:pPr>
        <w:pStyle w:val="ListBullet"/>
      </w:pPr>
      <w:r>
        <w:t>Oceanside SB 79 exemption ordinance — adopted June 3, 2026</w:t>
      </w:r>
    </w:p>
    <w:p>
      <w:pPr>
        <w:pStyle w:val="ListBullet"/>
      </w:pPr>
      <w:r>
        <w:t>Smart &amp; Sustainable Corridors Specific Plan, Hearing Draft (May 8, 2026)</w:t>
      </w:r>
    </w:p>
    <w:p>
      <w:pPr>
        <w:pStyle w:val="ListBullet"/>
      </w:pPr>
      <w:r>
        <w:t>DB26-00001 application record — eTRAKiT, filed June 16, 2026</w:t>
      </w:r>
    </w:p>
    <w:p>
      <w:pPr>
        <w:pStyle w:val="ListBullet"/>
      </w:pPr>
      <w:r>
        <w:t>AB 2011 (Affordable Housing and High Road Jobs Act of 2022) — Government Code 65912.100 et seq.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