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Downtown Oceanside Filing Collapse</w:t>
        <w:br/>
        <w:t>Rebuttal to Alternative Explanations</w:t>
      </w:r>
    </w:p>
    <w:p>
      <w:pPr>
        <w:jc w:val="center"/>
      </w:pPr>
      <w:r>
        <w:rPr>
          <w:color w:val="666666"/>
          <w:sz w:val="24"/>
        </w:rPr>
        <w:t>Data Analysis — June 2026</w:t>
      </w:r>
    </w:p>
    <w:p>
      <w:pPr>
        <w:pStyle w:val="Heading2"/>
      </w:pPr>
      <w:r>
        <w:t>Executive Summary</w:t>
      </w:r>
    </w:p>
    <w:p>
      <w:r>
        <w:t>The data doesn't support the interpretation that construction costs or land availability caused the downtown filing collapse. Rest-of-city Oceanside filings went up 49% during the exact same period downtown dropped 96%. If construction costs were the cause, both would decline — they face identical lumber, concrete, and interest rates. San Diego County hit a 17-year permit record during this period.</w:t>
      </w:r>
    </w:p>
    <w:p>
      <w:r>
        <w:t>Developers respond to regulatory signals at adoption, not certification. The filing collapse tracks to October 2023 (council adoption of the 86 du/acre cap), not February 2026 (CCC certification). That's how capital markets work.</w:t>
      </w:r>
    </w:p>
    <w:p>
      <w:r>
        <w:t>And "all the major parcels have approvals" — most of those approvals haven't broken ground. The 9-block area isn't the only developable downtown land. The density cap makes remaining sites infeasible, which is exactly what a 96% collapse shows.</w:t>
      </w:r>
    </w:p>
    <w:p>
      <w:r>
        <w:t>Three alternative explanations have been offered for the 96% decline in downtown Oceanside housing filings from 2022 to 2025. Each is testable against the data. All three fail.</w:t>
      </w:r>
    </w:p>
    <w:p>
      <w:pPr>
        <w:pStyle w:val="Heading2"/>
      </w:pPr>
      <w:r>
        <w:t>The Filing Data</w:t>
      </w:r>
    </w:p>
    <w:p>
      <w:r>
        <w:t>Source: HCD Annual Progress Report Table A (data.ca.gov). Downtown defined by D-District bounding box (lat 33.1858–33.2096, lon -117.3923–-117.3749). All figures are proposed units filed by application date.</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Year</w:t>
            </w:r>
          </w:p>
        </w:tc>
        <w:tc>
          <w:tcPr>
            <w:tcW w:type="dxa" w:w="1728"/>
          </w:tcPr>
          <w:p>
            <w:r>
              <w:rPr>
                <w:b/>
              </w:rPr>
              <w:t>Downtown</w:t>
            </w:r>
          </w:p>
        </w:tc>
        <w:tc>
          <w:tcPr>
            <w:tcW w:type="dxa" w:w="1728"/>
          </w:tcPr>
          <w:p>
            <w:r>
              <w:rPr>
                <w:b/>
              </w:rPr>
              <w:t>Rest of City</w:t>
            </w:r>
          </w:p>
        </w:tc>
        <w:tc>
          <w:tcPr>
            <w:tcW w:type="dxa" w:w="1728"/>
          </w:tcPr>
          <w:p>
            <w:r>
              <w:rPr>
                <w:b/>
              </w:rPr>
              <w:t>Total</w:t>
            </w:r>
          </w:p>
        </w:tc>
        <w:tc>
          <w:tcPr>
            <w:tcW w:type="dxa" w:w="1728"/>
          </w:tcPr>
          <w:p>
            <w:r>
              <w:rPr>
                <w:b/>
              </w:rPr>
              <w:t>Downtown %</w:t>
            </w:r>
          </w:p>
        </w:tc>
      </w:tr>
      <w:tr>
        <w:tc>
          <w:tcPr>
            <w:tcW w:type="dxa" w:w="1728"/>
          </w:tcPr>
          <w:p>
            <w:r>
              <w:t>2018</w:t>
            </w:r>
          </w:p>
        </w:tc>
        <w:tc>
          <w:tcPr>
            <w:tcW w:type="dxa" w:w="1728"/>
          </w:tcPr>
          <w:p>
            <w:r>
              <w:t>76</w:t>
            </w:r>
          </w:p>
        </w:tc>
        <w:tc>
          <w:tcPr>
            <w:tcW w:type="dxa" w:w="1728"/>
          </w:tcPr>
          <w:p>
            <w:r>
              <w:t>500</w:t>
            </w:r>
          </w:p>
        </w:tc>
        <w:tc>
          <w:tcPr>
            <w:tcW w:type="dxa" w:w="1728"/>
          </w:tcPr>
          <w:p>
            <w:r>
              <w:t>576</w:t>
            </w:r>
          </w:p>
        </w:tc>
        <w:tc>
          <w:tcPr>
            <w:tcW w:type="dxa" w:w="1728"/>
          </w:tcPr>
          <w:p>
            <w:r>
              <w:t>13%</w:t>
            </w:r>
          </w:p>
        </w:tc>
      </w:tr>
      <w:tr>
        <w:tc>
          <w:tcPr>
            <w:tcW w:type="dxa" w:w="1728"/>
          </w:tcPr>
          <w:p>
            <w:r>
              <w:t>2019</w:t>
            </w:r>
          </w:p>
        </w:tc>
        <w:tc>
          <w:tcPr>
            <w:tcW w:type="dxa" w:w="1728"/>
          </w:tcPr>
          <w:p>
            <w:r>
              <w:t>416</w:t>
            </w:r>
          </w:p>
        </w:tc>
        <w:tc>
          <w:tcPr>
            <w:tcW w:type="dxa" w:w="1728"/>
          </w:tcPr>
          <w:p>
            <w:r>
              <w:t>674</w:t>
            </w:r>
          </w:p>
        </w:tc>
        <w:tc>
          <w:tcPr>
            <w:tcW w:type="dxa" w:w="1728"/>
          </w:tcPr>
          <w:p>
            <w:r>
              <w:t>1,090</w:t>
            </w:r>
          </w:p>
        </w:tc>
        <w:tc>
          <w:tcPr>
            <w:tcW w:type="dxa" w:w="1728"/>
          </w:tcPr>
          <w:p>
            <w:r>
              <w:t>38%</w:t>
            </w:r>
          </w:p>
        </w:tc>
      </w:tr>
      <w:tr>
        <w:tc>
          <w:tcPr>
            <w:tcW w:type="dxa" w:w="1728"/>
          </w:tcPr>
          <w:p>
            <w:r>
              <w:t>2020</w:t>
            </w:r>
          </w:p>
        </w:tc>
        <w:tc>
          <w:tcPr>
            <w:tcW w:type="dxa" w:w="1728"/>
          </w:tcPr>
          <w:p>
            <w:r>
              <w:t>20</w:t>
            </w:r>
          </w:p>
        </w:tc>
        <w:tc>
          <w:tcPr>
            <w:tcW w:type="dxa" w:w="1728"/>
          </w:tcPr>
          <w:p>
            <w:r>
              <w:t>379</w:t>
            </w:r>
          </w:p>
        </w:tc>
        <w:tc>
          <w:tcPr>
            <w:tcW w:type="dxa" w:w="1728"/>
          </w:tcPr>
          <w:p>
            <w:r>
              <w:t>399</w:t>
            </w:r>
          </w:p>
        </w:tc>
        <w:tc>
          <w:tcPr>
            <w:tcW w:type="dxa" w:w="1728"/>
          </w:tcPr>
          <w:p>
            <w:r>
              <w:t>5%</w:t>
            </w:r>
          </w:p>
        </w:tc>
      </w:tr>
      <w:tr>
        <w:tc>
          <w:tcPr>
            <w:tcW w:type="dxa" w:w="1728"/>
          </w:tcPr>
          <w:p>
            <w:r>
              <w:t>2021*</w:t>
            </w:r>
          </w:p>
        </w:tc>
        <w:tc>
          <w:tcPr>
            <w:tcW w:type="dxa" w:w="1728"/>
          </w:tcPr>
          <w:p>
            <w:r>
              <w:t>471</w:t>
            </w:r>
          </w:p>
        </w:tc>
        <w:tc>
          <w:tcPr>
            <w:tcW w:type="dxa" w:w="1728"/>
          </w:tcPr>
          <w:p>
            <w:r>
              <w:t>1,227</w:t>
            </w:r>
          </w:p>
        </w:tc>
        <w:tc>
          <w:tcPr>
            <w:tcW w:type="dxa" w:w="1728"/>
          </w:tcPr>
          <w:p>
            <w:r>
              <w:t>1,698</w:t>
            </w:r>
          </w:p>
        </w:tc>
        <w:tc>
          <w:tcPr>
            <w:tcW w:type="dxa" w:w="1728"/>
          </w:tcPr>
          <w:p>
            <w:r>
              <w:t>28%</w:t>
            </w:r>
          </w:p>
        </w:tc>
      </w:tr>
      <w:tr>
        <w:tc>
          <w:tcPr>
            <w:tcW w:type="dxa" w:w="1728"/>
          </w:tcPr>
          <w:p>
            <w:r>
              <w:t>2022</w:t>
            </w:r>
          </w:p>
        </w:tc>
        <w:tc>
          <w:tcPr>
            <w:tcW w:type="dxa" w:w="1728"/>
          </w:tcPr>
          <w:p>
            <w:r>
              <w:t>1,946</w:t>
            </w:r>
          </w:p>
        </w:tc>
        <w:tc>
          <w:tcPr>
            <w:tcW w:type="dxa" w:w="1728"/>
          </w:tcPr>
          <w:p>
            <w:r>
              <w:t>1,265</w:t>
            </w:r>
          </w:p>
        </w:tc>
        <w:tc>
          <w:tcPr>
            <w:tcW w:type="dxa" w:w="1728"/>
          </w:tcPr>
          <w:p>
            <w:r>
              <w:t>3,211</w:t>
            </w:r>
          </w:p>
        </w:tc>
        <w:tc>
          <w:tcPr>
            <w:tcW w:type="dxa" w:w="1728"/>
          </w:tcPr>
          <w:p>
            <w:r>
              <w:t>61%</w:t>
            </w:r>
          </w:p>
        </w:tc>
      </w:tr>
      <w:tr>
        <w:tc>
          <w:tcPr>
            <w:tcW w:type="dxa" w:w="1728"/>
          </w:tcPr>
          <w:p>
            <w:r>
              <w:t>2023**</w:t>
            </w:r>
          </w:p>
        </w:tc>
        <w:tc>
          <w:tcPr>
            <w:tcW w:type="dxa" w:w="1728"/>
          </w:tcPr>
          <w:p>
            <w:r>
              <w:t>1,280</w:t>
            </w:r>
          </w:p>
        </w:tc>
        <w:tc>
          <w:tcPr>
            <w:tcW w:type="dxa" w:w="1728"/>
          </w:tcPr>
          <w:p>
            <w:r>
              <w:t>697</w:t>
            </w:r>
          </w:p>
        </w:tc>
        <w:tc>
          <w:tcPr>
            <w:tcW w:type="dxa" w:w="1728"/>
          </w:tcPr>
          <w:p>
            <w:r>
              <w:t>1,977</w:t>
            </w:r>
          </w:p>
        </w:tc>
        <w:tc>
          <w:tcPr>
            <w:tcW w:type="dxa" w:w="1728"/>
          </w:tcPr>
          <w:p>
            <w:r>
              <w:t>65%</w:t>
            </w:r>
          </w:p>
        </w:tc>
      </w:tr>
      <w:tr>
        <w:tc>
          <w:tcPr>
            <w:tcW w:type="dxa" w:w="1728"/>
          </w:tcPr>
          <w:p>
            <w:r>
              <w:t>2024</w:t>
            </w:r>
          </w:p>
        </w:tc>
        <w:tc>
          <w:tcPr>
            <w:tcW w:type="dxa" w:w="1728"/>
          </w:tcPr>
          <w:p>
            <w:r>
              <w:t>816</w:t>
            </w:r>
          </w:p>
        </w:tc>
        <w:tc>
          <w:tcPr>
            <w:tcW w:type="dxa" w:w="1728"/>
          </w:tcPr>
          <w:p>
            <w:r>
              <w:t>1,207</w:t>
            </w:r>
          </w:p>
        </w:tc>
        <w:tc>
          <w:tcPr>
            <w:tcW w:type="dxa" w:w="1728"/>
          </w:tcPr>
          <w:p>
            <w:r>
              <w:t>2,023</w:t>
            </w:r>
          </w:p>
        </w:tc>
        <w:tc>
          <w:tcPr>
            <w:tcW w:type="dxa" w:w="1728"/>
          </w:tcPr>
          <w:p>
            <w:r>
              <w:t>40%</w:t>
            </w:r>
          </w:p>
        </w:tc>
      </w:tr>
      <w:tr>
        <w:tc>
          <w:tcPr>
            <w:tcW w:type="dxa" w:w="1728"/>
          </w:tcPr>
          <w:p>
            <w:r>
              <w:t>2025</w:t>
            </w:r>
          </w:p>
        </w:tc>
        <w:tc>
          <w:tcPr>
            <w:tcW w:type="dxa" w:w="1728"/>
          </w:tcPr>
          <w:p>
            <w:r>
              <w:t>69</w:t>
            </w:r>
          </w:p>
        </w:tc>
        <w:tc>
          <w:tcPr>
            <w:tcW w:type="dxa" w:w="1728"/>
          </w:tcPr>
          <w:p>
            <w:r>
              <w:t>1,885</w:t>
            </w:r>
          </w:p>
        </w:tc>
        <w:tc>
          <w:tcPr>
            <w:tcW w:type="dxa" w:w="1728"/>
          </w:tcPr>
          <w:p>
            <w:r>
              <w:t>1,954</w:t>
            </w:r>
          </w:p>
        </w:tc>
        <w:tc>
          <w:tcPr>
            <w:tcW w:type="dxa" w:w="1728"/>
          </w:tcPr>
          <w:p>
            <w:r>
              <w:t>4%</w:t>
            </w:r>
          </w:p>
        </w:tc>
      </w:tr>
    </w:tbl>
    <w:p>
      <w:r>
        <w:t>* 43 du/acre cap removed November 2021.  ** 86 du/acre cap adopted October 2023.</w:t>
      </w:r>
    </w:p>
    <w:p>
      <w:r>
        <w:t>Downtown filings fell from 1,946 units (2022) to 69 units (2025) — a 96% decline. In the same period, rest-of-city filings rose from 1,265 to 1,885 — a 49% increase.</w:t>
      </w:r>
    </w:p>
    <w:p>
      <w:pPr>
        <w:pStyle w:val="Heading2"/>
      </w:pPr>
      <w:r>
        <w:t>Claim 1: "Construction costs and borrowing costs"</w:t>
      </w:r>
    </w:p>
    <w:p>
      <w:pPr>
        <w:pStyle w:val="Heading3"/>
      </w:pPr>
      <w:r>
        <w:t>The argument</w:t>
      </w:r>
    </w:p>
    <w:p>
      <w:r>
        <w:t>The slowdown is primarily a result of construction costs (both material and the cost of borrowing).</w:t>
      </w:r>
    </w:p>
    <w:p>
      <w:pPr>
        <w:pStyle w:val="Heading3"/>
      </w:pPr>
      <w:r>
        <w:t>Why it fails</w:t>
      </w:r>
    </w:p>
    <w:p>
      <w:r>
        <w:t>Construction costs and interest rates are market-wide forces. They hit every project in every neighborhood equally. If they caused the downtown collapse, rest-of-city filings would decline too. They did the opposite.</w:t>
      </w:r>
    </w:p>
    <w:p>
      <w:r>
        <w:rPr>
          <w:b/>
        </w:rPr>
        <w:t xml:space="preserve">The control group: </w:t>
      </w:r>
      <w:r>
        <w:t>Rest-of-city Oceanside filed 1,582 units in multifamily projects (10+ units) in 2025 alone, including Ocean Kamp Residences (574 units), Tierra Norte Parcel B (229 units), and Olive Park Apartments (199 units). Same city, same interest rates, same lumber prices.</w:t>
      </w:r>
    </w:p>
    <w:p>
      <w:r>
        <w:rPr>
          <w:b/>
        </w:rPr>
        <w:t xml:space="preserve">Regional context: </w:t>
      </w:r>
      <w:r>
        <w:t>San Diego County issued 11,673 housing permits in 2023 — a 17-year record, up 21% from 2022, with 9,100 multifamily. The City of San Diego permitted 8,782 new homes in 2024. The regional market absorbed cost increases and kept building.</w:t>
      </w:r>
    </w:p>
    <w:p>
      <w:r>
        <w:rPr>
          <w:b/>
        </w:rPr>
        <w:t xml:space="preserve">National context: </w:t>
      </w:r>
      <w:r>
        <w:t>National multifamily starts declined approximately 25% from the 2022 peak. A 25% market correction is normal. A 96% localized collapse in one neighborhood is not a market signal — it is a regulatory signal.</w:t>
      </w:r>
    </w:p>
    <w:p>
      <w:r>
        <w:rPr>
          <w:b/>
        </w:rPr>
        <w:t xml:space="preserve">Cost stabilization: </w:t>
      </w:r>
      <w:r>
        <w:t>Construction cost inflation peaked at ~17% YOY in 2022 (ENR/Construction Analytics), then decelerated to 3.4% by 2024 — back near historical norms. Turner Building Cost Index showed 3.6% YOY growth in Q3 2024. Costs were stabilizing during the period downtown filings collapsed.</w:t>
      </w:r>
    </w:p>
    <w:p>
      <w:pPr>
        <w:pStyle w:val="Heading2"/>
      </w:pPr>
      <w:r>
        <w:t>Claim 2: "The density cap was literally just put in place last month"</w:t>
      </w:r>
    </w:p>
    <w:p>
      <w:pPr>
        <w:pStyle w:val="Heading3"/>
      </w:pPr>
      <w:r>
        <w:t>The argument</w:t>
      </w:r>
    </w:p>
    <w:p>
      <w:r>
        <w:t>The cap had to go through the Coastal Commission and was only certified in February 2026. It could not have affected applications in 2024 or 2025.</w:t>
      </w:r>
    </w:p>
    <w:p>
      <w:pPr>
        <w:pStyle w:val="Heading3"/>
      </w:pPr>
      <w:r>
        <w:t>Why it fails</w:t>
      </w:r>
    </w:p>
    <w:p>
      <w:r>
        <w:t>Developers and capital markets respond to regulatory signals at adoption, not at final legal certification. The council adopted the 86 du/acre cap in October 2023. From that point forward, any developer running a pro forma for a downtown site had to pencil at 86 du/acre maximum.</w:t>
      </w:r>
    </w:p>
    <w:p>
      <w:r>
        <w:rPr>
          <w:b/>
        </w:rPr>
        <w:t xml:space="preserve">Economic theory: </w:t>
      </w:r>
      <w:r>
        <w:t>Titman (1985, American Economic Review, 700+ citations) established that regulatory uncertainty increases the option value of holding land and rationally delays development. Developers do not need a law to take effect — the signal that it will is sufficient.</w:t>
      </w:r>
    </w:p>
    <w:p>
      <w:r>
        <w:rPr>
          <w:b/>
        </w:rPr>
        <w:t xml:space="preserve">Portland precedent: </w:t>
      </w:r>
      <w:r>
        <w:t>Portland adopted mandatory inclusionary zoning in December 2016, effective February 2017. Before the effective date, developers rushed to file. After: zero private apartment projects of 20+ units were submitted for land use review. Annual permits fell from ~6,000 to ~1,500. The market fully priced in the policy at adoption.</w:t>
      </w:r>
    </w:p>
    <w:p>
      <w:r>
        <w:rPr>
          <w:b/>
        </w:rPr>
        <w:t xml:space="preserve">Lender behavior: </w:t>
      </w:r>
      <w:r>
        <w:t>Construction lenders require confirmed entitlements before closing. An adopted density cap that threatens unit counts directly undermines debt-service coverage ratios. Per the OCC Comptroller's Handbook, zoning compliance is a closing condition for CRE lending. Lenders pause at adoption, not certification.</w:t>
      </w:r>
    </w:p>
    <w:p>
      <w:r>
        <w:rPr>
          <w:b/>
        </w:rPr>
        <w:t xml:space="preserve">Coastal zone chill: </w:t>
      </w:r>
      <w:r>
        <w:t>Circulate San Diego's 2024 report documented a "chilling effect" where developers avoid the coastal zone entirely due to years of CCC delay and uncertain outcomes. The prospect of "years of delay with no certain outcome" (Jeannette Temple, CalMatters) stops projects from being proposed at all.</w:t>
      </w:r>
    </w:p>
    <w:p>
      <w:r>
        <w:rPr>
          <w:b/>
        </w:rPr>
        <w:t xml:space="preserve">The data confirms it: </w:t>
      </w:r>
      <w:r>
        <w:t>Downtown filings declined smoothly from adoption: -34% in 2023 (year of adoption), -36% in 2024, -92% in 2025. This is a regulatory chill curve, not a sudden event at certification. The only 2026 downtown filing (DB26-00001, 142 units) used state density bonus law to bypass local zoning entirely — evidence that developers treated the local regulatory environment as hostile well before CCC certification.</w:t>
      </w:r>
    </w:p>
    <w:p>
      <w:pPr>
        <w:pStyle w:val="Heading2"/>
      </w:pPr>
      <w:r>
        <w:t>Claim 3: "All major parcels have had plan approvals — we don't have infinite downtown land"</w:t>
      </w:r>
    </w:p>
    <w:p>
      <w:pPr>
        <w:pStyle w:val="Heading3"/>
      </w:pPr>
      <w:r>
        <w:t>The argument</w:t>
      </w:r>
    </w:p>
    <w:p>
      <w:r>
        <w:t>The 9-block master plan parcels are all approved. Downtown land is effectively exhausted.</w:t>
      </w:r>
    </w:p>
    <w:p>
      <w:pPr>
        <w:pStyle w:val="Heading3"/>
      </w:pPr>
      <w:r>
        <w:t>Why it fails</w:t>
      </w:r>
    </w:p>
    <w:p>
      <w:r>
        <w:rPr>
          <w:b/>
        </w:rPr>
        <w:t xml:space="preserve">The 9-block plan is not "downtown": </w:t>
      </w:r>
      <w:r>
        <w:t>The Nine Block Master Plan (approved April 2000) covers nine blocks near the pier, bounded by The Strand, Cleveland Street, Seagaze Drive, and Civic Center Drive. It was a narrow redevelopment plan for visitor-serving uses and housing on specific parcels. It was never the universe of downtown developable land.</w:t>
      </w:r>
    </w:p>
    <w:p>
      <w:r>
        <w:rPr>
          <w:b/>
        </w:rPr>
        <w:t xml:space="preserve">Major projects exist outside the 9 blocks: </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Project</w:t>
            </w:r>
          </w:p>
        </w:tc>
        <w:tc>
          <w:tcPr>
            <w:tcW w:type="dxa" w:w="2160"/>
          </w:tcPr>
          <w:p>
            <w:r>
              <w:rPr>
                <w:b/>
              </w:rPr>
              <w:t>Units</w:t>
            </w:r>
          </w:p>
        </w:tc>
        <w:tc>
          <w:tcPr>
            <w:tcW w:type="dxa" w:w="2160"/>
          </w:tcPr>
          <w:p>
            <w:r>
              <w:rPr>
                <w:b/>
              </w:rPr>
              <w:t>Status</w:t>
            </w:r>
          </w:p>
        </w:tc>
        <w:tc>
          <w:tcPr>
            <w:tcW w:type="dxa" w:w="2160"/>
          </w:tcPr>
          <w:p>
            <w:r>
              <w:rPr>
                <w:b/>
              </w:rPr>
              <w:t>Location</w:t>
            </w:r>
          </w:p>
        </w:tc>
      </w:tr>
      <w:tr>
        <w:tc>
          <w:tcPr>
            <w:tcW w:type="dxa" w:w="2160"/>
          </w:tcPr>
          <w:p>
            <w:r>
              <w:t>401 Mission</w:t>
            </w:r>
          </w:p>
        </w:tc>
        <w:tc>
          <w:tcPr>
            <w:tcW w:type="dxa" w:w="2160"/>
          </w:tcPr>
          <w:p>
            <w:r>
              <w:t>326</w:t>
            </w:r>
          </w:p>
        </w:tc>
        <w:tc>
          <w:tcPr>
            <w:tcW w:type="dxa" w:w="2160"/>
          </w:tcPr>
          <w:p>
            <w:r>
              <w:t>Approved Oct 2025, not built</w:t>
            </w:r>
          </w:p>
        </w:tc>
        <w:tc>
          <w:tcPr>
            <w:tcW w:type="dxa" w:w="2160"/>
          </w:tcPr>
          <w:p>
            <w:r>
              <w:t>Outside 9-block</w:t>
            </w:r>
          </w:p>
        </w:tc>
      </w:tr>
      <w:tr>
        <w:tc>
          <w:tcPr>
            <w:tcW w:type="dxa" w:w="2160"/>
          </w:tcPr>
          <w:p>
            <w:r>
              <w:t>901 Mission</w:t>
            </w:r>
          </w:p>
        </w:tc>
        <w:tc>
          <w:tcPr>
            <w:tcW w:type="dxa" w:w="2160"/>
          </w:tcPr>
          <w:p>
            <w:r>
              <w:t>273</w:t>
            </w:r>
          </w:p>
        </w:tc>
        <w:tc>
          <w:tcPr>
            <w:tcW w:type="dxa" w:w="2160"/>
          </w:tcPr>
          <w:p>
            <w:r>
              <w:t>Approved Oct 2025, not built</w:t>
            </w:r>
          </w:p>
        </w:tc>
        <w:tc>
          <w:tcPr>
            <w:tcW w:type="dxa" w:w="2160"/>
          </w:tcPr>
          <w:p>
            <w:r>
              <w:t>Outside 9-block</w:t>
            </w:r>
          </w:p>
        </w:tc>
      </w:tr>
      <w:tr>
        <w:tc>
          <w:tcPr>
            <w:tcW w:type="dxa" w:w="2160"/>
          </w:tcPr>
          <w:p>
            <w:r>
              <w:t>Jefferson Ocean Creek</w:t>
            </w:r>
          </w:p>
        </w:tc>
        <w:tc>
          <w:tcPr>
            <w:tcW w:type="dxa" w:w="2160"/>
          </w:tcPr>
          <w:p>
            <w:r>
              <w:t>295</w:t>
            </w:r>
          </w:p>
        </w:tc>
        <w:tc>
          <w:tcPr>
            <w:tcW w:type="dxa" w:w="2160"/>
          </w:tcPr>
          <w:p>
            <w:r>
              <w:t>Under construction</w:t>
            </w:r>
          </w:p>
        </w:tc>
        <w:tc>
          <w:tcPr>
            <w:tcW w:type="dxa" w:w="2160"/>
          </w:tcPr>
          <w:p>
            <w:r>
              <w:t>Outside 9-block</w:t>
            </w:r>
          </w:p>
        </w:tc>
      </w:tr>
      <w:tr>
        <w:tc>
          <w:tcPr>
            <w:tcW w:type="dxa" w:w="2160"/>
          </w:tcPr>
          <w:p>
            <w:r>
              <w:t>Blocks 5 &amp; 20</w:t>
            </w:r>
          </w:p>
        </w:tc>
        <w:tc>
          <w:tcPr>
            <w:tcW w:type="dxa" w:w="2160"/>
          </w:tcPr>
          <w:p>
            <w:r>
              <w:t>373</w:t>
            </w:r>
          </w:p>
        </w:tc>
        <w:tc>
          <w:tcPr>
            <w:tcW w:type="dxa" w:w="2160"/>
          </w:tcPr>
          <w:p>
            <w:r>
              <w:t>Approved Jan 2026, not built</w:t>
            </w:r>
          </w:p>
        </w:tc>
        <w:tc>
          <w:tcPr>
            <w:tcW w:type="dxa" w:w="2160"/>
          </w:tcPr>
          <w:p>
            <w:r>
              <w:t>Within 9-block</w:t>
            </w:r>
          </w:p>
        </w:tc>
      </w:tr>
    </w:tbl>
    <w:p>
      <w:r>
        <w:t>894 units on downtown parcels outside the 9-block area, plus 373 approved within it. "Approved" does not mean "built" — most have not broken ground. The land is not exhausted. The projects are stuck.</w:t>
      </w:r>
    </w:p>
    <w:p>
      <w:r>
        <w:rPr>
          <w:b/>
        </w:rPr>
        <w:t xml:space="preserve">The 9-block plan's actual housing delivery: </w:t>
      </w:r>
      <w:r>
        <w:t>The Nine Block Master Plan was adopted in April 2000. In 26 years, it has delivered approximately 176 completed housing units (Pierside North: 66, Pierside South: 110). Several blocks went to hotels (Mission Pacific, Seabird Resort) and condos (The SALT) rather than rental housing. Blocks 5 &amp; 20 (373 units) were approved in January 2026 but have not broken ground. Saying "all major parcels have had plan approvals" conflates entitlement with delivery. A plan that produced ~176 housing units across 26 years is not evidence that downtown land is exhausted — it is evidence that the 9-block framework itself underperformed. The remaining downtown parcels outside the 9 blocks need more density to compensate for that underperformance, not an 86 du/acre cap.</w:t>
      </w:r>
    </w:p>
    <w:p>
      <w:r>
        <w:rPr>
          <w:b/>
        </w:rPr>
        <w:t xml:space="preserve">The density cap is the binding constraint: </w:t>
      </w:r>
      <w:r>
        <w:t>If remaining downtown parcels are capped at 86 du/acre, fewer units can be built per site, which makes projects financially infeasible in a high-cost coastal market. This is exactly what a 96% filing collapse shows — not land exhaustion, but regulatory suppression of per-parcel yield.</w:t>
      </w:r>
    </w:p>
    <w:p>
      <w:r>
        <w:rPr>
          <w:b/>
        </w:rPr>
        <w:t xml:space="preserve">SSCSP dwarfs downtown capacity: </w:t>
      </w:r>
      <w:r>
        <w:t>The Smart &amp; Sustainable Corridors Specific Plan (SSCSP) covers Mission Avenue, Oceanside Boulevard, and Vista Way corridors with 17,000–20,000 units of new capacity on parcels currently zoned at 3.9 du/acre. The first filing (DB26-00001, 142 units at 1640 Oceanside Blvd) arrived before the plan was even adopted. Downtown is a fraction of the city's development capacity.</w:t>
      </w:r>
    </w:p>
    <w:p>
      <w:pPr>
        <w:pStyle w:val="Heading2"/>
      </w:pPr>
      <w:r>
        <w:t>Conclusion</w:t>
      </w:r>
    </w:p>
    <w:p>
      <w:r>
        <w:t>All three alternative explanations fail the same test: they predict effects that should appear city-wide or regionally, but the collapse is confined to downtown Oceanside. The only variable that changed exclusively for downtown was the density cap adopted in October 2023.</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Prediction</w:t>
            </w:r>
          </w:p>
        </w:tc>
        <w:tc>
          <w:tcPr>
            <w:tcW w:type="dxa" w:w="2880"/>
          </w:tcPr>
          <w:p>
            <w:r>
              <w:rPr>
                <w:b/>
              </w:rPr>
              <w:t>Data Shows</w:t>
            </w:r>
          </w:p>
        </w:tc>
      </w:tr>
      <w:tr>
        <w:tc>
          <w:tcPr>
            <w:tcW w:type="dxa" w:w="2880"/>
          </w:tcPr>
          <w:p>
            <w:r>
              <w:t>Construction costs</w:t>
            </w:r>
          </w:p>
        </w:tc>
        <w:tc>
          <w:tcPr>
            <w:tcW w:type="dxa" w:w="2880"/>
          </w:tcPr>
          <w:p>
            <w:r>
              <w:t>City-wide decline</w:t>
            </w:r>
          </w:p>
        </w:tc>
        <w:tc>
          <w:tcPr>
            <w:tcW w:type="dxa" w:w="2880"/>
          </w:tcPr>
          <w:p>
            <w:r>
              <w:t>Rest of city UP 49%</w:t>
            </w:r>
          </w:p>
        </w:tc>
      </w:tr>
      <w:tr>
        <w:tc>
          <w:tcPr>
            <w:tcW w:type="dxa" w:w="2880"/>
          </w:tcPr>
          <w:p>
            <w:r>
              <w:t>Borrowing costs</w:t>
            </w:r>
          </w:p>
        </w:tc>
        <w:tc>
          <w:tcPr>
            <w:tcW w:type="dxa" w:w="2880"/>
          </w:tcPr>
          <w:p>
            <w:r>
              <w:t>Regional decline</w:t>
            </w:r>
          </w:p>
        </w:tc>
        <w:tc>
          <w:tcPr>
            <w:tcW w:type="dxa" w:w="2880"/>
          </w:tcPr>
          <w:p>
            <w:r>
              <w:t>SD County hit 17-year record</w:t>
            </w:r>
          </w:p>
        </w:tc>
      </w:tr>
      <w:tr>
        <w:tc>
          <w:tcPr>
            <w:tcW w:type="dxa" w:w="2880"/>
          </w:tcPr>
          <w:p>
            <w:r>
              <w:t>Cap not yet certified</w:t>
            </w:r>
          </w:p>
        </w:tc>
        <w:tc>
          <w:tcPr>
            <w:tcW w:type="dxa" w:w="2880"/>
          </w:tcPr>
          <w:p>
            <w:r>
              <w:t>No effect until Feb 2026</w:t>
            </w:r>
          </w:p>
        </w:tc>
        <w:tc>
          <w:tcPr>
            <w:tcW w:type="dxa" w:w="2880"/>
          </w:tcPr>
          <w:p>
            <w:r>
              <w:t>Smooth decline from Oct 2023 adoption</w:t>
            </w:r>
          </w:p>
        </w:tc>
      </w:tr>
      <w:tr>
        <w:tc>
          <w:tcPr>
            <w:tcW w:type="dxa" w:w="2880"/>
          </w:tcPr>
          <w:p>
            <w:r>
              <w:t>Land exhausted</w:t>
            </w:r>
          </w:p>
        </w:tc>
        <w:tc>
          <w:tcPr>
            <w:tcW w:type="dxa" w:w="2880"/>
          </w:tcPr>
          <w:p>
            <w:r>
              <w:t>No parcels available</w:t>
            </w:r>
          </w:p>
        </w:tc>
        <w:tc>
          <w:tcPr>
            <w:tcW w:type="dxa" w:w="2880"/>
          </w:tcPr>
          <w:p>
            <w:r>
              <w:t>894 units approved outside 9-block, most unbuilt</w:t>
            </w:r>
          </w:p>
        </w:tc>
      </w:tr>
    </w:tbl>
    <w:p/>
    <w:p>
      <w:r>
        <w:rPr>
          <w:b/>
        </w:rPr>
        <w:t>Downtown Oceanside's housing filing collapse is a regulatory outcome, not a market one.</w:t>
      </w:r>
    </w:p>
    <w:p>
      <w:pPr>
        <w:pStyle w:val="Heading2"/>
      </w:pPr>
      <w:r>
        <w:t>Sources</w:t>
      </w:r>
    </w:p>
    <w:p>
      <w:pPr>
        <w:pStyle w:val="ListBullet"/>
      </w:pPr>
      <w:r>
        <w:t>HCD Annual Progress Report Table A — data.ca.gov (2018–2025, JURIS_NAME = OCEANSIDE)</w:t>
      </w:r>
    </w:p>
    <w:p>
      <w:pPr>
        <w:pStyle w:val="ListBullet"/>
      </w:pPr>
      <w:r>
        <w:t>eTRAKiT permit system — etrakit.cityofoceanside.com (2026 filings)</w:t>
      </w:r>
    </w:p>
    <w:p>
      <w:pPr>
        <w:pStyle w:val="ListBullet"/>
      </w:pPr>
      <w:r>
        <w:t>Titman, S. (1985). "Urban Land Prices Under Uncertainty." American Economic Review.</w:t>
      </w:r>
    </w:p>
    <w:p>
      <w:pPr>
        <w:pStyle w:val="ListBullet"/>
      </w:pPr>
      <w:r>
        <w:t>City Observatory — Portland inclusionary zoning impact (Joe Cortright)</w:t>
      </w:r>
    </w:p>
    <w:p>
      <w:pPr>
        <w:pStyle w:val="ListBullet"/>
      </w:pPr>
      <w:r>
        <w:t>OCC Comptroller's Handbook — CRE lending and zoning compliance requirements</w:t>
      </w:r>
    </w:p>
    <w:p>
      <w:pPr>
        <w:pStyle w:val="ListBullet"/>
      </w:pPr>
      <w:r>
        <w:t>Circulate San Diego (2024) — Coastal zone chilling effect on affordable housing</w:t>
      </w:r>
    </w:p>
    <w:p>
      <w:pPr>
        <w:pStyle w:val="ListBullet"/>
      </w:pPr>
      <w:r>
        <w:t>Turner Building Cost Index — turnerconstruction.com (Q3 2024)</w:t>
      </w:r>
    </w:p>
    <w:p>
      <w:pPr>
        <w:pStyle w:val="ListBullet"/>
      </w:pPr>
      <w:r>
        <w:t>ENR/Construction Analytics — construction cost inflation 2020–2025</w:t>
      </w:r>
    </w:p>
    <w:p>
      <w:pPr>
        <w:pStyle w:val="ListBullet"/>
      </w:pPr>
      <w:r>
        <w:t>Times of San Diego — "SD County issued 11,673 housing permits" (July 2024)</w:t>
      </w:r>
    </w:p>
    <w:p>
      <w:pPr>
        <w:pStyle w:val="ListBullet"/>
      </w:pPr>
      <w:r>
        <w:t>Inside San Diego — "City of San Diego permits nearly 8,800 new homes in 2024"</w:t>
      </w:r>
    </w:p>
    <w:p>
      <w:pPr>
        <w:pStyle w:val="ListBullet"/>
      </w:pPr>
      <w:r>
        <w:t>Mainstreet Oceanside — Nine Block Master Plan history</w:t>
      </w:r>
    </w:p>
    <w:p>
      <w:pPr>
        <w:pStyle w:val="ListBullet"/>
      </w:pPr>
      <w:r>
        <w:t>Coast News — Blocks 5 &amp; 20 approval (Jan 2026), 401 Mission, 901 Mission</w:t>
      </w:r>
    </w:p>
    <w:p>
      <w:pPr>
        <w:pStyle w:val="ListBullet"/>
      </w:pPr>
      <w:r>
        <w:t>Onward Oceanside — Smart &amp; Sustainable Corridors Specific Plan capacity estimates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