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Oceanside Housing Pipeline Collapse</w:t>
        <w:br/>
        <w:t>January–June 2026</w:t>
      </w:r>
    </w:p>
    <w:p>
      <w:pPr>
        <w:jc w:val="center"/>
      </w:pPr>
      <w:r>
        <w:rPr>
          <w:i/>
          <w:color w:val="666666"/>
          <w:sz w:val="24"/>
        </w:rPr>
        <w:t>Data Briefing — June 2026</w:t>
      </w:r>
    </w:p>
    <w:p/>
    <w:p>
      <w:pPr>
        <w:pStyle w:val="Heading2"/>
      </w:pPr>
      <w:r>
        <w:t>One Housing Application in Six Months</w:t>
      </w:r>
    </w:p>
    <w:p>
      <w:r>
        <w:rPr>
          <w:b/>
        </w:rPr>
        <w:t>Between January 1 and June 19, 2026, the City of Oceanside received one discretionary housing application.</w:t>
      </w:r>
    </w:p>
    <w:p>
      <w:r>
        <w:t>That application — DB26-00001, a 142-unit multifamily project at 1640 Oceanside Boulevard — was filed as a Density Bonus Application under state law. The project includes a minimum of 21 affordable units (15% inclusionary requirement per Oceanside's December 2023 ordinance). Without this state-law filing, the count would be zero.</w:t>
      </w:r>
    </w:p>
    <w:p>
      <w:r>
        <w:t>This is a city of 183,000 people with a 6th cycle RHNA obligation of approximately 7,100 units by 2029.</w:t>
      </w:r>
    </w:p>
    <w:p>
      <w:pPr>
        <w:pStyle w:val="Heading2"/>
      </w:pPr>
      <w:r>
        <w:t>Historical Comparison: Discretionary Housing Filings</w:t>
      </w:r>
    </w:p>
    <w:p>
      <w:r>
        <w:t>The following table shows all discretionary development applications (D-, DB-, and RD-prefix projects in the city's eTRAKiT permit system) filed per year, alongside total housing units reported to HCD via the Annual Progress Report.</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Year</w:t>
            </w:r>
          </w:p>
        </w:tc>
        <w:tc>
          <w:tcPr>
            <w:tcW w:type="dxa" w:w="2160"/>
          </w:tcPr>
          <w:p>
            <w:r>
              <w:rPr>
                <w:b/>
                <w:sz w:val="18"/>
              </w:rPr>
              <w:t>Discretionary Apps</w:t>
              <w:br/>
              <w:t>(D/DB/RD)</w:t>
            </w:r>
          </w:p>
        </w:tc>
        <w:tc>
          <w:tcPr>
            <w:tcW w:type="dxa" w:w="2160"/>
          </w:tcPr>
          <w:p>
            <w:r>
              <w:rPr>
                <w:b/>
                <w:sz w:val="18"/>
              </w:rPr>
              <w:t>Total Units Filed</w:t>
              <w:br/>
              <w:t>(HCD APR)</w:t>
            </w:r>
          </w:p>
        </w:tc>
        <w:tc>
          <w:tcPr>
            <w:tcW w:type="dxa" w:w="2160"/>
          </w:tcPr>
          <w:p>
            <w:r>
              <w:rPr>
                <w:b/>
                <w:sz w:val="18"/>
              </w:rPr>
              <w:t>Large Projects</w:t>
              <w:br/>
              <w:t>(50+ units)</w:t>
            </w:r>
          </w:p>
        </w:tc>
      </w:tr>
      <w:tr>
        <w:tc>
          <w:tcPr>
            <w:tcW w:type="dxa" w:w="2160"/>
          </w:tcPr>
          <w:p>
            <w:r>
              <w:t>2018</w:t>
            </w:r>
          </w:p>
        </w:tc>
        <w:tc>
          <w:tcPr>
            <w:tcW w:type="dxa" w:w="2160"/>
          </w:tcPr>
          <w:p>
            <w:r>
              <w:t>22</w:t>
            </w:r>
          </w:p>
        </w:tc>
        <w:tc>
          <w:tcPr>
            <w:tcW w:type="dxa" w:w="2160"/>
          </w:tcPr>
          <w:p>
            <w:r>
              <w:t>576</w:t>
            </w:r>
          </w:p>
        </w:tc>
        <w:tc>
          <w:tcPr>
            <w:tcW w:type="dxa" w:w="2160"/>
          </w:tcPr>
          <w:p>
            <w:r>
              <w:t>1</w:t>
            </w:r>
          </w:p>
        </w:tc>
      </w:tr>
      <w:tr>
        <w:tc>
          <w:tcPr>
            <w:tcW w:type="dxa" w:w="2160"/>
          </w:tcPr>
          <w:p>
            <w:r>
              <w:t>2019</w:t>
            </w:r>
          </w:p>
        </w:tc>
        <w:tc>
          <w:tcPr>
            <w:tcW w:type="dxa" w:w="2160"/>
          </w:tcPr>
          <w:p>
            <w:r>
              <w:t>24</w:t>
            </w:r>
          </w:p>
        </w:tc>
        <w:tc>
          <w:tcPr>
            <w:tcW w:type="dxa" w:w="2160"/>
          </w:tcPr>
          <w:p>
            <w:r>
              <w:t>1,090</w:t>
            </w:r>
          </w:p>
        </w:tc>
        <w:tc>
          <w:tcPr>
            <w:tcW w:type="dxa" w:w="2160"/>
          </w:tcPr>
          <w:p>
            <w:r>
              <w:t>3</w:t>
            </w:r>
          </w:p>
        </w:tc>
      </w:tr>
      <w:tr>
        <w:tc>
          <w:tcPr>
            <w:tcW w:type="dxa" w:w="2160"/>
          </w:tcPr>
          <w:p>
            <w:r>
              <w:t>2020</w:t>
            </w:r>
          </w:p>
        </w:tc>
        <w:tc>
          <w:tcPr>
            <w:tcW w:type="dxa" w:w="2160"/>
          </w:tcPr>
          <w:p>
            <w:r>
              <w:t>23</w:t>
            </w:r>
          </w:p>
        </w:tc>
        <w:tc>
          <w:tcPr>
            <w:tcW w:type="dxa" w:w="2160"/>
          </w:tcPr>
          <w:p>
            <w:r>
              <w:t>399</w:t>
            </w:r>
          </w:p>
        </w:tc>
        <w:tc>
          <w:tcPr>
            <w:tcW w:type="dxa" w:w="2160"/>
          </w:tcPr>
          <w:p>
            <w:r>
              <w:t>1</w:t>
            </w:r>
          </w:p>
        </w:tc>
      </w:tr>
      <w:tr>
        <w:tc>
          <w:tcPr>
            <w:tcW w:type="dxa" w:w="2160"/>
          </w:tcPr>
          <w:p>
            <w:r>
              <w:t>2021</w:t>
            </w:r>
          </w:p>
        </w:tc>
        <w:tc>
          <w:tcPr>
            <w:tcW w:type="dxa" w:w="2160"/>
          </w:tcPr>
          <w:p>
            <w:r>
              <w:t>24</w:t>
            </w:r>
          </w:p>
        </w:tc>
        <w:tc>
          <w:tcPr>
            <w:tcW w:type="dxa" w:w="2160"/>
          </w:tcPr>
          <w:p>
            <w:r>
              <w:t>1,698</w:t>
            </w:r>
          </w:p>
        </w:tc>
        <w:tc>
          <w:tcPr>
            <w:tcW w:type="dxa" w:w="2160"/>
          </w:tcPr>
          <w:p>
            <w:r>
              <w:t>8</w:t>
            </w:r>
          </w:p>
        </w:tc>
      </w:tr>
      <w:tr>
        <w:tc>
          <w:tcPr>
            <w:tcW w:type="dxa" w:w="2160"/>
          </w:tcPr>
          <w:p>
            <w:r>
              <w:t>2022</w:t>
            </w:r>
          </w:p>
        </w:tc>
        <w:tc>
          <w:tcPr>
            <w:tcW w:type="dxa" w:w="2160"/>
          </w:tcPr>
          <w:p>
            <w:r>
              <w:t>36</w:t>
            </w:r>
          </w:p>
        </w:tc>
        <w:tc>
          <w:tcPr>
            <w:tcW w:type="dxa" w:w="2160"/>
          </w:tcPr>
          <w:p>
            <w:r>
              <w:t>3,211</w:t>
            </w:r>
          </w:p>
        </w:tc>
        <w:tc>
          <w:tcPr>
            <w:tcW w:type="dxa" w:w="2160"/>
          </w:tcPr>
          <w:p>
            <w:r>
              <w:t>13</w:t>
            </w:r>
          </w:p>
        </w:tc>
      </w:tr>
      <w:tr>
        <w:tc>
          <w:tcPr>
            <w:tcW w:type="dxa" w:w="2160"/>
          </w:tcPr>
          <w:p>
            <w:r>
              <w:t>2023</w:t>
            </w:r>
          </w:p>
        </w:tc>
        <w:tc>
          <w:tcPr>
            <w:tcW w:type="dxa" w:w="2160"/>
          </w:tcPr>
          <w:p>
            <w:r>
              <w:t>35</w:t>
            </w:r>
          </w:p>
        </w:tc>
        <w:tc>
          <w:tcPr>
            <w:tcW w:type="dxa" w:w="2160"/>
          </w:tcPr>
          <w:p>
            <w:r>
              <w:t>1,977</w:t>
            </w:r>
          </w:p>
        </w:tc>
        <w:tc>
          <w:tcPr>
            <w:tcW w:type="dxa" w:w="2160"/>
          </w:tcPr>
          <w:p>
            <w:r>
              <w:t>7</w:t>
            </w:r>
          </w:p>
        </w:tc>
      </w:tr>
      <w:tr>
        <w:tc>
          <w:tcPr>
            <w:tcW w:type="dxa" w:w="2160"/>
          </w:tcPr>
          <w:p>
            <w:r>
              <w:t>2024</w:t>
            </w:r>
          </w:p>
        </w:tc>
        <w:tc>
          <w:tcPr>
            <w:tcW w:type="dxa" w:w="2160"/>
          </w:tcPr>
          <w:p>
            <w:r>
              <w:t>34</w:t>
            </w:r>
          </w:p>
        </w:tc>
        <w:tc>
          <w:tcPr>
            <w:tcW w:type="dxa" w:w="2160"/>
          </w:tcPr>
          <w:p>
            <w:r>
              <w:t>2,023</w:t>
            </w:r>
          </w:p>
        </w:tc>
        <w:tc>
          <w:tcPr>
            <w:tcW w:type="dxa" w:w="2160"/>
          </w:tcPr>
          <w:p>
            <w:r>
              <w:t>10</w:t>
            </w:r>
          </w:p>
        </w:tc>
      </w:tr>
      <w:tr>
        <w:tc>
          <w:tcPr>
            <w:tcW w:type="dxa" w:w="2160"/>
          </w:tcPr>
          <w:p>
            <w:r>
              <w:t>2025</w:t>
            </w:r>
          </w:p>
        </w:tc>
        <w:tc>
          <w:tcPr>
            <w:tcW w:type="dxa" w:w="2160"/>
          </w:tcPr>
          <w:p>
            <w:r>
              <w:t>25 (18 housing)</w:t>
            </w:r>
          </w:p>
        </w:tc>
        <w:tc>
          <w:tcPr>
            <w:tcW w:type="dxa" w:w="2160"/>
          </w:tcPr>
          <w:p>
            <w:r>
              <w:t>1,954</w:t>
            </w:r>
          </w:p>
        </w:tc>
        <w:tc>
          <w:tcPr>
            <w:tcW w:type="dxa" w:w="2160"/>
          </w:tcPr>
          <w:p>
            <w:r>
              <w:t>7</w:t>
            </w:r>
          </w:p>
        </w:tc>
      </w:tr>
      <w:tr>
        <w:tc>
          <w:tcPr>
            <w:tcW w:type="dxa" w:w="2160"/>
          </w:tcPr>
          <w:p>
            <w:r>
              <w:rPr>
                <w:b/>
                <w:color w:val="8B0000"/>
              </w:rPr>
              <w:t>2026 (Jan–Jun)</w:t>
            </w:r>
          </w:p>
        </w:tc>
        <w:tc>
          <w:tcPr>
            <w:tcW w:type="dxa" w:w="2160"/>
          </w:tcPr>
          <w:p>
            <w:r>
              <w:rPr>
                <w:b/>
                <w:color w:val="8B0000"/>
              </w:rPr>
              <w:t>5 (1 housing)</w:t>
            </w:r>
          </w:p>
        </w:tc>
        <w:tc>
          <w:tcPr>
            <w:tcW w:type="dxa" w:w="2160"/>
          </w:tcPr>
          <w:p>
            <w:r>
              <w:rPr>
                <w:b/>
                <w:color w:val="8B0000"/>
              </w:rPr>
              <w:t>—</w:t>
            </w:r>
          </w:p>
        </w:tc>
        <w:tc>
          <w:tcPr>
            <w:tcW w:type="dxa" w:w="2160"/>
          </w:tcPr>
          <w:p>
            <w:r>
              <w:rPr>
                <w:b/>
                <w:color w:val="8B0000"/>
              </w:rPr>
              <w:t>0</w:t>
            </w:r>
          </w:p>
        </w:tc>
      </w:tr>
    </w:tbl>
    <w:p/>
    <w:p>
      <w:r>
        <w:t>In 2025, the city received 18 discretionary housing applications. In the first half of 2026, it received one. The remaining 4 discretionary applications in 2026 were a police training facility, a medical office, and two Walmart expansions.</w:t>
      </w:r>
    </w:p>
    <w:p>
      <w:pPr>
        <w:pStyle w:val="Heading2"/>
      </w:pPr>
      <w:r>
        <w:t>Citywide Housing Filings: Nine-Year Trend (2018–2026)</w:t>
      </w:r>
    </w:p>
    <w:p>
      <w:r>
        <w:t>The following table shows all housing units filed with the city, by year and type. 2018–2025 data is from HCD Annual Progress Report Table A (the same source as the D-District chart above). 2026 is reconstructed from eTRAKiT, excluding units already counted in prior years' filings (Olive Park, North River Farms tract lots).</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Year</w:t>
            </w:r>
          </w:p>
        </w:tc>
        <w:tc>
          <w:tcPr>
            <w:tcW w:type="dxa" w:w="1440"/>
          </w:tcPr>
          <w:p>
            <w:r>
              <w:rPr>
                <w:b/>
                <w:sz w:val="18"/>
              </w:rPr>
              <w:t>ADU</w:t>
            </w:r>
          </w:p>
        </w:tc>
        <w:tc>
          <w:tcPr>
            <w:tcW w:type="dxa" w:w="1440"/>
          </w:tcPr>
          <w:p>
            <w:r>
              <w:rPr>
                <w:b/>
                <w:sz w:val="18"/>
              </w:rPr>
              <w:t>SFD/</w:t>
              <w:br/>
              <w:t>SFA</w:t>
            </w:r>
          </w:p>
        </w:tc>
        <w:tc>
          <w:tcPr>
            <w:tcW w:type="dxa" w:w="1440"/>
          </w:tcPr>
          <w:p>
            <w:r>
              <w:rPr>
                <w:b/>
                <w:sz w:val="18"/>
              </w:rPr>
              <w:t>2–4</w:t>
              <w:br/>
              <w:t>Unit</w:t>
            </w:r>
          </w:p>
        </w:tc>
        <w:tc>
          <w:tcPr>
            <w:tcW w:type="dxa" w:w="1440"/>
          </w:tcPr>
          <w:p>
            <w:r>
              <w:rPr>
                <w:b/>
                <w:sz w:val="18"/>
              </w:rPr>
              <w:t>5+</w:t>
              <w:br/>
              <w:t>Unit</w:t>
            </w:r>
          </w:p>
        </w:tc>
        <w:tc>
          <w:tcPr>
            <w:tcW w:type="dxa" w:w="1440"/>
          </w:tcPr>
          <w:p>
            <w:r>
              <w:rPr>
                <w:b/>
                <w:sz w:val="18"/>
              </w:rPr>
              <w:t>Total</w:t>
            </w:r>
          </w:p>
        </w:tc>
      </w:tr>
      <w:tr>
        <w:tc>
          <w:tcPr>
            <w:tcW w:type="dxa" w:w="1440"/>
          </w:tcPr>
          <w:p>
            <w:r>
              <w:rPr>
                <w:sz w:val="18"/>
              </w:rPr>
              <w:t>2018</w:t>
            </w:r>
          </w:p>
        </w:tc>
        <w:tc>
          <w:tcPr>
            <w:tcW w:type="dxa" w:w="1440"/>
          </w:tcPr>
          <w:p>
            <w:r>
              <w:rPr>
                <w:sz w:val="18"/>
              </w:rPr>
              <w:t>34</w:t>
            </w:r>
          </w:p>
        </w:tc>
        <w:tc>
          <w:tcPr>
            <w:tcW w:type="dxa" w:w="1440"/>
          </w:tcPr>
          <w:p>
            <w:r>
              <w:rPr>
                <w:sz w:val="18"/>
              </w:rPr>
              <w:t>347</w:t>
            </w:r>
          </w:p>
        </w:tc>
        <w:tc>
          <w:tcPr>
            <w:tcW w:type="dxa" w:w="1440"/>
          </w:tcPr>
          <w:p>
            <w:r>
              <w:rPr>
                <w:sz w:val="18"/>
              </w:rPr>
              <w:t>100</w:t>
            </w:r>
          </w:p>
        </w:tc>
        <w:tc>
          <w:tcPr>
            <w:tcW w:type="dxa" w:w="1440"/>
          </w:tcPr>
          <w:p>
            <w:r>
              <w:rPr>
                <w:sz w:val="18"/>
              </w:rPr>
              <w:t>78</w:t>
            </w:r>
          </w:p>
        </w:tc>
        <w:tc>
          <w:tcPr>
            <w:tcW w:type="dxa" w:w="1440"/>
          </w:tcPr>
          <w:p>
            <w:r>
              <w:rPr>
                <w:sz w:val="18"/>
              </w:rPr>
              <w:t>559</w:t>
            </w:r>
          </w:p>
        </w:tc>
      </w:tr>
      <w:tr>
        <w:tc>
          <w:tcPr>
            <w:tcW w:type="dxa" w:w="1440"/>
          </w:tcPr>
          <w:p>
            <w:r>
              <w:rPr>
                <w:sz w:val="18"/>
              </w:rPr>
              <w:t>2019</w:t>
            </w:r>
          </w:p>
        </w:tc>
        <w:tc>
          <w:tcPr>
            <w:tcW w:type="dxa" w:w="1440"/>
          </w:tcPr>
          <w:p>
            <w:r>
              <w:rPr>
                <w:sz w:val="18"/>
              </w:rPr>
              <w:t>31</w:t>
            </w:r>
          </w:p>
        </w:tc>
        <w:tc>
          <w:tcPr>
            <w:tcW w:type="dxa" w:w="1440"/>
          </w:tcPr>
          <w:p>
            <w:r>
              <w:rPr>
                <w:sz w:val="18"/>
              </w:rPr>
              <w:t>227</w:t>
            </w:r>
          </w:p>
        </w:tc>
        <w:tc>
          <w:tcPr>
            <w:tcW w:type="dxa" w:w="1440"/>
          </w:tcPr>
          <w:p>
            <w:r>
              <w:rPr>
                <w:sz w:val="18"/>
              </w:rPr>
              <w:t>22</w:t>
            </w:r>
          </w:p>
        </w:tc>
        <w:tc>
          <w:tcPr>
            <w:tcW w:type="dxa" w:w="1440"/>
          </w:tcPr>
          <w:p>
            <w:r>
              <w:rPr>
                <w:sz w:val="18"/>
              </w:rPr>
              <w:t>810</w:t>
            </w:r>
          </w:p>
        </w:tc>
        <w:tc>
          <w:tcPr>
            <w:tcW w:type="dxa" w:w="1440"/>
          </w:tcPr>
          <w:p>
            <w:r>
              <w:rPr>
                <w:sz w:val="18"/>
              </w:rPr>
              <w:t>1,090</w:t>
            </w:r>
          </w:p>
        </w:tc>
      </w:tr>
      <w:tr>
        <w:tc>
          <w:tcPr>
            <w:tcW w:type="dxa" w:w="1440"/>
          </w:tcPr>
          <w:p>
            <w:r>
              <w:rPr>
                <w:sz w:val="18"/>
              </w:rPr>
              <w:t>2020</w:t>
            </w:r>
          </w:p>
        </w:tc>
        <w:tc>
          <w:tcPr>
            <w:tcW w:type="dxa" w:w="1440"/>
          </w:tcPr>
          <w:p>
            <w:r>
              <w:rPr>
                <w:sz w:val="18"/>
              </w:rPr>
              <w:t>42</w:t>
            </w:r>
          </w:p>
        </w:tc>
        <w:tc>
          <w:tcPr>
            <w:tcW w:type="dxa" w:w="1440"/>
          </w:tcPr>
          <w:p>
            <w:r>
              <w:rPr>
                <w:sz w:val="18"/>
              </w:rPr>
              <w:t>52</w:t>
            </w:r>
          </w:p>
        </w:tc>
        <w:tc>
          <w:tcPr>
            <w:tcW w:type="dxa" w:w="1440"/>
          </w:tcPr>
          <w:p>
            <w:r>
              <w:rPr>
                <w:sz w:val="18"/>
              </w:rPr>
              <w:t>22</w:t>
            </w:r>
          </w:p>
        </w:tc>
        <w:tc>
          <w:tcPr>
            <w:tcW w:type="dxa" w:w="1440"/>
          </w:tcPr>
          <w:p>
            <w:r>
              <w:rPr>
                <w:sz w:val="18"/>
              </w:rPr>
              <w:t>283</w:t>
            </w:r>
          </w:p>
        </w:tc>
        <w:tc>
          <w:tcPr>
            <w:tcW w:type="dxa" w:w="1440"/>
          </w:tcPr>
          <w:p>
            <w:r>
              <w:rPr>
                <w:sz w:val="18"/>
              </w:rPr>
              <w:t>399</w:t>
            </w:r>
          </w:p>
        </w:tc>
      </w:tr>
      <w:tr>
        <w:tc>
          <w:tcPr>
            <w:tcW w:type="dxa" w:w="1440"/>
          </w:tcPr>
          <w:p>
            <w:r>
              <w:rPr>
                <w:sz w:val="18"/>
              </w:rPr>
              <w:t>2021</w:t>
            </w:r>
          </w:p>
        </w:tc>
        <w:tc>
          <w:tcPr>
            <w:tcW w:type="dxa" w:w="1440"/>
          </w:tcPr>
          <w:p>
            <w:r>
              <w:rPr>
                <w:sz w:val="18"/>
              </w:rPr>
              <w:t>146</w:t>
            </w:r>
          </w:p>
        </w:tc>
        <w:tc>
          <w:tcPr>
            <w:tcW w:type="dxa" w:w="1440"/>
          </w:tcPr>
          <w:p>
            <w:r>
              <w:rPr>
                <w:sz w:val="18"/>
              </w:rPr>
              <w:t>245</w:t>
            </w:r>
          </w:p>
        </w:tc>
        <w:tc>
          <w:tcPr>
            <w:tcW w:type="dxa" w:w="1440"/>
          </w:tcPr>
          <w:p>
            <w:r>
              <w:rPr>
                <w:sz w:val="18"/>
              </w:rPr>
              <w:t>57</w:t>
            </w:r>
          </w:p>
        </w:tc>
        <w:tc>
          <w:tcPr>
            <w:tcW w:type="dxa" w:w="1440"/>
          </w:tcPr>
          <w:p>
            <w:r>
              <w:rPr>
                <w:sz w:val="18"/>
              </w:rPr>
              <w:t>1,250</w:t>
            </w:r>
          </w:p>
        </w:tc>
        <w:tc>
          <w:tcPr>
            <w:tcW w:type="dxa" w:w="1440"/>
          </w:tcPr>
          <w:p>
            <w:r>
              <w:rPr>
                <w:sz w:val="18"/>
              </w:rPr>
              <w:t>1,698</w:t>
            </w:r>
          </w:p>
        </w:tc>
      </w:tr>
      <w:tr>
        <w:tc>
          <w:tcPr>
            <w:tcW w:type="dxa" w:w="1440"/>
          </w:tcPr>
          <w:p>
            <w:r>
              <w:rPr>
                <w:sz w:val="18"/>
              </w:rPr>
              <w:t>2022</w:t>
            </w:r>
          </w:p>
        </w:tc>
        <w:tc>
          <w:tcPr>
            <w:tcW w:type="dxa" w:w="1440"/>
          </w:tcPr>
          <w:p>
            <w:r>
              <w:rPr>
                <w:sz w:val="18"/>
              </w:rPr>
              <w:t>187</w:t>
            </w:r>
          </w:p>
        </w:tc>
        <w:tc>
          <w:tcPr>
            <w:tcW w:type="dxa" w:w="1440"/>
          </w:tcPr>
          <w:p>
            <w:r>
              <w:rPr>
                <w:sz w:val="18"/>
              </w:rPr>
              <w:t>200</w:t>
            </w:r>
          </w:p>
        </w:tc>
        <w:tc>
          <w:tcPr>
            <w:tcW w:type="dxa" w:w="1440"/>
          </w:tcPr>
          <w:p>
            <w:r>
              <w:rPr>
                <w:sz w:val="18"/>
              </w:rPr>
              <w:t>36</w:t>
            </w:r>
          </w:p>
        </w:tc>
        <w:tc>
          <w:tcPr>
            <w:tcW w:type="dxa" w:w="1440"/>
          </w:tcPr>
          <w:p>
            <w:r>
              <w:rPr>
                <w:sz w:val="18"/>
              </w:rPr>
              <w:t>2,774</w:t>
            </w:r>
          </w:p>
        </w:tc>
        <w:tc>
          <w:tcPr>
            <w:tcW w:type="dxa" w:w="1440"/>
          </w:tcPr>
          <w:p>
            <w:r>
              <w:rPr>
                <w:sz w:val="18"/>
              </w:rPr>
              <w:t>3,197</w:t>
            </w:r>
          </w:p>
        </w:tc>
      </w:tr>
      <w:tr>
        <w:tc>
          <w:tcPr>
            <w:tcW w:type="dxa" w:w="1440"/>
          </w:tcPr>
          <w:p>
            <w:r>
              <w:rPr>
                <w:sz w:val="18"/>
              </w:rPr>
              <w:t>2023</w:t>
            </w:r>
          </w:p>
        </w:tc>
        <w:tc>
          <w:tcPr>
            <w:tcW w:type="dxa" w:w="1440"/>
          </w:tcPr>
          <w:p>
            <w:r>
              <w:rPr>
                <w:sz w:val="18"/>
              </w:rPr>
              <w:t>149</w:t>
            </w:r>
          </w:p>
        </w:tc>
        <w:tc>
          <w:tcPr>
            <w:tcW w:type="dxa" w:w="1440"/>
          </w:tcPr>
          <w:p>
            <w:r>
              <w:rPr>
                <w:sz w:val="18"/>
              </w:rPr>
              <w:t>36</w:t>
            </w:r>
          </w:p>
        </w:tc>
        <w:tc>
          <w:tcPr>
            <w:tcW w:type="dxa" w:w="1440"/>
          </w:tcPr>
          <w:p>
            <w:r>
              <w:rPr>
                <w:sz w:val="18"/>
              </w:rPr>
              <w:t>12</w:t>
            </w:r>
          </w:p>
        </w:tc>
        <w:tc>
          <w:tcPr>
            <w:tcW w:type="dxa" w:w="1440"/>
          </w:tcPr>
          <w:p>
            <w:r>
              <w:rPr>
                <w:sz w:val="18"/>
              </w:rPr>
              <w:t>1,765</w:t>
            </w:r>
          </w:p>
        </w:tc>
        <w:tc>
          <w:tcPr>
            <w:tcW w:type="dxa" w:w="1440"/>
          </w:tcPr>
          <w:p>
            <w:r>
              <w:rPr>
                <w:sz w:val="18"/>
              </w:rPr>
              <w:t>1,962</w:t>
            </w:r>
          </w:p>
        </w:tc>
      </w:tr>
      <w:tr>
        <w:tc>
          <w:tcPr>
            <w:tcW w:type="dxa" w:w="1440"/>
          </w:tcPr>
          <w:p>
            <w:r>
              <w:rPr>
                <w:sz w:val="18"/>
              </w:rPr>
              <w:t>2024</w:t>
            </w:r>
          </w:p>
        </w:tc>
        <w:tc>
          <w:tcPr>
            <w:tcW w:type="dxa" w:w="1440"/>
          </w:tcPr>
          <w:p>
            <w:r>
              <w:rPr>
                <w:sz w:val="18"/>
              </w:rPr>
              <w:t>197</w:t>
            </w:r>
          </w:p>
        </w:tc>
        <w:tc>
          <w:tcPr>
            <w:tcW w:type="dxa" w:w="1440"/>
          </w:tcPr>
          <w:p>
            <w:r>
              <w:rPr>
                <w:sz w:val="18"/>
              </w:rPr>
              <w:t>292</w:t>
            </w:r>
          </w:p>
        </w:tc>
        <w:tc>
          <w:tcPr>
            <w:tcW w:type="dxa" w:w="1440"/>
          </w:tcPr>
          <w:p>
            <w:r>
              <w:rPr>
                <w:sz w:val="18"/>
              </w:rPr>
              <w:t>17</w:t>
            </w:r>
          </w:p>
        </w:tc>
        <w:tc>
          <w:tcPr>
            <w:tcW w:type="dxa" w:w="1440"/>
          </w:tcPr>
          <w:p>
            <w:r>
              <w:rPr>
                <w:sz w:val="18"/>
              </w:rPr>
              <w:t>1,515</w:t>
            </w:r>
          </w:p>
        </w:tc>
        <w:tc>
          <w:tcPr>
            <w:tcW w:type="dxa" w:w="1440"/>
          </w:tcPr>
          <w:p>
            <w:r>
              <w:rPr>
                <w:sz w:val="18"/>
              </w:rPr>
              <w:t>2,021</w:t>
            </w:r>
          </w:p>
        </w:tc>
      </w:tr>
      <w:tr>
        <w:tc>
          <w:tcPr>
            <w:tcW w:type="dxa" w:w="1440"/>
          </w:tcPr>
          <w:p>
            <w:r>
              <w:rPr>
                <w:sz w:val="18"/>
              </w:rPr>
              <w:t>2025</w:t>
            </w:r>
          </w:p>
        </w:tc>
        <w:tc>
          <w:tcPr>
            <w:tcW w:type="dxa" w:w="1440"/>
          </w:tcPr>
          <w:p>
            <w:r>
              <w:rPr>
                <w:sz w:val="18"/>
              </w:rPr>
              <w:t>147</w:t>
            </w:r>
          </w:p>
        </w:tc>
        <w:tc>
          <w:tcPr>
            <w:tcW w:type="dxa" w:w="1440"/>
          </w:tcPr>
          <w:p>
            <w:r>
              <w:rPr>
                <w:sz w:val="18"/>
              </w:rPr>
              <w:t>409</w:t>
            </w:r>
          </w:p>
        </w:tc>
        <w:tc>
          <w:tcPr>
            <w:tcW w:type="dxa" w:w="1440"/>
          </w:tcPr>
          <w:p>
            <w:r>
              <w:rPr>
                <w:sz w:val="18"/>
              </w:rPr>
              <w:t>9</w:t>
            </w:r>
          </w:p>
        </w:tc>
        <w:tc>
          <w:tcPr>
            <w:tcW w:type="dxa" w:w="1440"/>
          </w:tcPr>
          <w:p>
            <w:r>
              <w:rPr>
                <w:sz w:val="18"/>
              </w:rPr>
              <w:t>1,389</w:t>
            </w:r>
          </w:p>
        </w:tc>
        <w:tc>
          <w:tcPr>
            <w:tcW w:type="dxa" w:w="1440"/>
          </w:tcPr>
          <w:p>
            <w:r>
              <w:rPr>
                <w:sz w:val="18"/>
              </w:rPr>
              <w:t>1,954</w:t>
            </w:r>
          </w:p>
        </w:tc>
      </w:tr>
      <w:tr>
        <w:tc>
          <w:tcPr>
            <w:tcW w:type="dxa" w:w="1440"/>
          </w:tcPr>
          <w:p>
            <w:r>
              <w:rPr>
                <w:b/>
                <w:color w:val="8B0000"/>
                <w:sz w:val="18"/>
              </w:rPr>
              <w:t>2026 (Jan–Jun)</w:t>
            </w:r>
          </w:p>
        </w:tc>
        <w:tc>
          <w:tcPr>
            <w:tcW w:type="dxa" w:w="1440"/>
          </w:tcPr>
          <w:p>
            <w:r>
              <w:rPr>
                <w:b/>
                <w:color w:val="8B0000"/>
                <w:sz w:val="18"/>
              </w:rPr>
              <w:t>67</w:t>
            </w:r>
          </w:p>
        </w:tc>
        <w:tc>
          <w:tcPr>
            <w:tcW w:type="dxa" w:w="1440"/>
          </w:tcPr>
          <w:p>
            <w:r>
              <w:rPr>
                <w:b/>
                <w:color w:val="8B0000"/>
                <w:sz w:val="18"/>
              </w:rPr>
              <w:t>4</w:t>
            </w:r>
          </w:p>
        </w:tc>
        <w:tc>
          <w:tcPr>
            <w:tcW w:type="dxa" w:w="1440"/>
          </w:tcPr>
          <w:p>
            <w:r>
              <w:rPr>
                <w:b/>
                <w:color w:val="8B0000"/>
                <w:sz w:val="18"/>
              </w:rPr>
              <w:t>6</w:t>
            </w:r>
          </w:p>
        </w:tc>
        <w:tc>
          <w:tcPr>
            <w:tcW w:type="dxa" w:w="1440"/>
          </w:tcPr>
          <w:p>
            <w:r>
              <w:rPr>
                <w:b/>
                <w:color w:val="8B0000"/>
                <w:sz w:val="18"/>
              </w:rPr>
              <w:t>142</w:t>
            </w:r>
          </w:p>
        </w:tc>
        <w:tc>
          <w:tcPr>
            <w:tcW w:type="dxa" w:w="1440"/>
          </w:tcPr>
          <w:p>
            <w:r>
              <w:rPr>
                <w:b/>
                <w:color w:val="8B0000"/>
                <w:sz w:val="18"/>
              </w:rPr>
              <w:t>219</w:t>
            </w:r>
          </w:p>
        </w:tc>
      </w:tr>
      <w:tr>
        <w:tc>
          <w:tcPr>
            <w:tcW w:type="dxa" w:w="1440"/>
          </w:tcPr>
          <w:p>
            <w:r>
              <w:rPr>
                <w:b/>
                <w:sz w:val="18"/>
              </w:rPr>
              <w:t>TOTAL</w:t>
            </w:r>
          </w:p>
        </w:tc>
        <w:tc>
          <w:tcPr>
            <w:tcW w:type="dxa" w:w="1440"/>
          </w:tcPr>
          <w:p>
            <w:r>
              <w:rPr>
                <w:b/>
                <w:sz w:val="18"/>
              </w:rPr>
              <w:t>1,000</w:t>
            </w:r>
          </w:p>
        </w:tc>
        <w:tc>
          <w:tcPr>
            <w:tcW w:type="dxa" w:w="1440"/>
          </w:tcPr>
          <w:p>
            <w:r>
              <w:rPr>
                <w:b/>
                <w:sz w:val="18"/>
              </w:rPr>
              <w:t>1,812</w:t>
            </w:r>
          </w:p>
        </w:tc>
        <w:tc>
          <w:tcPr>
            <w:tcW w:type="dxa" w:w="1440"/>
          </w:tcPr>
          <w:p>
            <w:r>
              <w:rPr>
                <w:b/>
                <w:sz w:val="18"/>
              </w:rPr>
              <w:t>281</w:t>
            </w:r>
          </w:p>
        </w:tc>
        <w:tc>
          <w:tcPr>
            <w:tcW w:type="dxa" w:w="1440"/>
          </w:tcPr>
          <w:p>
            <w:r>
              <w:rPr>
                <w:b/>
                <w:sz w:val="18"/>
              </w:rPr>
              <w:t>10,006</w:t>
            </w:r>
          </w:p>
        </w:tc>
        <w:tc>
          <w:tcPr>
            <w:tcW w:type="dxa" w:w="1440"/>
          </w:tcPr>
          <w:p>
            <w:r>
              <w:rPr>
                <w:b/>
                <w:sz w:val="18"/>
              </w:rPr>
              <w:t>13,099</w:t>
            </w:r>
          </w:p>
        </w:tc>
      </w:tr>
    </w:tbl>
    <w:p/>
    <w:p>
      <w:r>
        <w:t>Key patterns:</w:t>
      </w:r>
    </w:p>
    <w:p>
      <w:pPr>
        <w:pStyle w:val="ListBullet"/>
      </w:pPr>
      <w:r>
        <w:t>5+ unit projects dominate total production — averaging 1,358 units/year from 2021–2025. In the first half of 2026, only 142 units were filed in this category, and that single project (DB26-00001) used AB 2011 to bypass city review.</w:t>
      </w:r>
    </w:p>
    <w:p>
      <w:pPr>
        <w:pStyle w:val="ListBullet"/>
      </w:pPr>
      <w:r>
        <w:t>The 2022 peak (2,774 units in 5+ projects) followed the November 2021 removal of the downtown 43 du/acre cap. The October 2023 reimposition of a cap at 86 du/acre preceded the decline from 2,774 to 1,765 to 1,515 to 1,389.</w:t>
      </w:r>
    </w:p>
    <w:p>
      <w:pPr>
        <w:pStyle w:val="ListBullet"/>
      </w:pPr>
      <w:r>
        <w:t>ADUs remained steady at ~150/year — the one type unaffected by local discretionary barriers.</w:t>
      </w:r>
    </w:p>
    <w:p>
      <w:pPr>
        <w:pStyle w:val="ListBullet"/>
      </w:pPr>
      <w:r>
        <w:t>SFD/SFA spiked in 2025 (409 units) due to North River Farms tract lots — a pre-entitled subdivision, not new development capacity.</w:t>
      </w:r>
    </w:p>
    <w:p>
      <w:pPr>
        <w:pStyle w:val="ListBullet"/>
      </w:pPr>
      <w:r>
        <w:t>2026 annualized (~478 units) would be the lowest production year since the city began reporting to HCD, below even the 2020 COVID year (399).</w:t>
      </w:r>
    </w:p>
    <w:p/>
    <w:p>
      <w:r>
        <w:t>Notes on 2026 data:</w:t>
      </w:r>
    </w:p>
    <w:p>
      <w:pPr>
        <w:pStyle w:val="ListBullet"/>
      </w:pPr>
      <w:r>
        <w:t>2026 HCD APR data will not be available until mid-2027. The 2026 figures are reconstructed from eTRAKiT permit and project searches.</w:t>
      </w:r>
    </w:p>
    <w:p>
      <w:pPr>
        <w:pStyle w:val="ListBullet"/>
      </w:pPr>
      <w:r>
        <w:t>Olive Park Affordable (199 units) and North River Farms SFDs (57 lots) were excluded from 2026 because they were already counted as filings in prior years' HCD data (DB24-00001 and the NRF subdivision, respectively).</w:t>
      </w:r>
    </w:p>
    <w:p>
      <w:pPr>
        <w:pStyle w:val="ListBullet"/>
      </w:pPr>
      <w:r>
        <w:t>The only 5+ unit filing in 2026 is DB26-00001 (142 units at 1640 Oceanside Blvd), a Density Bonus Application with a minimum of 21 affordable units (15% inclusionary). Without this state-law filing, the 5+ unit count would be zero.</w:t>
      </w:r>
    </w:p>
    <w:p>
      <w:pPr>
        <w:pStyle w:val="Heading2"/>
      </w:pPr>
      <w:r>
        <w:t>Total Housing Production: The Collapse in Context</w:t>
      </w:r>
    </w:p>
    <w:p>
      <w:r>
        <w:t>The nine-year filing record reveals the full trajectory:</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r>
          </w:p>
        </w:tc>
        <w:tc>
          <w:tcPr>
            <w:tcW w:type="dxa" w:w="1728"/>
          </w:tcPr>
          <w:p>
            <w:r>
              <w:rPr>
                <w:b/>
                <w:sz w:val="18"/>
              </w:rPr>
              <w:t>2021–2022</w:t>
              <w:br/>
              <w:t>(avg)</w:t>
            </w:r>
          </w:p>
        </w:tc>
        <w:tc>
          <w:tcPr>
            <w:tcW w:type="dxa" w:w="1728"/>
          </w:tcPr>
          <w:p>
            <w:r>
              <w:rPr>
                <w:b/>
                <w:sz w:val="18"/>
              </w:rPr>
              <w:t>2023–2025</w:t>
              <w:br/>
              <w:t>(avg)</w:t>
            </w:r>
          </w:p>
        </w:tc>
        <w:tc>
          <w:tcPr>
            <w:tcW w:type="dxa" w:w="1728"/>
          </w:tcPr>
          <w:p>
            <w:r>
              <w:rPr>
                <w:b/>
                <w:sz w:val="18"/>
              </w:rPr>
              <w:t>2026*</w:t>
              <w:br/>
              <w:t>(annualized)</w:t>
            </w:r>
          </w:p>
        </w:tc>
        <w:tc>
          <w:tcPr>
            <w:tcW w:type="dxa" w:w="1728"/>
          </w:tcPr>
          <w:p>
            <w:r>
              <w:rPr>
                <w:b/>
                <w:sz w:val="18"/>
              </w:rPr>
              <w:t>Change</w:t>
            </w:r>
          </w:p>
        </w:tc>
      </w:tr>
      <w:tr>
        <w:tc>
          <w:tcPr>
            <w:tcW w:type="dxa" w:w="1728"/>
          </w:tcPr>
          <w:p>
            <w:r>
              <w:rPr>
                <w:sz w:val="18"/>
              </w:rPr>
              <w:t>Total units filed</w:t>
            </w:r>
          </w:p>
        </w:tc>
        <w:tc>
          <w:tcPr>
            <w:tcW w:type="dxa" w:w="1728"/>
          </w:tcPr>
          <w:p>
            <w:r>
              <w:rPr>
                <w:sz w:val="18"/>
              </w:rPr>
              <w:t>2,448</w:t>
            </w:r>
          </w:p>
        </w:tc>
        <w:tc>
          <w:tcPr>
            <w:tcW w:type="dxa" w:w="1728"/>
          </w:tcPr>
          <w:p>
            <w:r>
              <w:rPr>
                <w:sz w:val="18"/>
              </w:rPr>
              <w:t>1,979</w:t>
            </w:r>
          </w:p>
        </w:tc>
        <w:tc>
          <w:tcPr>
            <w:tcW w:type="dxa" w:w="1728"/>
          </w:tcPr>
          <w:p>
            <w:r>
              <w:rPr>
                <w:sz w:val="18"/>
              </w:rPr>
              <w:t>~478</w:t>
            </w:r>
          </w:p>
        </w:tc>
        <w:tc>
          <w:tcPr>
            <w:tcW w:type="dxa" w:w="1728"/>
          </w:tcPr>
          <w:p>
            <w:r>
              <w:rPr>
                <w:b/>
                <w:color w:val="8B0000"/>
                <w:sz w:val="18"/>
              </w:rPr>
              <w:t>-80%</w:t>
            </w:r>
          </w:p>
        </w:tc>
      </w:tr>
      <w:tr>
        <w:tc>
          <w:tcPr>
            <w:tcW w:type="dxa" w:w="1728"/>
          </w:tcPr>
          <w:p>
            <w:r>
              <w:rPr>
                <w:sz w:val="18"/>
              </w:rPr>
              <w:t>5+ unit projects</w:t>
            </w:r>
          </w:p>
        </w:tc>
        <w:tc>
          <w:tcPr>
            <w:tcW w:type="dxa" w:w="1728"/>
          </w:tcPr>
          <w:p>
            <w:r>
              <w:rPr>
                <w:sz w:val="18"/>
              </w:rPr>
              <w:t>2,012</w:t>
            </w:r>
          </w:p>
        </w:tc>
        <w:tc>
          <w:tcPr>
            <w:tcW w:type="dxa" w:w="1728"/>
          </w:tcPr>
          <w:p>
            <w:r>
              <w:rPr>
                <w:sz w:val="18"/>
              </w:rPr>
              <w:t>1,556</w:t>
            </w:r>
          </w:p>
        </w:tc>
        <w:tc>
          <w:tcPr>
            <w:tcW w:type="dxa" w:w="1728"/>
          </w:tcPr>
          <w:p>
            <w:r>
              <w:rPr>
                <w:sz w:val="18"/>
              </w:rPr>
              <w:t>~310</w:t>
            </w:r>
          </w:p>
        </w:tc>
        <w:tc>
          <w:tcPr>
            <w:tcW w:type="dxa" w:w="1728"/>
          </w:tcPr>
          <w:p>
            <w:r>
              <w:rPr>
                <w:b/>
                <w:color w:val="8B0000"/>
                <w:sz w:val="18"/>
              </w:rPr>
              <w:t>-85%</w:t>
            </w:r>
          </w:p>
        </w:tc>
      </w:tr>
    </w:tbl>
    <w:p>
      <w:pPr>
        <w:pStyle w:val="ListBullet"/>
      </w:pPr>
      <w:r>
        <w:t>* 2026 is Jan–Jun, annualized. 2026 data from eTRAKiT, deduped against prior-year HCD filings.</w:t>
      </w:r>
    </w:p>
    <w:p/>
    <w:p>
      <w:r>
        <w:rPr>
          <w:b/>
        </w:rPr>
        <w:t>At 219 units filed in 5.5 months (annualized ~478), 2026 would be the lowest filing year since Oceanside began reporting to HCD — below even the 2020 COVID year (399 units). And the only 5+ unit project filed used state law to bypass local review entirely.</w:t>
      </w:r>
    </w:p>
    <w:p/>
    <w:p>
      <w:r>
        <w:rPr>
          <w:b/>
        </w:rPr>
        <w:t>The RHNA target requires roughly 890 new units per year. At the current filing pace, Oceanside will produce less than half its annual obligation, accumulating a deficit that makes the 2029 deadline unreachable.</w:t>
      </w:r>
    </w:p>
    <w:p>
      <w:pPr>
        <w:pStyle w:val="Heading2"/>
      </w:pPr>
      <w:r>
        <w:t>The Lag Effect: Building Permits Will Get Worse</w:t>
      </w:r>
    </w:p>
    <w:p>
      <w:r>
        <w:t>Building permits lag discretionary approvals by 1–2 years. The multi-family and mid/high-rise building permits issued in 2025 came from projects approved in 2022–2024:</w:t>
      </w:r>
    </w:p>
    <w:p>
      <w:pPr>
        <w:pStyle w:val="ListBullet"/>
      </w:pPr>
      <w:r>
        <w:t>Modera Neptune (BLD HIGH RISE, BLDG25-0374): 360 units, approved 2022 as RD22-00005.</w:t>
      </w:r>
    </w:p>
    <w:p>
      <w:pPr>
        <w:pStyle w:val="ListBullet"/>
      </w:pPr>
      <w:r>
        <w:t>Coast Villas (BLD MID RISE, BLDG25-1204): 56 units, approved 2024 as DB25-00002.</w:t>
      </w:r>
    </w:p>
    <w:p>
      <w:pPr>
        <w:pStyle w:val="ListBullet"/>
      </w:pPr>
      <w:r>
        <w:t>Pacifica townhomes (30 BLD MULTI FAMILY permits): 164 units across 12 phases, approved 2022 as D22-00013.</w:t>
      </w:r>
    </w:p>
    <w:p/>
    <w:p>
      <w:r>
        <w:t>With only one discretionary housing application in 2026, there will be few or no multi-family building permits to pull in 2027–2028. The 2025 building permit numbers represent the last wave of construction from the pre-collapse pipeline. When those projects finish, the building permit pipeline will mirror the discretionary freeze.</w:t>
      </w:r>
    </w:p>
    <w:p>
      <w:pPr>
        <w:pStyle w:val="Heading2"/>
      </w:pPr>
      <w:r>
        <w:t>What Caused the Collapse</w:t>
      </w:r>
    </w:p>
    <w:p>
      <w:r>
        <w:t>Three policy actions converged to freeze the discretionary pipeline:</w:t>
      </w:r>
    </w:p>
    <w:p>
      <w:r>
        <w:rPr>
          <w:b/>
        </w:rPr>
        <w:t xml:space="preserve">D-District Density Cap (CCC Certified February 5, 2026). </w:t>
      </w:r>
      <w:r>
        <w:t>The downtown density cap of 86 du/acre, adopted by the City Council in October 2023 and certified by the Coastal Commission on February 5, 2026, eliminated the city's most productive housing area. Downtown D-District filings went from 1,946 units in 2022 to zero in 2026. No new D-District housing project has been filed since certification.</w:t>
      </w:r>
    </w:p>
    <w:p>
      <w:r>
        <w:rPr>
          <w:b/>
        </w:rPr>
        <w:t xml:space="preserve">SB 79 Exemption Ordinance (Adopted June 3, 2026). </w:t>
      </w:r>
      <w:r>
        <w:t>The city adopted an ordinance deferring SB 79 transit-oriented housing compliance to 2032, using fabricated "walking path" findings to reclassify parcels near transit as non-qualifying. This froze development potential on remaining non-downtown parcels that could have absorbed displaced demand.</w:t>
      </w:r>
    </w:p>
    <w:p>
      <w:r>
        <w:rPr>
          <w:b/>
        </w:rPr>
        <w:t xml:space="preserve">SSCSP Not Yet Adopted. </w:t>
      </w:r>
      <w:r>
        <w:t>The Smart &amp; Sustainable Corridors Specific Plan, which would rezone 1,172 acres of corridor land to allow 8,300 new housing units, has not yet been adopted. The hearing is scheduled for June 24, 2026. Until adoption, corridor parcels remain zoned for low-density residential and light industrial uses (3.9–7.25 du/acre), making multifamily development physically impossible under existing zoning.</w:t>
      </w:r>
    </w:p>
    <w:p>
      <w:pPr>
        <w:pStyle w:val="Heading2"/>
      </w:pPr>
      <w:r>
        <w:t>The Only Housing Filing Bypassed City Process</w:t>
      </w:r>
    </w:p>
    <w:p>
      <w:r>
        <w:t>DB26-00001 (142 units at 1640 Oceanside Boulevard) was filed on June 16, 2026 — eight days before the SSCSP adoption hearing. The project is located on a parcel currently zoned RE-B (Residential Estate Bonus, 3.9 du/acre maximum). At 142 units on approximately 1.4 acres, the project proposes roughly 102 du/acre — 26 times the current zoning allows.</w:t>
      </w:r>
    </w:p>
    <w:p>
      <w:r>
        <w:t>The project is filed as a Density Bonus Application (eTRAKiT type "DB"), invoking state density bonus law (Government Code §65915). Under Oceanside's inclusionary housing ordinance (Chapter 14C, updated December 2023 to 15%), the project must include a minimum of 21 deed-restricted affordable units at lower income levels (≤80% AMI). The actual affordable count may be higher if the developer offered additional affordable units in exchange for density bonus concessions.</w:t>
      </w:r>
    </w:p>
    <w:p>
      <w:r>
        <w:rPr>
          <w:b/>
        </w:rPr>
        <w:t>The fact that the only housing project filed in Oceanside in 2026 had to use state law to avoid local review is itself evidence that the local regulatory environment has become hostile to housing production.</w:t>
      </w:r>
    </w:p>
    <w:p>
      <w:pPr>
        <w:pStyle w:val="Heading2"/>
      </w:pPr>
      <w:r>
        <w:t>Data Verification</w:t>
      </w:r>
    </w:p>
    <w:p>
      <w:r>
        <w:t>The data in this briefing was cross-verified across multiple sources:</w:t>
      </w:r>
    </w:p>
    <w:p>
      <w:pPr>
        <w:pStyle w:val="ListBullet"/>
      </w:pPr>
      <w:r>
        <w:t>Discretionary projects: City of Oceanside eTRAKiT permit portal, project search (D-, DB-, RD-prefix applications). All projects for 2018–2026 were individually verified by direct URL query.</w:t>
      </w:r>
    </w:p>
    <w:p>
      <w:pPr>
        <w:pStyle w:val="ListBullet"/>
      </w:pPr>
      <w:r>
        <w:t>Citywide housing filings (2018–2025): HCD Annual Progress Report Table A, APP_SUBMIT_DT field — same source and methodology as the D-District analysis.</w:t>
      </w:r>
    </w:p>
    <w:p>
      <w:pPr>
        <w:pStyle w:val="ListBullet"/>
      </w:pPr>
      <w:r>
        <w:t>2026 citywide filings: Reconstructed from eTRAKiT discretionary project search (D/DB/RD-prefix) and building permit search (BLDG-prefix, 20,702 permits scraped 2020–2026). Deduped against prior-year HCD filings to avoid double-counting Olive Park (DB24-00001) and North River Farms tract lots.</w:t>
      </w:r>
    </w:p>
    <w:p>
      <w:pPr>
        <w:pStyle w:val="ListBullet"/>
      </w:pPr>
      <w:r>
        <w:t>HCD Annual Progress Report: Table A data from data.ca.gov, filtered to JURIS_NAME=OCEANSIDE, covering 2018–2025. 2026 APR data will not be available until mid-2027.</w:t>
      </w:r>
    </w:p>
    <w:p>
      <w:pPr>
        <w:pStyle w:val="ListBullet"/>
      </w:pPr>
      <w:r>
        <w:t>Cross-reference: 45 of 50 large APR projects (50+ units, 2018–2025) were matched to eTRAKiT discretionary applications by Assessor Parcel Number (APN), confirming both data sources track the same projects.</w:t>
      </w:r>
    </w:p>
    <w:p>
      <w:pPr>
        <w:pStyle w:val="ListBullet"/>
      </w:pPr>
      <w:r>
        <w:t>The 5 unmatched projects were traced to APN discrepancies between APR and eTRAKiT (different parcel numbers for the same site), not missing projects.</w:t>
      </w:r>
    </w:p>
    <w:p>
      <w:pPr>
        <w:pStyle w:val="Heading2"/>
      </w:pPr>
      <w:r>
        <w:t>Implications</w:t>
      </w:r>
    </w:p>
    <w:p>
      <w:pPr>
        <w:pStyle w:val="ListBullet"/>
      </w:pPr>
      <w:r>
        <w:t>RHNA compliance: At the current filing rate (~478 units/year annualized, of which only 21 are affordable), Oceanside will produce barely half its annual RHNA obligation of ~890 units — accumulating a deficit that makes the 2029 deadline unreachable.</w:t>
      </w:r>
    </w:p>
    <w:p>
      <w:pPr>
        <w:pStyle w:val="ListBullet"/>
      </w:pPr>
      <w:r>
        <w:t>Builder's Remedy exposure: If the city fails to maintain adequate housing element progress, it risks losing its certified housing element status, triggering Builder's Remedy (Government Code 65589.5(d)), which allows developers to bypass local zoning entirely.</w:t>
      </w:r>
    </w:p>
    <w:p>
      <w:pPr>
        <w:pStyle w:val="ListBullet"/>
      </w:pPr>
      <w:r>
        <w:t>SSCSP urgency: The corridor plan is now the only mechanism that could restore discretionary housing capacity. Delaying adoption or imposing additional cost mandates (such as a 20% inclusionary rate) would extend the production freeze.</w:t>
      </w:r>
    </w:p>
    <w:p>
      <w:pPr>
        <w:pStyle w:val="ListBullet"/>
      </w:pPr>
      <w:r>
        <w:t>The lag effect: Even if the SSCSP is adopted on June 24 and developers begin filing immediately, those projects will not pull building permits until 2027–2028. The construction gap is already locked in for at least 18 months.</w:t>
      </w:r>
    </w:p>
    <w:p>
      <w:pPr>
        <w:pStyle w:val="ListBullet"/>
      </w:pPr>
      <w:r>
        <w:t>State enforcement: HCD has authority to revoke housing element certification for jurisdictions that adopt policies inconsistent with their housing element. The combination of the D-District cap, SB 79 deferment, and pipeline collapse may constitute grounds for decertification.</w:t>
      </w:r>
    </w:p>
    <w:p/>
    <w:p>
      <w:pPr>
        <w:pStyle w:val="Heading2"/>
      </w:pPr>
      <w:r>
        <w:t>Sources</w:t>
      </w:r>
    </w:p>
    <w:p>
      <w:pPr>
        <w:pStyle w:val="ListBullet"/>
      </w:pPr>
      <w:r>
        <w:t>City of Oceanside eTRAKiT permit portal — project search and permit search, individually verified through June 19, 2026</w:t>
      </w:r>
    </w:p>
    <w:p>
      <w:pPr>
        <w:pStyle w:val="ListBullet"/>
      </w:pPr>
      <w:r>
        <w:t>HCD Annual Progress Report Table A (data.ca.gov) — 2018–2025 filing data</w:t>
      </w:r>
    </w:p>
    <w:p>
      <w:pPr>
        <w:pStyle w:val="ListBullet"/>
      </w:pPr>
      <w:r>
        <w:t>LCPA22-00002 (Downtown density cap ordinance) — adopted October 2023, CCC certified February 5, 2026</w:t>
      </w:r>
    </w:p>
    <w:p>
      <w:pPr>
        <w:pStyle w:val="ListBullet"/>
      </w:pPr>
      <w:r>
        <w:t>Oceanside SB 79 exemption ordinance — adopted June 3, 2026</w:t>
      </w:r>
    </w:p>
    <w:p>
      <w:pPr>
        <w:pStyle w:val="ListBullet"/>
      </w:pPr>
      <w:r>
        <w:t>Smart &amp; Sustainable Corridors Specific Plan, Hearing Draft (May 8, 2026)</w:t>
      </w:r>
    </w:p>
    <w:p>
      <w:pPr>
        <w:pStyle w:val="ListBullet"/>
      </w:pPr>
      <w:r>
        <w:t>DB26-00001 application record — eTRAKiT, filed June 16, 2026</w:t>
      </w:r>
    </w:p>
    <w:p>
      <w:pPr>
        <w:pStyle w:val="ListBullet"/>
      </w:pPr>
      <w:r>
        <w:t>AB 2011 (Affordable Housing and High Road Jobs Act of 2022) — Government Code 65912.100 et seq.</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1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